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117AE6" w14:textId="77777777" w:rsidR="000E748D" w:rsidRPr="009D06E5" w:rsidRDefault="000E748D" w:rsidP="000E748D">
      <w:pPr>
        <w:spacing w:after="200" w:line="276" w:lineRule="auto"/>
        <w:rPr>
          <w:rFonts w:eastAsia="Times New Roman" w:cs="Times New Roman"/>
          <w:bCs/>
          <w:i/>
          <w:szCs w:val="24"/>
        </w:rPr>
      </w:pPr>
      <w:r w:rsidRPr="009D06E5">
        <w:rPr>
          <w:rFonts w:eastAsia="Times New Roman" w:cs="Times New Roman"/>
          <w:bCs/>
          <w:i/>
          <w:szCs w:val="24"/>
        </w:rPr>
        <w:t>Tabula Nr. 1.                                             Revīzijas iestādes veiktie ES fondu vadības un kontroles sistēmas auditi</w:t>
      </w:r>
    </w:p>
    <w:tbl>
      <w:tblPr>
        <w:tblpPr w:leftFromText="180" w:rightFromText="180" w:vertAnchor="text" w:horzAnchor="margin" w:tblpX="-68" w:tblpY="41"/>
        <w:tblW w:w="14709" w:type="dxa"/>
        <w:tblLayout w:type="fixed"/>
        <w:tblLook w:val="0000" w:firstRow="0" w:lastRow="0" w:firstColumn="0" w:lastColumn="0" w:noHBand="0" w:noVBand="0"/>
      </w:tblPr>
      <w:tblGrid>
        <w:gridCol w:w="675"/>
        <w:gridCol w:w="1701"/>
        <w:gridCol w:w="1560"/>
        <w:gridCol w:w="1275"/>
        <w:gridCol w:w="1701"/>
        <w:gridCol w:w="3261"/>
        <w:gridCol w:w="1871"/>
        <w:gridCol w:w="2665"/>
      </w:tblGrid>
      <w:tr w:rsidR="000E748D" w:rsidRPr="00730313" w14:paraId="66D5F359" w14:textId="77777777" w:rsidTr="00825195">
        <w:trPr>
          <w:trHeight w:val="558"/>
          <w:tblHeader/>
        </w:trPr>
        <w:tc>
          <w:tcPr>
            <w:tcW w:w="67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FA4A33E" w14:textId="77777777" w:rsidR="000E748D" w:rsidRPr="00730313" w:rsidRDefault="000E748D" w:rsidP="009361D4">
            <w:pPr>
              <w:jc w:val="center"/>
              <w:rPr>
                <w:b/>
                <w:sz w:val="20"/>
                <w:szCs w:val="20"/>
              </w:rPr>
            </w:pPr>
            <w:r w:rsidRPr="00730313">
              <w:rPr>
                <w:rFonts w:eastAsia="Times New Roman" w:cs="Times New Roman"/>
                <w:b/>
                <w:sz w:val="16"/>
                <w:szCs w:val="16"/>
              </w:rPr>
              <w:t>Nr.</w:t>
            </w:r>
            <w:r>
              <w:rPr>
                <w:rFonts w:eastAsia="Times New Roman" w:cs="Times New Roman"/>
                <w:b/>
                <w:sz w:val="16"/>
                <w:szCs w:val="16"/>
              </w:rPr>
              <w:t xml:space="preserve"> </w:t>
            </w:r>
            <w:r w:rsidRPr="00730313">
              <w:rPr>
                <w:rFonts w:eastAsia="Times New Roman" w:cs="Times New Roman"/>
                <w:b/>
                <w:sz w:val="16"/>
                <w:szCs w:val="16"/>
              </w:rPr>
              <w:t>p.k.</w:t>
            </w:r>
          </w:p>
        </w:tc>
        <w:tc>
          <w:tcPr>
            <w:tcW w:w="170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A176BA0" w14:textId="77777777" w:rsidR="000E748D" w:rsidRPr="00730313" w:rsidRDefault="000E748D" w:rsidP="009361D4">
            <w:pPr>
              <w:jc w:val="center"/>
              <w:rPr>
                <w:b/>
                <w:sz w:val="20"/>
                <w:szCs w:val="20"/>
              </w:rPr>
            </w:pPr>
            <w:r w:rsidRPr="00730313">
              <w:rPr>
                <w:rFonts w:cs="Times New Roman"/>
                <w:b/>
                <w:bCs/>
                <w:color w:val="000000"/>
                <w:sz w:val="16"/>
                <w:szCs w:val="16"/>
                <w:lang w:eastAsia="lv-LV"/>
              </w:rPr>
              <w:t>Atsauce (KIK numurs)</w:t>
            </w:r>
          </w:p>
        </w:tc>
        <w:tc>
          <w:tcPr>
            <w:tcW w:w="156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F889466" w14:textId="77777777" w:rsidR="000E748D" w:rsidRPr="00730313" w:rsidRDefault="000E748D" w:rsidP="009361D4">
            <w:pPr>
              <w:jc w:val="center"/>
              <w:rPr>
                <w:b/>
                <w:sz w:val="20"/>
                <w:szCs w:val="20"/>
              </w:rPr>
            </w:pPr>
            <w:r w:rsidRPr="00730313">
              <w:rPr>
                <w:rFonts w:cs="Times New Roman"/>
                <w:b/>
                <w:bCs/>
                <w:color w:val="000000"/>
                <w:sz w:val="16"/>
                <w:szCs w:val="16"/>
                <w:lang w:eastAsia="lv-LV"/>
              </w:rPr>
              <w:t>Audita iestāde</w:t>
            </w:r>
          </w:p>
        </w:tc>
        <w:tc>
          <w:tcPr>
            <w:tcW w:w="1275" w:type="dxa"/>
            <w:tcBorders>
              <w:top w:val="single" w:sz="4" w:space="0" w:color="auto"/>
              <w:left w:val="nil"/>
              <w:bottom w:val="single" w:sz="4" w:space="0" w:color="auto"/>
              <w:right w:val="single" w:sz="4" w:space="0" w:color="auto"/>
            </w:tcBorders>
            <w:shd w:val="clear" w:color="auto" w:fill="E2EFD9" w:themeFill="accent6" w:themeFillTint="33"/>
            <w:vAlign w:val="center"/>
          </w:tcPr>
          <w:p w14:paraId="05B1B42C" w14:textId="77777777" w:rsidR="000E748D" w:rsidRPr="00730313" w:rsidRDefault="000E748D" w:rsidP="009361D4">
            <w:pPr>
              <w:jc w:val="center"/>
              <w:rPr>
                <w:b/>
                <w:sz w:val="20"/>
                <w:szCs w:val="20"/>
              </w:rPr>
            </w:pPr>
            <w:r w:rsidRPr="00730313">
              <w:rPr>
                <w:rFonts w:cs="Times New Roman"/>
                <w:b/>
                <w:sz w:val="16"/>
                <w:szCs w:val="16"/>
              </w:rPr>
              <w:t>Audita veikšanas periods</w:t>
            </w:r>
          </w:p>
        </w:tc>
        <w:tc>
          <w:tcPr>
            <w:tcW w:w="1701" w:type="dxa"/>
            <w:tcBorders>
              <w:top w:val="single" w:sz="4" w:space="0" w:color="auto"/>
              <w:left w:val="nil"/>
              <w:bottom w:val="single" w:sz="4" w:space="0" w:color="auto"/>
              <w:right w:val="single" w:sz="4" w:space="0" w:color="auto"/>
            </w:tcBorders>
            <w:shd w:val="clear" w:color="auto" w:fill="E2EFD9" w:themeFill="accent6" w:themeFillTint="33"/>
            <w:vAlign w:val="center"/>
          </w:tcPr>
          <w:p w14:paraId="0D59A86C" w14:textId="77777777" w:rsidR="000E748D" w:rsidRPr="00730313" w:rsidRDefault="000E748D" w:rsidP="009361D4">
            <w:pPr>
              <w:jc w:val="center"/>
              <w:rPr>
                <w:b/>
                <w:sz w:val="20"/>
                <w:szCs w:val="20"/>
              </w:rPr>
            </w:pPr>
            <w:r w:rsidRPr="00730313">
              <w:rPr>
                <w:rFonts w:cs="Times New Roman"/>
                <w:b/>
                <w:sz w:val="16"/>
                <w:szCs w:val="16"/>
              </w:rPr>
              <w:t>Audita Nr.</w:t>
            </w:r>
            <w:r>
              <w:rPr>
                <w:rFonts w:cs="Times New Roman"/>
                <w:b/>
                <w:sz w:val="16"/>
                <w:szCs w:val="16"/>
              </w:rPr>
              <w:t>, ziņojuma datums, auditētās institūcijas</w:t>
            </w:r>
          </w:p>
        </w:tc>
        <w:tc>
          <w:tcPr>
            <w:tcW w:w="3261" w:type="dxa"/>
            <w:tcBorders>
              <w:top w:val="single" w:sz="4" w:space="0" w:color="auto"/>
              <w:left w:val="nil"/>
              <w:bottom w:val="single" w:sz="4" w:space="0" w:color="auto"/>
              <w:right w:val="single" w:sz="4" w:space="0" w:color="auto"/>
            </w:tcBorders>
            <w:shd w:val="clear" w:color="auto" w:fill="E2EFD9" w:themeFill="accent6" w:themeFillTint="33"/>
            <w:vAlign w:val="center"/>
          </w:tcPr>
          <w:p w14:paraId="439EDFB2" w14:textId="77777777" w:rsidR="000E748D" w:rsidRPr="00730313" w:rsidRDefault="000E748D" w:rsidP="009361D4">
            <w:pPr>
              <w:jc w:val="center"/>
              <w:rPr>
                <w:b/>
                <w:sz w:val="20"/>
                <w:szCs w:val="20"/>
              </w:rPr>
            </w:pPr>
            <w:r w:rsidRPr="00730313">
              <w:rPr>
                <w:rFonts w:cs="Times New Roman"/>
                <w:b/>
                <w:sz w:val="16"/>
                <w:szCs w:val="16"/>
              </w:rPr>
              <w:t>Galvenie secinājumi</w:t>
            </w:r>
          </w:p>
        </w:tc>
        <w:tc>
          <w:tcPr>
            <w:tcW w:w="1871" w:type="dxa"/>
            <w:tcBorders>
              <w:top w:val="single" w:sz="4" w:space="0" w:color="auto"/>
              <w:left w:val="nil"/>
              <w:bottom w:val="single" w:sz="4" w:space="0" w:color="auto"/>
              <w:right w:val="single" w:sz="4" w:space="0" w:color="auto"/>
            </w:tcBorders>
            <w:shd w:val="clear" w:color="auto" w:fill="E2EFD9" w:themeFill="accent6" w:themeFillTint="33"/>
            <w:vAlign w:val="center"/>
          </w:tcPr>
          <w:p w14:paraId="40F88CCD" w14:textId="77777777" w:rsidR="000E748D" w:rsidRPr="00730313" w:rsidRDefault="000E748D" w:rsidP="009361D4">
            <w:pPr>
              <w:ind w:left="-108" w:right="-108"/>
              <w:jc w:val="center"/>
              <w:rPr>
                <w:b/>
                <w:sz w:val="20"/>
                <w:szCs w:val="20"/>
              </w:rPr>
            </w:pPr>
            <w:r>
              <w:rPr>
                <w:rFonts w:cs="Times New Roman"/>
                <w:b/>
                <w:sz w:val="16"/>
                <w:szCs w:val="16"/>
              </w:rPr>
              <w:t>Izteiktie ieteikumi</w:t>
            </w:r>
          </w:p>
        </w:tc>
        <w:tc>
          <w:tcPr>
            <w:tcW w:w="2665" w:type="dxa"/>
            <w:tcBorders>
              <w:top w:val="single" w:sz="4" w:space="0" w:color="auto"/>
              <w:left w:val="nil"/>
              <w:bottom w:val="single" w:sz="4" w:space="0" w:color="auto"/>
              <w:right w:val="single" w:sz="4" w:space="0" w:color="auto"/>
            </w:tcBorders>
            <w:shd w:val="clear" w:color="auto" w:fill="E2EFD9" w:themeFill="accent6" w:themeFillTint="33"/>
            <w:vAlign w:val="center"/>
          </w:tcPr>
          <w:p w14:paraId="1A3E65D9" w14:textId="77777777" w:rsidR="000E748D" w:rsidRDefault="000E748D" w:rsidP="009361D4">
            <w:pPr>
              <w:ind w:left="-108" w:right="-108"/>
              <w:jc w:val="center"/>
              <w:rPr>
                <w:rFonts w:cs="Times New Roman"/>
                <w:b/>
                <w:sz w:val="16"/>
                <w:szCs w:val="16"/>
              </w:rPr>
            </w:pPr>
            <w:r w:rsidRPr="005805A1">
              <w:rPr>
                <w:rFonts w:cs="Times New Roman"/>
                <w:b/>
                <w:sz w:val="16"/>
                <w:szCs w:val="16"/>
              </w:rPr>
              <w:t>Vadošās iestādes plānotā rīcība sistēmas pilnveidošanai</w:t>
            </w:r>
          </w:p>
        </w:tc>
      </w:tr>
      <w:tr w:rsidR="000E748D" w:rsidRPr="00730313" w14:paraId="56D47C40" w14:textId="77777777" w:rsidTr="00C14755">
        <w:trPr>
          <w:trHeight w:val="260"/>
        </w:trPr>
        <w:tc>
          <w:tcPr>
            <w:tcW w:w="14709" w:type="dxa"/>
            <w:gridSpan w:val="8"/>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8E57C0B" w14:textId="77777777" w:rsidR="000E748D" w:rsidRPr="00CF357B" w:rsidRDefault="000E748D" w:rsidP="009361D4">
            <w:pPr>
              <w:jc w:val="center"/>
              <w:rPr>
                <w:b/>
                <w:sz w:val="20"/>
                <w:szCs w:val="20"/>
              </w:rPr>
            </w:pPr>
            <w:r w:rsidRPr="00CF357B">
              <w:rPr>
                <w:b/>
                <w:sz w:val="20"/>
                <w:szCs w:val="20"/>
              </w:rPr>
              <w:t>Horizontāl</w:t>
            </w:r>
            <w:r>
              <w:rPr>
                <w:b/>
                <w:sz w:val="20"/>
                <w:szCs w:val="20"/>
              </w:rPr>
              <w:t>ais sistēmu audits</w:t>
            </w:r>
            <w:r w:rsidRPr="00CF357B">
              <w:rPr>
                <w:b/>
                <w:sz w:val="20"/>
                <w:szCs w:val="20"/>
              </w:rPr>
              <w:t xml:space="preserve"> “ES fondu administrējošo iestāžu gatavība 2007.-2013.gada plānošanas perioda slēgšanai”</w:t>
            </w:r>
          </w:p>
        </w:tc>
      </w:tr>
      <w:tr w:rsidR="000E748D" w:rsidRPr="00730313" w14:paraId="53C02187" w14:textId="77777777" w:rsidTr="00825195">
        <w:trPr>
          <w:trHeight w:val="423"/>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30AF7D51" w14:textId="77777777" w:rsidR="000E748D" w:rsidRPr="00730313" w:rsidRDefault="000E748D" w:rsidP="000E748D">
            <w:pPr>
              <w:numPr>
                <w:ilvl w:val="0"/>
                <w:numId w:val="1"/>
              </w:numPr>
              <w:tabs>
                <w:tab w:val="left" w:pos="165"/>
              </w:tabs>
              <w:ind w:left="502" w:hanging="720"/>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7674CA3" w14:textId="77777777" w:rsidR="000E748D" w:rsidRPr="005B2285" w:rsidRDefault="000E748D" w:rsidP="009361D4">
            <w:pPr>
              <w:jc w:val="center"/>
              <w:rPr>
                <w:sz w:val="20"/>
                <w:szCs w:val="20"/>
              </w:rPr>
            </w:pPr>
            <w:r w:rsidRPr="005B2285">
              <w:rPr>
                <w:sz w:val="20"/>
                <w:szCs w:val="20"/>
              </w:rPr>
              <w:t>1.+2.+3. Cilvēkresursi un nodarbinātība (2007LV051PO001), Uzņēmējdarbība un inovācijas (2007LV161PO001) un  Infrastruktūra un pakalpojumi (2007LV161PO002)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30F3FC9B" w14:textId="77777777" w:rsidR="000E748D" w:rsidRPr="00BB6D4A" w:rsidRDefault="000E748D" w:rsidP="009361D4">
            <w:pPr>
              <w:jc w:val="center"/>
              <w:rPr>
                <w:i/>
                <w:sz w:val="20"/>
                <w:szCs w:val="20"/>
                <w:highlight w:val="green"/>
              </w:rPr>
            </w:pPr>
            <w:r w:rsidRPr="00BB6D4A">
              <w:rPr>
                <w:sz w:val="20"/>
                <w:szCs w:val="20"/>
              </w:rPr>
              <w:t>Revīzijas iestāde (RI)</w:t>
            </w:r>
          </w:p>
        </w:tc>
        <w:tc>
          <w:tcPr>
            <w:tcW w:w="1275" w:type="dxa"/>
            <w:tcBorders>
              <w:top w:val="single" w:sz="4" w:space="0" w:color="auto"/>
              <w:left w:val="nil"/>
              <w:bottom w:val="single" w:sz="4" w:space="0" w:color="auto"/>
              <w:right w:val="single" w:sz="4" w:space="0" w:color="auto"/>
            </w:tcBorders>
            <w:shd w:val="clear" w:color="auto" w:fill="auto"/>
            <w:vAlign w:val="center"/>
          </w:tcPr>
          <w:p w14:paraId="1B2E95A9" w14:textId="77777777" w:rsidR="000E748D" w:rsidRPr="00E16A55" w:rsidRDefault="000E748D" w:rsidP="009361D4">
            <w:pPr>
              <w:jc w:val="center"/>
              <w:rPr>
                <w:sz w:val="20"/>
                <w:szCs w:val="20"/>
              </w:rPr>
            </w:pPr>
            <w:r>
              <w:rPr>
                <w:sz w:val="20"/>
                <w:szCs w:val="20"/>
              </w:rPr>
              <w:t>07.01</w:t>
            </w:r>
            <w:r w:rsidRPr="00E16A55">
              <w:rPr>
                <w:sz w:val="20"/>
                <w:szCs w:val="20"/>
              </w:rPr>
              <w:t>.201</w:t>
            </w:r>
            <w:r>
              <w:rPr>
                <w:sz w:val="20"/>
                <w:szCs w:val="20"/>
              </w:rPr>
              <w:t>5</w:t>
            </w:r>
            <w:r w:rsidRPr="00E16A55">
              <w:rPr>
                <w:sz w:val="20"/>
                <w:szCs w:val="20"/>
              </w:rPr>
              <w:t xml:space="preserve"> </w:t>
            </w:r>
            <w:r>
              <w:rPr>
                <w:sz w:val="20"/>
                <w:szCs w:val="20"/>
              </w:rPr>
              <w:t>–</w:t>
            </w:r>
            <w:r w:rsidRPr="00E16A55">
              <w:rPr>
                <w:sz w:val="20"/>
                <w:szCs w:val="20"/>
              </w:rPr>
              <w:t xml:space="preserve"> </w:t>
            </w:r>
            <w:r>
              <w:rPr>
                <w:sz w:val="20"/>
                <w:szCs w:val="20"/>
              </w:rPr>
              <w:t>15.01.2016.</w:t>
            </w:r>
            <w:r>
              <w:rPr>
                <w:rStyle w:val="FootnoteReference"/>
                <w:sz w:val="20"/>
                <w:szCs w:val="20"/>
              </w:rPr>
              <w:footnoteReference w:id="1"/>
            </w:r>
          </w:p>
        </w:tc>
        <w:tc>
          <w:tcPr>
            <w:tcW w:w="1701" w:type="dxa"/>
            <w:tcBorders>
              <w:top w:val="single" w:sz="4" w:space="0" w:color="auto"/>
              <w:left w:val="nil"/>
              <w:bottom w:val="single" w:sz="4" w:space="0" w:color="auto"/>
              <w:right w:val="single" w:sz="4" w:space="0" w:color="auto"/>
            </w:tcBorders>
            <w:shd w:val="clear" w:color="auto" w:fill="auto"/>
            <w:vAlign w:val="center"/>
          </w:tcPr>
          <w:p w14:paraId="65303595" w14:textId="77777777" w:rsidR="000E748D" w:rsidRPr="004467F4" w:rsidRDefault="000E748D" w:rsidP="009361D4">
            <w:pPr>
              <w:autoSpaceDE w:val="0"/>
              <w:autoSpaceDN w:val="0"/>
              <w:adjustRightInd w:val="0"/>
              <w:jc w:val="center"/>
              <w:rPr>
                <w:bCs/>
                <w:sz w:val="20"/>
                <w:szCs w:val="20"/>
              </w:rPr>
            </w:pPr>
            <w:r>
              <w:rPr>
                <w:bCs/>
                <w:sz w:val="20"/>
                <w:szCs w:val="20"/>
              </w:rPr>
              <w:t>SLEG-AI/SAI-15/2</w:t>
            </w:r>
          </w:p>
          <w:p w14:paraId="05847005" w14:textId="77777777" w:rsidR="000E748D" w:rsidRDefault="000E748D" w:rsidP="009361D4">
            <w:pPr>
              <w:autoSpaceDE w:val="0"/>
              <w:autoSpaceDN w:val="0"/>
              <w:adjustRightInd w:val="0"/>
              <w:jc w:val="center"/>
              <w:rPr>
                <w:sz w:val="20"/>
                <w:szCs w:val="20"/>
              </w:rPr>
            </w:pPr>
            <w:r>
              <w:rPr>
                <w:sz w:val="20"/>
                <w:szCs w:val="20"/>
              </w:rPr>
              <w:t>15.01.2016.</w:t>
            </w:r>
          </w:p>
          <w:p w14:paraId="44CA2FF4" w14:textId="77777777" w:rsidR="000E748D" w:rsidRPr="004467F4" w:rsidRDefault="000E748D" w:rsidP="009361D4">
            <w:pPr>
              <w:autoSpaceDE w:val="0"/>
              <w:autoSpaceDN w:val="0"/>
              <w:adjustRightInd w:val="0"/>
              <w:jc w:val="center"/>
              <w:rPr>
                <w:bCs/>
                <w:sz w:val="20"/>
                <w:szCs w:val="20"/>
              </w:rPr>
            </w:pPr>
          </w:p>
          <w:p w14:paraId="1B9E9010" w14:textId="77777777" w:rsidR="000E748D" w:rsidRDefault="000E748D" w:rsidP="009361D4">
            <w:pPr>
              <w:autoSpaceDE w:val="0"/>
              <w:autoSpaceDN w:val="0"/>
              <w:adjustRightInd w:val="0"/>
              <w:jc w:val="center"/>
              <w:rPr>
                <w:bCs/>
                <w:sz w:val="20"/>
                <w:szCs w:val="20"/>
              </w:rPr>
            </w:pPr>
            <w:r w:rsidRPr="004467F4">
              <w:rPr>
                <w:bCs/>
                <w:sz w:val="20"/>
                <w:szCs w:val="20"/>
              </w:rPr>
              <w:t>Pamatprasības: 1.2.,3.,4.,5.,6.,7.</w:t>
            </w:r>
          </w:p>
          <w:p w14:paraId="2D098949" w14:textId="77777777" w:rsidR="000E748D" w:rsidRPr="00284C49" w:rsidRDefault="000E748D" w:rsidP="009361D4">
            <w:pPr>
              <w:autoSpaceDE w:val="0"/>
              <w:autoSpaceDN w:val="0"/>
              <w:adjustRightInd w:val="0"/>
              <w:jc w:val="center"/>
              <w:rPr>
                <w:bCs/>
                <w:color w:val="A6A6A6"/>
                <w:sz w:val="20"/>
                <w:szCs w:val="20"/>
              </w:rPr>
            </w:pPr>
            <w:r>
              <w:rPr>
                <w:bCs/>
                <w:sz w:val="20"/>
                <w:szCs w:val="20"/>
              </w:rPr>
              <w:t>Visas ES fondu administrēšanā iesaistītajās institūcijās</w:t>
            </w:r>
          </w:p>
        </w:tc>
        <w:tc>
          <w:tcPr>
            <w:tcW w:w="3261" w:type="dxa"/>
            <w:tcBorders>
              <w:top w:val="single" w:sz="4" w:space="0" w:color="auto"/>
              <w:left w:val="nil"/>
              <w:bottom w:val="single" w:sz="4" w:space="0" w:color="auto"/>
              <w:right w:val="single" w:sz="4" w:space="0" w:color="auto"/>
            </w:tcBorders>
            <w:shd w:val="clear" w:color="auto" w:fill="auto"/>
            <w:vAlign w:val="center"/>
          </w:tcPr>
          <w:p w14:paraId="61E47655" w14:textId="77777777" w:rsidR="000E748D" w:rsidRPr="00E46F91" w:rsidRDefault="000E748D" w:rsidP="009361D4">
            <w:pPr>
              <w:jc w:val="both"/>
              <w:rPr>
                <w:rFonts w:eastAsia="Calibri"/>
                <w:sz w:val="20"/>
                <w:szCs w:val="20"/>
              </w:rPr>
            </w:pPr>
            <w:r w:rsidRPr="00E46F91">
              <w:rPr>
                <w:rFonts w:eastAsia="Calibri"/>
                <w:sz w:val="20"/>
                <w:szCs w:val="20"/>
              </w:rPr>
              <w:t>Audita rezultātā ir iegūta pietiekama pārliecība, ka 2007.-2013.gada plānošanas periodam izveidotā ES fondu vadības un kontroles sistēma darbojas efektīvi, tai skaitā tiks nodrošināta kvalitatīva slēgšanas dokumentu sagatavošana iesniegšanai Eiropas Komisijā un savlaicīga 2007.-2013.gada plānošanas perioda slēgšana atbilstoši Eiropas Savienības un Latvijas Republikas normatīvajiem aktiem.</w:t>
            </w:r>
          </w:p>
          <w:p w14:paraId="149C794B" w14:textId="77777777" w:rsidR="000E748D" w:rsidRPr="00E46F91" w:rsidRDefault="000E748D" w:rsidP="009361D4">
            <w:pPr>
              <w:jc w:val="both"/>
              <w:rPr>
                <w:rFonts w:eastAsia="Calibri"/>
                <w:sz w:val="20"/>
                <w:szCs w:val="20"/>
              </w:rPr>
            </w:pPr>
            <w:r w:rsidRPr="00E46F91">
              <w:rPr>
                <w:rFonts w:eastAsia="Calibri"/>
                <w:sz w:val="20"/>
                <w:szCs w:val="20"/>
              </w:rPr>
              <w:t xml:space="preserve">Tika </w:t>
            </w:r>
            <w:r>
              <w:rPr>
                <w:rFonts w:eastAsia="Calibri"/>
                <w:sz w:val="20"/>
                <w:szCs w:val="20"/>
              </w:rPr>
              <w:t>uzvērts</w:t>
            </w:r>
            <w:r w:rsidRPr="00E46F91">
              <w:rPr>
                <w:rFonts w:eastAsia="Calibri"/>
                <w:sz w:val="20"/>
                <w:szCs w:val="20"/>
              </w:rPr>
              <w:t>, ka Vadošai iestādei nepieciešams pievērst pastiprinātu uzmanību tam, vai LIAA ir pietiekama kapacitāte maksājumu pieprasījumu pārbaužu un PPĪV savlaicīgai un kvalitatīvai veikšanai līdz MK noteikumu Nr.1041</w:t>
            </w:r>
            <w:r w:rsidRPr="00E46F91">
              <w:rPr>
                <w:rStyle w:val="FootnoteReference"/>
                <w:sz w:val="20"/>
                <w:szCs w:val="20"/>
              </w:rPr>
              <w:footnoteReference w:id="2"/>
            </w:r>
            <w:r w:rsidRPr="00E46F91">
              <w:rPr>
                <w:rFonts w:eastAsia="Calibri"/>
                <w:sz w:val="20"/>
                <w:szCs w:val="20"/>
              </w:rPr>
              <w:t xml:space="preserve"> 30.2.punktā noteiktajam termiņam.</w:t>
            </w:r>
          </w:p>
        </w:tc>
        <w:tc>
          <w:tcPr>
            <w:tcW w:w="1871" w:type="dxa"/>
            <w:tcBorders>
              <w:top w:val="single" w:sz="4" w:space="0" w:color="auto"/>
              <w:left w:val="nil"/>
              <w:bottom w:val="single" w:sz="4" w:space="0" w:color="auto"/>
              <w:right w:val="single" w:sz="4" w:space="0" w:color="auto"/>
            </w:tcBorders>
            <w:shd w:val="clear" w:color="auto" w:fill="auto"/>
            <w:vAlign w:val="center"/>
          </w:tcPr>
          <w:p w14:paraId="51E5E0A0" w14:textId="77777777" w:rsidR="000E748D" w:rsidRPr="00CB054C" w:rsidRDefault="000E748D" w:rsidP="009361D4">
            <w:pPr>
              <w:jc w:val="center"/>
              <w:rPr>
                <w:rFonts w:eastAsia="Calibri"/>
                <w:sz w:val="20"/>
                <w:szCs w:val="20"/>
              </w:rPr>
            </w:pPr>
            <w:r w:rsidRPr="00CB054C">
              <w:rPr>
                <w:rFonts w:eastAsia="Calibri"/>
                <w:sz w:val="20"/>
                <w:szCs w:val="20"/>
              </w:rPr>
              <w:t>Ziņojuma projektā tika izteikti 3</w:t>
            </w:r>
            <w:r>
              <w:rPr>
                <w:rFonts w:eastAsia="Calibri"/>
                <w:sz w:val="20"/>
                <w:szCs w:val="20"/>
              </w:rPr>
              <w:t>3</w:t>
            </w:r>
            <w:r w:rsidRPr="00CB054C">
              <w:rPr>
                <w:rFonts w:eastAsia="Calibri"/>
                <w:sz w:val="20"/>
                <w:szCs w:val="20"/>
              </w:rPr>
              <w:t xml:space="preserve"> ieteikumi</w:t>
            </w:r>
          </w:p>
          <w:p w14:paraId="7AE744AB" w14:textId="77777777" w:rsidR="000E748D" w:rsidRPr="00730313" w:rsidRDefault="000E748D" w:rsidP="009361D4">
            <w:pPr>
              <w:jc w:val="both"/>
              <w:rPr>
                <w:rFonts w:eastAsia="Calibri"/>
                <w:sz w:val="20"/>
                <w:szCs w:val="20"/>
              </w:rPr>
            </w:pPr>
            <w:r w:rsidRPr="00CB054C">
              <w:rPr>
                <w:rFonts w:eastAsia="Calibri"/>
                <w:sz w:val="20"/>
                <w:szCs w:val="20"/>
              </w:rPr>
              <w:t>(A-</w:t>
            </w:r>
            <w:r>
              <w:rPr>
                <w:rFonts w:eastAsia="Calibri"/>
                <w:sz w:val="20"/>
                <w:szCs w:val="20"/>
              </w:rPr>
              <w:t>13</w:t>
            </w:r>
            <w:r w:rsidRPr="00CB054C">
              <w:rPr>
                <w:rFonts w:eastAsia="Calibri"/>
                <w:sz w:val="20"/>
                <w:szCs w:val="20"/>
              </w:rPr>
              <w:t>, V-1</w:t>
            </w:r>
            <w:r>
              <w:rPr>
                <w:rFonts w:eastAsia="Calibri"/>
                <w:sz w:val="20"/>
                <w:szCs w:val="20"/>
              </w:rPr>
              <w:t>3</w:t>
            </w:r>
            <w:r w:rsidRPr="00CB054C">
              <w:rPr>
                <w:rFonts w:eastAsia="Calibri"/>
                <w:sz w:val="20"/>
                <w:szCs w:val="20"/>
              </w:rPr>
              <w:t>,</w:t>
            </w:r>
            <w:r>
              <w:rPr>
                <w:rFonts w:eastAsia="Calibri"/>
                <w:sz w:val="20"/>
                <w:szCs w:val="20"/>
              </w:rPr>
              <w:t xml:space="preserve"> </w:t>
            </w:r>
            <w:r w:rsidRPr="00CB054C">
              <w:rPr>
                <w:rFonts w:eastAsia="Calibri"/>
                <w:sz w:val="20"/>
                <w:szCs w:val="20"/>
              </w:rPr>
              <w:t>t.sk.4 ieteikumi attiecas uz 2014-2020 plānošanas periodu, Z-</w:t>
            </w:r>
            <w:r>
              <w:rPr>
                <w:rFonts w:eastAsia="Calibri"/>
                <w:sz w:val="20"/>
                <w:szCs w:val="20"/>
              </w:rPr>
              <w:t>7</w:t>
            </w:r>
            <w:r w:rsidRPr="00CB054C">
              <w:rPr>
                <w:rFonts w:eastAsia="Calibri"/>
                <w:sz w:val="20"/>
                <w:szCs w:val="20"/>
              </w:rPr>
              <w:t xml:space="preserve">). </w:t>
            </w:r>
          </w:p>
        </w:tc>
        <w:tc>
          <w:tcPr>
            <w:tcW w:w="2665" w:type="dxa"/>
            <w:tcBorders>
              <w:top w:val="single" w:sz="4" w:space="0" w:color="auto"/>
              <w:left w:val="nil"/>
              <w:bottom w:val="single" w:sz="4" w:space="0" w:color="auto"/>
              <w:right w:val="single" w:sz="4" w:space="0" w:color="auto"/>
            </w:tcBorders>
          </w:tcPr>
          <w:p w14:paraId="15425F91" w14:textId="77777777" w:rsidR="000E748D" w:rsidRDefault="000E748D" w:rsidP="009361D4">
            <w:pPr>
              <w:spacing w:after="80"/>
              <w:jc w:val="both"/>
              <w:rPr>
                <w:rFonts w:eastAsia="Calibri"/>
                <w:sz w:val="20"/>
                <w:szCs w:val="20"/>
              </w:rPr>
            </w:pPr>
            <w:r>
              <w:rPr>
                <w:rFonts w:eastAsia="Calibri"/>
                <w:sz w:val="20"/>
                <w:szCs w:val="20"/>
              </w:rPr>
              <w:t>Atbilstoši vadošajai iestādei izteiktajiem ieteikumiem tika veikts LIAA un SM papildu risku novērtējums, kura rezultātā secināts, ka vērojami uzlabojumi maksājumu pieprasījumu pārbaužu termiņu ievērošanā.</w:t>
            </w:r>
          </w:p>
          <w:p w14:paraId="2E58F280" w14:textId="77777777" w:rsidR="000E748D" w:rsidRDefault="000E748D" w:rsidP="009361D4">
            <w:pPr>
              <w:spacing w:after="80"/>
              <w:jc w:val="both"/>
              <w:rPr>
                <w:rFonts w:eastAsia="Calibri"/>
                <w:sz w:val="20"/>
                <w:szCs w:val="20"/>
              </w:rPr>
            </w:pPr>
            <w:r>
              <w:rPr>
                <w:rFonts w:eastAsia="Calibri"/>
                <w:sz w:val="20"/>
                <w:szCs w:val="20"/>
              </w:rPr>
              <w:t xml:space="preserve">Kopumā vadošā iestāde nodrošina 2007.-2013.gada plānošanas perioda </w:t>
            </w:r>
            <w:r w:rsidRPr="00130172">
              <w:rPr>
                <w:rFonts w:eastAsia="Calibri"/>
                <w:sz w:val="20"/>
                <w:szCs w:val="20"/>
              </w:rPr>
              <w:t>slēgšanas proces</w:t>
            </w:r>
            <w:r>
              <w:rPr>
                <w:rFonts w:eastAsia="Calibri"/>
                <w:sz w:val="20"/>
                <w:szCs w:val="20"/>
              </w:rPr>
              <w:t>a koordinēšanu saskaņā ar izstrādāto perioda slēgšanas laika grafiku.</w:t>
            </w:r>
          </w:p>
          <w:p w14:paraId="255BF484" w14:textId="77777777" w:rsidR="000E748D" w:rsidRPr="00CB054C" w:rsidRDefault="000E748D" w:rsidP="009361D4">
            <w:pPr>
              <w:jc w:val="both"/>
              <w:rPr>
                <w:rFonts w:eastAsia="Calibri"/>
                <w:sz w:val="20"/>
                <w:szCs w:val="20"/>
              </w:rPr>
            </w:pPr>
            <w:r w:rsidRPr="00F93E75">
              <w:rPr>
                <w:rFonts w:eastAsia="Calibri"/>
                <w:sz w:val="20"/>
                <w:szCs w:val="20"/>
              </w:rPr>
              <w:t xml:space="preserve">Lai 2014.–2020.gada plānošanas periodā novērstu </w:t>
            </w:r>
            <w:r>
              <w:rPr>
                <w:rFonts w:eastAsia="Calibri"/>
                <w:sz w:val="20"/>
                <w:szCs w:val="20"/>
              </w:rPr>
              <w:t xml:space="preserve">audita ietvaros </w:t>
            </w:r>
            <w:r w:rsidRPr="00F93E75">
              <w:rPr>
                <w:rFonts w:eastAsia="Calibri"/>
                <w:sz w:val="20"/>
                <w:szCs w:val="20"/>
              </w:rPr>
              <w:t xml:space="preserve">konstatētos trūkumus, tiks veikti grozījumi </w:t>
            </w:r>
            <w:r>
              <w:rPr>
                <w:rFonts w:eastAsia="Calibri"/>
                <w:sz w:val="20"/>
                <w:szCs w:val="20"/>
              </w:rPr>
              <w:t>vadošās iestādes iekšējās procedūrās, kā arī tiks nodrošināta vadošās iestādes veikto pārbaužu efektivitāte un pārbaužu rezultātu izsekojamība.</w:t>
            </w:r>
          </w:p>
        </w:tc>
      </w:tr>
      <w:tr w:rsidR="004F0805" w:rsidRPr="00730313" w14:paraId="7D7E8E6C" w14:textId="77777777" w:rsidTr="004F0805">
        <w:trPr>
          <w:trHeight w:val="225"/>
        </w:trPr>
        <w:tc>
          <w:tcPr>
            <w:tcW w:w="14709" w:type="dxa"/>
            <w:gridSpan w:val="8"/>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7A7052F" w14:textId="2B2B986E" w:rsidR="004F0805" w:rsidRPr="00CF357B" w:rsidRDefault="004F0805" w:rsidP="009361D4">
            <w:pPr>
              <w:jc w:val="center"/>
              <w:rPr>
                <w:b/>
                <w:sz w:val="20"/>
                <w:szCs w:val="20"/>
              </w:rPr>
            </w:pPr>
            <w:r w:rsidRPr="00CF357B">
              <w:rPr>
                <w:b/>
                <w:sz w:val="20"/>
                <w:szCs w:val="20"/>
              </w:rPr>
              <w:t>Horizontāl</w:t>
            </w:r>
            <w:r>
              <w:rPr>
                <w:b/>
                <w:sz w:val="20"/>
                <w:szCs w:val="20"/>
              </w:rPr>
              <w:t>ais sistēmu audits</w:t>
            </w:r>
            <w:r w:rsidRPr="00CF357B">
              <w:rPr>
                <w:b/>
                <w:sz w:val="20"/>
                <w:szCs w:val="20"/>
              </w:rPr>
              <w:t xml:space="preserve"> </w:t>
            </w:r>
            <w:r>
              <w:rPr>
                <w:b/>
                <w:sz w:val="20"/>
                <w:szCs w:val="20"/>
              </w:rPr>
              <w:t xml:space="preserve">par </w:t>
            </w:r>
            <w:r w:rsidRPr="00CF357B">
              <w:rPr>
                <w:rFonts w:eastAsia="Calibri"/>
                <w:b/>
                <w:sz w:val="20"/>
                <w:szCs w:val="20"/>
              </w:rPr>
              <w:t>Maksājumu pieprasījumu p</w:t>
            </w:r>
            <w:r>
              <w:rPr>
                <w:rFonts w:eastAsia="Calibri"/>
                <w:b/>
                <w:sz w:val="20"/>
                <w:szCs w:val="20"/>
              </w:rPr>
              <w:t xml:space="preserve">ārbaužu kvalitāti </w:t>
            </w:r>
          </w:p>
        </w:tc>
      </w:tr>
      <w:tr w:rsidR="000E748D" w:rsidRPr="00730313" w14:paraId="6EF75D77" w14:textId="77777777" w:rsidTr="00825195">
        <w:trPr>
          <w:trHeight w:val="423"/>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7B2AC7D5" w14:textId="77777777" w:rsidR="000E748D" w:rsidRPr="00730313" w:rsidRDefault="000E748D" w:rsidP="000E748D">
            <w:pPr>
              <w:numPr>
                <w:ilvl w:val="0"/>
                <w:numId w:val="1"/>
              </w:numPr>
              <w:tabs>
                <w:tab w:val="left" w:pos="165"/>
              </w:tabs>
              <w:ind w:left="502" w:hanging="720"/>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341274C" w14:textId="77777777" w:rsidR="000E748D" w:rsidRPr="006B7419" w:rsidRDefault="000E748D" w:rsidP="009361D4">
            <w:pPr>
              <w:jc w:val="center"/>
              <w:rPr>
                <w:sz w:val="20"/>
                <w:szCs w:val="20"/>
              </w:rPr>
            </w:pPr>
            <w:r w:rsidRPr="006B7419">
              <w:rPr>
                <w:sz w:val="20"/>
                <w:szCs w:val="20"/>
              </w:rPr>
              <w:t xml:space="preserve">1.+2.+3. Cilvēkresursi un nodarbinātība (2007LV051PO001), Uzņēmējdarbība </w:t>
            </w:r>
            <w:r w:rsidRPr="006B7419">
              <w:rPr>
                <w:sz w:val="20"/>
                <w:szCs w:val="20"/>
              </w:rPr>
              <w:lastRenderedPageBreak/>
              <w:t>un inovācijas (2007LV161PO001) un  Infrastruktūra un pakalpojumi (2007LV161PO002)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658D5E42" w14:textId="77777777" w:rsidR="000E748D" w:rsidRPr="00BD6492" w:rsidRDefault="000E748D" w:rsidP="009361D4">
            <w:pPr>
              <w:jc w:val="center"/>
              <w:rPr>
                <w:sz w:val="20"/>
                <w:szCs w:val="20"/>
              </w:rPr>
            </w:pPr>
            <w:r>
              <w:rPr>
                <w:sz w:val="20"/>
                <w:szCs w:val="20"/>
              </w:rPr>
              <w:lastRenderedPageBreak/>
              <w:t>RI</w:t>
            </w:r>
          </w:p>
        </w:tc>
        <w:tc>
          <w:tcPr>
            <w:tcW w:w="1275" w:type="dxa"/>
            <w:tcBorders>
              <w:top w:val="single" w:sz="4" w:space="0" w:color="auto"/>
              <w:left w:val="nil"/>
              <w:bottom w:val="single" w:sz="4" w:space="0" w:color="auto"/>
              <w:right w:val="single" w:sz="4" w:space="0" w:color="auto"/>
            </w:tcBorders>
            <w:shd w:val="clear" w:color="auto" w:fill="auto"/>
            <w:vAlign w:val="center"/>
          </w:tcPr>
          <w:p w14:paraId="7B65E709" w14:textId="77777777" w:rsidR="000E748D" w:rsidRPr="00FF0982" w:rsidRDefault="000E748D" w:rsidP="009361D4">
            <w:pPr>
              <w:autoSpaceDE w:val="0"/>
              <w:autoSpaceDN w:val="0"/>
              <w:adjustRightInd w:val="0"/>
              <w:jc w:val="center"/>
              <w:rPr>
                <w:sz w:val="20"/>
                <w:szCs w:val="20"/>
              </w:rPr>
            </w:pPr>
            <w:r w:rsidRPr="00FF0982">
              <w:rPr>
                <w:sz w:val="20"/>
                <w:szCs w:val="20"/>
              </w:rPr>
              <w:t>20.04.2015. 06.11.2015.</w:t>
            </w:r>
          </w:p>
        </w:tc>
        <w:tc>
          <w:tcPr>
            <w:tcW w:w="1701" w:type="dxa"/>
            <w:tcBorders>
              <w:top w:val="single" w:sz="4" w:space="0" w:color="auto"/>
              <w:left w:val="nil"/>
              <w:bottom w:val="single" w:sz="4" w:space="0" w:color="auto"/>
              <w:right w:val="single" w:sz="4" w:space="0" w:color="auto"/>
            </w:tcBorders>
            <w:shd w:val="clear" w:color="auto" w:fill="auto"/>
            <w:vAlign w:val="center"/>
          </w:tcPr>
          <w:p w14:paraId="0F5D350A" w14:textId="77777777" w:rsidR="000E748D" w:rsidRPr="004467F4" w:rsidRDefault="000E748D" w:rsidP="009361D4">
            <w:pPr>
              <w:autoSpaceDE w:val="0"/>
              <w:autoSpaceDN w:val="0"/>
              <w:adjustRightInd w:val="0"/>
              <w:jc w:val="center"/>
              <w:rPr>
                <w:bCs/>
                <w:sz w:val="20"/>
                <w:szCs w:val="20"/>
              </w:rPr>
            </w:pPr>
            <w:r w:rsidRPr="00CF357B">
              <w:rPr>
                <w:bCs/>
                <w:sz w:val="20"/>
                <w:szCs w:val="20"/>
              </w:rPr>
              <w:t>MPK-AI/SI-15/7</w:t>
            </w:r>
          </w:p>
          <w:p w14:paraId="05C88259" w14:textId="77777777" w:rsidR="000E748D" w:rsidRDefault="000E748D" w:rsidP="009361D4">
            <w:pPr>
              <w:autoSpaceDE w:val="0"/>
              <w:autoSpaceDN w:val="0"/>
              <w:adjustRightInd w:val="0"/>
              <w:jc w:val="center"/>
              <w:rPr>
                <w:sz w:val="20"/>
                <w:szCs w:val="20"/>
              </w:rPr>
            </w:pPr>
            <w:r>
              <w:rPr>
                <w:sz w:val="20"/>
                <w:szCs w:val="20"/>
              </w:rPr>
              <w:t>06.11.2015.</w:t>
            </w:r>
          </w:p>
          <w:p w14:paraId="783D4F45" w14:textId="77777777" w:rsidR="000E748D" w:rsidRPr="004467F4" w:rsidRDefault="000E748D" w:rsidP="009361D4">
            <w:pPr>
              <w:autoSpaceDE w:val="0"/>
              <w:autoSpaceDN w:val="0"/>
              <w:adjustRightInd w:val="0"/>
              <w:jc w:val="center"/>
              <w:rPr>
                <w:bCs/>
                <w:sz w:val="20"/>
                <w:szCs w:val="20"/>
              </w:rPr>
            </w:pPr>
          </w:p>
          <w:p w14:paraId="6316FA15" w14:textId="77777777" w:rsidR="000E748D" w:rsidRDefault="000E748D" w:rsidP="009361D4">
            <w:pPr>
              <w:autoSpaceDE w:val="0"/>
              <w:autoSpaceDN w:val="0"/>
              <w:adjustRightInd w:val="0"/>
              <w:jc w:val="center"/>
              <w:rPr>
                <w:bCs/>
                <w:sz w:val="20"/>
                <w:szCs w:val="20"/>
              </w:rPr>
            </w:pPr>
            <w:r>
              <w:rPr>
                <w:bCs/>
                <w:sz w:val="20"/>
                <w:szCs w:val="20"/>
              </w:rPr>
              <w:t>Pamatprasība</w:t>
            </w:r>
            <w:r w:rsidRPr="004467F4">
              <w:rPr>
                <w:bCs/>
                <w:sz w:val="20"/>
                <w:szCs w:val="20"/>
              </w:rPr>
              <w:t>: 4</w:t>
            </w:r>
          </w:p>
          <w:p w14:paraId="0384E6C0" w14:textId="77777777" w:rsidR="000E748D" w:rsidRPr="00CF357B" w:rsidRDefault="000E748D" w:rsidP="009361D4">
            <w:pPr>
              <w:autoSpaceDE w:val="0"/>
              <w:autoSpaceDN w:val="0"/>
              <w:adjustRightInd w:val="0"/>
              <w:jc w:val="center"/>
              <w:rPr>
                <w:bCs/>
                <w:sz w:val="20"/>
                <w:szCs w:val="20"/>
              </w:rPr>
            </w:pPr>
            <w:r w:rsidRPr="00CF357B">
              <w:rPr>
                <w:bCs/>
                <w:sz w:val="20"/>
                <w:szCs w:val="20"/>
              </w:rPr>
              <w:lastRenderedPageBreak/>
              <w:t>Centrālajā finanšu un līgumu aģentūrā,</w:t>
            </w:r>
          </w:p>
          <w:p w14:paraId="1C95158A" w14:textId="77777777" w:rsidR="000E748D" w:rsidRPr="00CF357B" w:rsidRDefault="000E748D" w:rsidP="009361D4">
            <w:pPr>
              <w:autoSpaceDE w:val="0"/>
              <w:autoSpaceDN w:val="0"/>
              <w:adjustRightInd w:val="0"/>
              <w:jc w:val="center"/>
              <w:rPr>
                <w:bCs/>
                <w:sz w:val="20"/>
                <w:szCs w:val="20"/>
              </w:rPr>
            </w:pPr>
            <w:r w:rsidRPr="00CF357B">
              <w:rPr>
                <w:bCs/>
                <w:sz w:val="20"/>
                <w:szCs w:val="20"/>
              </w:rPr>
              <w:t>Valsts reģionālās attīstības aģentūrā,</w:t>
            </w:r>
          </w:p>
          <w:p w14:paraId="1E68150B" w14:textId="77777777" w:rsidR="000E748D" w:rsidRPr="00CF357B" w:rsidRDefault="000E748D" w:rsidP="009361D4">
            <w:pPr>
              <w:autoSpaceDE w:val="0"/>
              <w:autoSpaceDN w:val="0"/>
              <w:adjustRightInd w:val="0"/>
              <w:jc w:val="center"/>
              <w:rPr>
                <w:bCs/>
                <w:sz w:val="20"/>
                <w:szCs w:val="20"/>
              </w:rPr>
            </w:pPr>
            <w:r w:rsidRPr="00CF357B">
              <w:rPr>
                <w:bCs/>
                <w:sz w:val="20"/>
                <w:szCs w:val="20"/>
              </w:rPr>
              <w:t>Latvijas Investīciju un attīstības aģentūrā,</w:t>
            </w:r>
          </w:p>
          <w:p w14:paraId="19FC0C88" w14:textId="77777777" w:rsidR="000E748D" w:rsidRPr="00CF357B" w:rsidRDefault="000E748D" w:rsidP="009361D4">
            <w:pPr>
              <w:autoSpaceDE w:val="0"/>
              <w:autoSpaceDN w:val="0"/>
              <w:adjustRightInd w:val="0"/>
              <w:jc w:val="center"/>
              <w:rPr>
                <w:bCs/>
                <w:sz w:val="20"/>
                <w:szCs w:val="20"/>
              </w:rPr>
            </w:pPr>
            <w:r w:rsidRPr="00CF357B">
              <w:rPr>
                <w:bCs/>
                <w:sz w:val="20"/>
                <w:szCs w:val="20"/>
              </w:rPr>
              <w:t xml:space="preserve">Valsts izglītības attīstības aģentūrā, </w:t>
            </w:r>
          </w:p>
          <w:p w14:paraId="75798675" w14:textId="77777777" w:rsidR="000E748D" w:rsidRPr="00CF357B" w:rsidRDefault="000E748D" w:rsidP="009361D4">
            <w:pPr>
              <w:autoSpaceDE w:val="0"/>
              <w:autoSpaceDN w:val="0"/>
              <w:adjustRightInd w:val="0"/>
              <w:jc w:val="center"/>
              <w:rPr>
                <w:bCs/>
                <w:sz w:val="20"/>
                <w:szCs w:val="20"/>
              </w:rPr>
            </w:pPr>
            <w:r w:rsidRPr="00CF357B">
              <w:rPr>
                <w:bCs/>
                <w:sz w:val="20"/>
                <w:szCs w:val="20"/>
              </w:rPr>
              <w:t>Nodarbinātības valsts aģentūrā</w:t>
            </w:r>
          </w:p>
          <w:p w14:paraId="52283A87" w14:textId="77777777" w:rsidR="000E748D" w:rsidRPr="00284C49" w:rsidRDefault="000E748D" w:rsidP="009361D4">
            <w:pPr>
              <w:autoSpaceDE w:val="0"/>
              <w:autoSpaceDN w:val="0"/>
              <w:adjustRightInd w:val="0"/>
              <w:jc w:val="center"/>
              <w:rPr>
                <w:bCs/>
                <w:color w:val="A6A6A6"/>
                <w:sz w:val="20"/>
                <w:szCs w:val="20"/>
              </w:rPr>
            </w:pPr>
            <w:r w:rsidRPr="00CF357B">
              <w:rPr>
                <w:bCs/>
                <w:sz w:val="20"/>
                <w:szCs w:val="20"/>
              </w:rPr>
              <w:t>Sabiedrības integrācijas fondā</w:t>
            </w:r>
          </w:p>
        </w:tc>
        <w:tc>
          <w:tcPr>
            <w:tcW w:w="3261" w:type="dxa"/>
            <w:tcBorders>
              <w:top w:val="single" w:sz="4" w:space="0" w:color="auto"/>
              <w:left w:val="nil"/>
              <w:bottom w:val="single" w:sz="4" w:space="0" w:color="auto"/>
              <w:right w:val="single" w:sz="4" w:space="0" w:color="auto"/>
            </w:tcBorders>
            <w:shd w:val="clear" w:color="auto" w:fill="auto"/>
            <w:vAlign w:val="center"/>
          </w:tcPr>
          <w:p w14:paraId="6C5A28FA" w14:textId="77777777" w:rsidR="000E748D" w:rsidRPr="00CF357B" w:rsidRDefault="000E748D" w:rsidP="009361D4">
            <w:pPr>
              <w:jc w:val="both"/>
              <w:rPr>
                <w:sz w:val="20"/>
                <w:szCs w:val="20"/>
              </w:rPr>
            </w:pPr>
            <w:r w:rsidRPr="00CF357B">
              <w:rPr>
                <w:sz w:val="20"/>
                <w:szCs w:val="20"/>
              </w:rPr>
              <w:lastRenderedPageBreak/>
              <w:t xml:space="preserve">Audita rezultātā ir iegūta pietiekama pārliecība, ka 2007.-2013.gada plānošanas periodam izveidotā ES fondu vadības un kontroles sistēma nodrošina kvalitatīvas maksājumu pieprasījumu pārbaudes plānošanas </w:t>
            </w:r>
            <w:r w:rsidRPr="00CF357B">
              <w:rPr>
                <w:sz w:val="20"/>
                <w:szCs w:val="20"/>
              </w:rPr>
              <w:lastRenderedPageBreak/>
              <w:t>perioda noslēguma posmā, tai skaitā pārbaudes projektu īstenošanas vietās.</w:t>
            </w:r>
          </w:p>
          <w:p w14:paraId="59E2FA27" w14:textId="77777777" w:rsidR="000E748D" w:rsidRPr="00FA2432" w:rsidRDefault="000E748D" w:rsidP="009361D4">
            <w:pPr>
              <w:jc w:val="both"/>
              <w:rPr>
                <w:bCs/>
                <w:sz w:val="20"/>
                <w:szCs w:val="20"/>
              </w:rPr>
            </w:pPr>
            <w:r w:rsidRPr="00CF357B">
              <w:rPr>
                <w:sz w:val="20"/>
                <w:szCs w:val="20"/>
              </w:rPr>
              <w:t xml:space="preserve">Neizsakot ieteikumu, </w:t>
            </w:r>
            <w:r>
              <w:rPr>
                <w:sz w:val="20"/>
                <w:szCs w:val="20"/>
              </w:rPr>
              <w:t>tika norādīts</w:t>
            </w:r>
            <w:r w:rsidRPr="00CF357B">
              <w:rPr>
                <w:sz w:val="20"/>
                <w:szCs w:val="20"/>
              </w:rPr>
              <w:t>, ka Vadošai iestādei nepieciešams pievērst pastiprinātu uzmanību tam, vai VRAA un LIAA ir pietiekama kapacitāte maksājumu pieprasījumu un PPĪV savlaicīgai un kvalitatīvai veikšanai līdz pat 2007. – 2013. plānošanas perioda noslēgumam.</w:t>
            </w:r>
          </w:p>
        </w:tc>
        <w:tc>
          <w:tcPr>
            <w:tcW w:w="1871" w:type="dxa"/>
            <w:tcBorders>
              <w:top w:val="single" w:sz="4" w:space="0" w:color="auto"/>
              <w:left w:val="nil"/>
              <w:bottom w:val="single" w:sz="4" w:space="0" w:color="auto"/>
              <w:right w:val="single" w:sz="4" w:space="0" w:color="auto"/>
            </w:tcBorders>
            <w:shd w:val="clear" w:color="auto" w:fill="auto"/>
            <w:vAlign w:val="center"/>
          </w:tcPr>
          <w:p w14:paraId="73A38368" w14:textId="77777777" w:rsidR="000E748D" w:rsidRPr="00730313" w:rsidRDefault="000E748D" w:rsidP="009361D4">
            <w:pPr>
              <w:rPr>
                <w:sz w:val="20"/>
                <w:szCs w:val="20"/>
              </w:rPr>
            </w:pPr>
            <w:r>
              <w:rPr>
                <w:sz w:val="20"/>
                <w:szCs w:val="20"/>
              </w:rPr>
              <w:lastRenderedPageBreak/>
              <w:t>-</w:t>
            </w:r>
          </w:p>
        </w:tc>
        <w:tc>
          <w:tcPr>
            <w:tcW w:w="2665" w:type="dxa"/>
            <w:tcBorders>
              <w:top w:val="single" w:sz="4" w:space="0" w:color="auto"/>
              <w:left w:val="nil"/>
              <w:bottom w:val="single" w:sz="4" w:space="0" w:color="auto"/>
              <w:right w:val="single" w:sz="4" w:space="0" w:color="auto"/>
            </w:tcBorders>
          </w:tcPr>
          <w:p w14:paraId="62F5136E" w14:textId="77777777" w:rsidR="000E748D" w:rsidRDefault="000E748D" w:rsidP="009361D4">
            <w:pPr>
              <w:jc w:val="both"/>
              <w:rPr>
                <w:sz w:val="20"/>
                <w:szCs w:val="20"/>
              </w:rPr>
            </w:pPr>
            <w:r w:rsidRPr="00774A21">
              <w:rPr>
                <w:sz w:val="20"/>
                <w:szCs w:val="20"/>
              </w:rPr>
              <w:t xml:space="preserve">Lai gan ieteikums </w:t>
            </w:r>
            <w:r>
              <w:rPr>
                <w:sz w:val="20"/>
                <w:szCs w:val="20"/>
              </w:rPr>
              <w:t>vadošajai iestādei</w:t>
            </w:r>
            <w:r w:rsidRPr="00774A21">
              <w:rPr>
                <w:sz w:val="20"/>
                <w:szCs w:val="20"/>
              </w:rPr>
              <w:t xml:space="preserve"> netika izteikts, ņemot vērā audita ziņojumā ietverto norādi, </w:t>
            </w:r>
            <w:r>
              <w:rPr>
                <w:sz w:val="20"/>
                <w:szCs w:val="20"/>
              </w:rPr>
              <w:t>vadošā iestāde</w:t>
            </w:r>
            <w:r w:rsidRPr="00774A21">
              <w:rPr>
                <w:sz w:val="20"/>
                <w:szCs w:val="20"/>
              </w:rPr>
              <w:t xml:space="preserve"> ir veikusi </w:t>
            </w:r>
            <w:r>
              <w:rPr>
                <w:sz w:val="20"/>
                <w:szCs w:val="20"/>
              </w:rPr>
              <w:t>attiecīgās</w:t>
            </w:r>
            <w:r w:rsidRPr="00774A21">
              <w:rPr>
                <w:sz w:val="20"/>
                <w:szCs w:val="20"/>
              </w:rPr>
              <w:t xml:space="preserve"> darbības, lai izvērtētu un nepieciešamības </w:t>
            </w:r>
            <w:r w:rsidRPr="00774A21">
              <w:rPr>
                <w:sz w:val="20"/>
                <w:szCs w:val="20"/>
              </w:rPr>
              <w:lastRenderedPageBreak/>
              <w:t xml:space="preserve">gadījumā stiprinātu norādīto iestāžu kapacitāti </w:t>
            </w:r>
            <w:r>
              <w:rPr>
                <w:sz w:val="20"/>
                <w:szCs w:val="20"/>
              </w:rPr>
              <w:t>maksājumu pieprasījumu pārbaužu</w:t>
            </w:r>
            <w:r w:rsidRPr="00774A21">
              <w:rPr>
                <w:sz w:val="20"/>
                <w:szCs w:val="20"/>
              </w:rPr>
              <w:t xml:space="preserve"> un </w:t>
            </w:r>
            <w:r>
              <w:rPr>
                <w:sz w:val="20"/>
                <w:szCs w:val="20"/>
              </w:rPr>
              <w:t>PPĪV</w:t>
            </w:r>
            <w:r w:rsidRPr="00774A21">
              <w:rPr>
                <w:sz w:val="20"/>
                <w:szCs w:val="20"/>
              </w:rPr>
              <w:t xml:space="preserve"> veikšanā, tai skaitā rīcība tiek nodrošināta arī citos auditos izteiktu ieteikumu ietvaros (</w:t>
            </w:r>
            <w:r>
              <w:rPr>
                <w:sz w:val="20"/>
                <w:szCs w:val="20"/>
              </w:rPr>
              <w:t>t.sk. lūdzam skatīt</w:t>
            </w:r>
            <w:r w:rsidRPr="00774A21">
              <w:rPr>
                <w:sz w:val="20"/>
                <w:szCs w:val="20"/>
              </w:rPr>
              <w:t xml:space="preserve"> </w:t>
            </w:r>
            <w:r>
              <w:rPr>
                <w:sz w:val="20"/>
                <w:szCs w:val="20"/>
              </w:rPr>
              <w:t>1</w:t>
            </w:r>
            <w:r w:rsidRPr="00774A21">
              <w:rPr>
                <w:sz w:val="20"/>
                <w:szCs w:val="20"/>
              </w:rPr>
              <w:t>.punktā norādīt</w:t>
            </w:r>
            <w:r>
              <w:rPr>
                <w:sz w:val="20"/>
                <w:szCs w:val="20"/>
              </w:rPr>
              <w:t>o</w:t>
            </w:r>
            <w:r w:rsidRPr="00774A21">
              <w:rPr>
                <w:sz w:val="20"/>
                <w:szCs w:val="20"/>
              </w:rPr>
              <w:t xml:space="preserve"> </w:t>
            </w:r>
            <w:r>
              <w:rPr>
                <w:sz w:val="20"/>
                <w:szCs w:val="20"/>
              </w:rPr>
              <w:t xml:space="preserve">vadošās iestādes </w:t>
            </w:r>
            <w:r w:rsidRPr="00774A21">
              <w:rPr>
                <w:sz w:val="20"/>
                <w:szCs w:val="20"/>
              </w:rPr>
              <w:t>rīcību).</w:t>
            </w:r>
          </w:p>
        </w:tc>
      </w:tr>
      <w:tr w:rsidR="004F0805" w:rsidRPr="00730313" w14:paraId="6EE07376" w14:textId="77777777" w:rsidTr="004F0805">
        <w:trPr>
          <w:trHeight w:val="332"/>
        </w:trPr>
        <w:tc>
          <w:tcPr>
            <w:tcW w:w="14709" w:type="dxa"/>
            <w:gridSpan w:val="8"/>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0D03726" w14:textId="7E7E3E20" w:rsidR="004F0805" w:rsidRPr="00774A21" w:rsidRDefault="004F0805" w:rsidP="004F0805">
            <w:pPr>
              <w:jc w:val="center"/>
              <w:rPr>
                <w:sz w:val="20"/>
                <w:szCs w:val="20"/>
              </w:rPr>
            </w:pPr>
            <w:r w:rsidRPr="00EB4141">
              <w:rPr>
                <w:b/>
                <w:sz w:val="20"/>
                <w:szCs w:val="20"/>
              </w:rPr>
              <w:lastRenderedPageBreak/>
              <w:t>Finanšu inženierijas instrumentu slēgšanas audits</w:t>
            </w:r>
          </w:p>
        </w:tc>
      </w:tr>
      <w:tr w:rsidR="00053B2B" w:rsidRPr="00730313" w14:paraId="02DF7103" w14:textId="77777777" w:rsidTr="00825195">
        <w:trPr>
          <w:trHeight w:val="423"/>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1F7009D9" w14:textId="77777777" w:rsidR="00053B2B" w:rsidRPr="00D517A6" w:rsidRDefault="00053B2B" w:rsidP="00053B2B">
            <w:pPr>
              <w:numPr>
                <w:ilvl w:val="0"/>
                <w:numId w:val="1"/>
              </w:numPr>
              <w:tabs>
                <w:tab w:val="left" w:pos="165"/>
              </w:tabs>
              <w:ind w:left="502" w:hanging="720"/>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8367C1C" w14:textId="79ABF4B2" w:rsidR="00053B2B" w:rsidRPr="00D517A6" w:rsidRDefault="00053B2B" w:rsidP="00053B2B">
            <w:pPr>
              <w:jc w:val="center"/>
              <w:rPr>
                <w:sz w:val="20"/>
                <w:szCs w:val="20"/>
              </w:rPr>
            </w:pPr>
            <w:r w:rsidRPr="00D517A6">
              <w:rPr>
                <w:sz w:val="20"/>
                <w:szCs w:val="20"/>
              </w:rPr>
              <w:t>1.+2. Cilvēkresursi un nodarbinātība (2007LV051PO001) un Uzņēmējdarbība un inovācijas (2007LV161PO001)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D441371" w14:textId="648AF7B4" w:rsidR="00053B2B" w:rsidRPr="00D517A6" w:rsidRDefault="00053B2B" w:rsidP="00053B2B">
            <w:pPr>
              <w:jc w:val="center"/>
              <w:rPr>
                <w:sz w:val="20"/>
                <w:szCs w:val="20"/>
              </w:rPr>
            </w:pPr>
            <w:r w:rsidRPr="00D517A6">
              <w:rPr>
                <w:sz w:val="20"/>
                <w:szCs w:val="20"/>
              </w:rPr>
              <w:t>Revīzijas iestāde</w:t>
            </w:r>
          </w:p>
        </w:tc>
        <w:tc>
          <w:tcPr>
            <w:tcW w:w="1275" w:type="dxa"/>
            <w:tcBorders>
              <w:top w:val="single" w:sz="4" w:space="0" w:color="auto"/>
              <w:left w:val="nil"/>
              <w:bottom w:val="single" w:sz="4" w:space="0" w:color="auto"/>
              <w:right w:val="single" w:sz="4" w:space="0" w:color="auto"/>
            </w:tcBorders>
            <w:shd w:val="clear" w:color="auto" w:fill="auto"/>
            <w:vAlign w:val="center"/>
          </w:tcPr>
          <w:p w14:paraId="47AAA4A7" w14:textId="3938A6D9" w:rsidR="00053B2B" w:rsidRPr="00D517A6" w:rsidRDefault="00053B2B" w:rsidP="00053B2B">
            <w:pPr>
              <w:autoSpaceDE w:val="0"/>
              <w:autoSpaceDN w:val="0"/>
              <w:adjustRightInd w:val="0"/>
              <w:jc w:val="center"/>
              <w:rPr>
                <w:sz w:val="20"/>
                <w:szCs w:val="20"/>
              </w:rPr>
            </w:pPr>
            <w:r w:rsidRPr="00D517A6">
              <w:rPr>
                <w:sz w:val="20"/>
                <w:szCs w:val="20"/>
              </w:rPr>
              <w:t>08.03.2016. – 07.03.2017.</w:t>
            </w:r>
          </w:p>
        </w:tc>
        <w:tc>
          <w:tcPr>
            <w:tcW w:w="1701" w:type="dxa"/>
            <w:tcBorders>
              <w:top w:val="single" w:sz="4" w:space="0" w:color="auto"/>
              <w:left w:val="nil"/>
              <w:bottom w:val="single" w:sz="4" w:space="0" w:color="auto"/>
              <w:right w:val="single" w:sz="4" w:space="0" w:color="auto"/>
            </w:tcBorders>
            <w:shd w:val="clear" w:color="auto" w:fill="auto"/>
            <w:vAlign w:val="center"/>
          </w:tcPr>
          <w:p w14:paraId="521C62F5" w14:textId="77777777" w:rsidR="00053B2B" w:rsidRPr="00D517A6" w:rsidRDefault="00053B2B" w:rsidP="00053B2B">
            <w:pPr>
              <w:autoSpaceDE w:val="0"/>
              <w:autoSpaceDN w:val="0"/>
              <w:adjustRightInd w:val="0"/>
              <w:jc w:val="center"/>
              <w:rPr>
                <w:bCs/>
                <w:sz w:val="20"/>
                <w:szCs w:val="20"/>
              </w:rPr>
            </w:pPr>
            <w:r w:rsidRPr="00D517A6">
              <w:rPr>
                <w:bCs/>
                <w:sz w:val="20"/>
                <w:szCs w:val="20"/>
              </w:rPr>
              <w:t>SIST-FEI-16/4 Starpziņojums 01.12.2016.</w:t>
            </w:r>
          </w:p>
          <w:p w14:paraId="260D1F61" w14:textId="77777777" w:rsidR="00053B2B" w:rsidRPr="00D517A6" w:rsidRDefault="00053B2B" w:rsidP="00053B2B">
            <w:pPr>
              <w:autoSpaceDE w:val="0"/>
              <w:autoSpaceDN w:val="0"/>
              <w:adjustRightInd w:val="0"/>
              <w:jc w:val="center"/>
              <w:rPr>
                <w:bCs/>
                <w:sz w:val="20"/>
                <w:szCs w:val="20"/>
              </w:rPr>
            </w:pPr>
          </w:p>
          <w:p w14:paraId="6079A5ED" w14:textId="77777777" w:rsidR="00053B2B" w:rsidRPr="00D517A6" w:rsidRDefault="00053B2B" w:rsidP="00053B2B">
            <w:pPr>
              <w:autoSpaceDE w:val="0"/>
              <w:autoSpaceDN w:val="0"/>
              <w:adjustRightInd w:val="0"/>
              <w:jc w:val="center"/>
              <w:rPr>
                <w:bCs/>
                <w:sz w:val="20"/>
                <w:szCs w:val="20"/>
              </w:rPr>
            </w:pPr>
            <w:r w:rsidRPr="00D517A6">
              <w:rPr>
                <w:bCs/>
                <w:sz w:val="20"/>
                <w:szCs w:val="20"/>
              </w:rPr>
              <w:t>SIST-FEI-16/4 Ziņojums 07.03.2016.</w:t>
            </w:r>
          </w:p>
          <w:p w14:paraId="35DF5F32" w14:textId="77777777" w:rsidR="00053B2B" w:rsidRPr="00D517A6" w:rsidRDefault="00053B2B" w:rsidP="00053B2B">
            <w:pPr>
              <w:autoSpaceDE w:val="0"/>
              <w:autoSpaceDN w:val="0"/>
              <w:adjustRightInd w:val="0"/>
              <w:jc w:val="center"/>
              <w:rPr>
                <w:bCs/>
                <w:sz w:val="20"/>
                <w:szCs w:val="20"/>
              </w:rPr>
            </w:pPr>
          </w:p>
          <w:p w14:paraId="5553E2CB" w14:textId="77777777" w:rsidR="00053B2B" w:rsidRPr="00D517A6" w:rsidRDefault="00053B2B" w:rsidP="00053B2B">
            <w:pPr>
              <w:autoSpaceDE w:val="0"/>
              <w:autoSpaceDN w:val="0"/>
              <w:adjustRightInd w:val="0"/>
              <w:jc w:val="center"/>
              <w:rPr>
                <w:bCs/>
                <w:sz w:val="20"/>
                <w:szCs w:val="20"/>
              </w:rPr>
            </w:pPr>
            <w:r w:rsidRPr="00D517A6">
              <w:rPr>
                <w:bCs/>
                <w:sz w:val="20"/>
                <w:szCs w:val="20"/>
              </w:rPr>
              <w:t>VI, EM, LIAA, ALTUM</w:t>
            </w:r>
          </w:p>
          <w:p w14:paraId="0E307997" w14:textId="77777777" w:rsidR="00053B2B" w:rsidRPr="00D517A6" w:rsidRDefault="00053B2B" w:rsidP="00053B2B">
            <w:pPr>
              <w:autoSpaceDE w:val="0"/>
              <w:autoSpaceDN w:val="0"/>
              <w:adjustRightInd w:val="0"/>
              <w:jc w:val="center"/>
              <w:rPr>
                <w:bCs/>
                <w:sz w:val="20"/>
                <w:szCs w:val="20"/>
              </w:rPr>
            </w:pPr>
          </w:p>
          <w:p w14:paraId="74B54249" w14:textId="77777777" w:rsidR="00053B2B" w:rsidRPr="00D517A6" w:rsidRDefault="00053B2B" w:rsidP="00053B2B">
            <w:pPr>
              <w:autoSpaceDE w:val="0"/>
              <w:autoSpaceDN w:val="0"/>
              <w:adjustRightInd w:val="0"/>
              <w:jc w:val="center"/>
              <w:rPr>
                <w:bCs/>
                <w:sz w:val="20"/>
                <w:szCs w:val="20"/>
              </w:rPr>
            </w:pPr>
          </w:p>
          <w:p w14:paraId="68BCDFB5" w14:textId="77777777" w:rsidR="00053B2B" w:rsidRPr="00D517A6" w:rsidRDefault="00053B2B" w:rsidP="00053B2B">
            <w:pPr>
              <w:autoSpaceDE w:val="0"/>
              <w:autoSpaceDN w:val="0"/>
              <w:adjustRightInd w:val="0"/>
              <w:jc w:val="center"/>
              <w:rPr>
                <w:bCs/>
                <w:sz w:val="20"/>
                <w:szCs w:val="20"/>
              </w:rPr>
            </w:pPr>
            <w:r w:rsidRPr="00D517A6">
              <w:rPr>
                <w:bCs/>
                <w:sz w:val="20"/>
                <w:szCs w:val="20"/>
              </w:rPr>
              <w:t xml:space="preserve">Projekts Nr.1DP/1.3.1.2.0/09/IPIA/LIAA/001 </w:t>
            </w:r>
          </w:p>
          <w:p w14:paraId="30DEFFE4" w14:textId="77777777" w:rsidR="00053B2B" w:rsidRPr="00D517A6" w:rsidRDefault="00053B2B" w:rsidP="00053B2B">
            <w:pPr>
              <w:autoSpaceDE w:val="0"/>
              <w:autoSpaceDN w:val="0"/>
              <w:adjustRightInd w:val="0"/>
              <w:jc w:val="center"/>
              <w:rPr>
                <w:bCs/>
                <w:sz w:val="20"/>
                <w:szCs w:val="20"/>
              </w:rPr>
            </w:pPr>
            <w:r w:rsidRPr="00D517A6">
              <w:rPr>
                <w:bCs/>
                <w:sz w:val="20"/>
                <w:szCs w:val="20"/>
              </w:rPr>
              <w:t>Projekts Nr.2DP/2.2.1.3.0/09/IPIA/EM/001</w:t>
            </w:r>
          </w:p>
          <w:p w14:paraId="760B9F33" w14:textId="77777777" w:rsidR="00053B2B" w:rsidRPr="00D517A6" w:rsidRDefault="00053B2B" w:rsidP="00053B2B">
            <w:pPr>
              <w:autoSpaceDE w:val="0"/>
              <w:autoSpaceDN w:val="0"/>
              <w:adjustRightInd w:val="0"/>
              <w:jc w:val="center"/>
              <w:rPr>
                <w:bCs/>
                <w:sz w:val="20"/>
                <w:szCs w:val="20"/>
              </w:rPr>
            </w:pPr>
            <w:r w:rsidRPr="00D517A6">
              <w:rPr>
                <w:bCs/>
                <w:sz w:val="20"/>
                <w:szCs w:val="20"/>
              </w:rPr>
              <w:t xml:space="preserve">Projekts Nr.2DP/2.2.1.4.0/09/IPIA/EM/001 </w:t>
            </w:r>
          </w:p>
          <w:p w14:paraId="36E74B68" w14:textId="77777777" w:rsidR="00053B2B" w:rsidRPr="00D517A6" w:rsidRDefault="00053B2B" w:rsidP="00053B2B">
            <w:pPr>
              <w:autoSpaceDE w:val="0"/>
              <w:autoSpaceDN w:val="0"/>
              <w:adjustRightInd w:val="0"/>
              <w:jc w:val="center"/>
              <w:rPr>
                <w:bCs/>
                <w:sz w:val="20"/>
                <w:szCs w:val="20"/>
              </w:rPr>
            </w:pPr>
            <w:r w:rsidRPr="00D517A6">
              <w:rPr>
                <w:bCs/>
                <w:sz w:val="20"/>
                <w:szCs w:val="20"/>
              </w:rPr>
              <w:lastRenderedPageBreak/>
              <w:t xml:space="preserve">Projekts Nr.2DP/2.2.1.4.1/14/IPIA/EM/001 </w:t>
            </w:r>
          </w:p>
          <w:p w14:paraId="6244B390" w14:textId="77777777" w:rsidR="00053B2B" w:rsidRPr="00D517A6" w:rsidRDefault="00053B2B" w:rsidP="00053B2B">
            <w:pPr>
              <w:autoSpaceDE w:val="0"/>
              <w:autoSpaceDN w:val="0"/>
              <w:adjustRightInd w:val="0"/>
              <w:jc w:val="center"/>
              <w:rPr>
                <w:bCs/>
                <w:sz w:val="20"/>
                <w:szCs w:val="20"/>
              </w:rPr>
            </w:pPr>
            <w:r w:rsidRPr="00D517A6">
              <w:rPr>
                <w:bCs/>
                <w:sz w:val="20"/>
                <w:szCs w:val="20"/>
              </w:rPr>
              <w:t xml:space="preserve">Projekts Nr.2DP/2.2.1.4.2/11/IPIA/EM/001 </w:t>
            </w:r>
          </w:p>
          <w:p w14:paraId="787B62E5" w14:textId="00A992E7" w:rsidR="00053B2B" w:rsidRPr="00D517A6" w:rsidRDefault="00053B2B" w:rsidP="00053B2B">
            <w:pPr>
              <w:autoSpaceDE w:val="0"/>
              <w:autoSpaceDN w:val="0"/>
              <w:adjustRightInd w:val="0"/>
              <w:jc w:val="center"/>
              <w:rPr>
                <w:bCs/>
                <w:sz w:val="20"/>
                <w:szCs w:val="20"/>
              </w:rPr>
            </w:pPr>
            <w:r w:rsidRPr="00D517A6">
              <w:rPr>
                <w:bCs/>
                <w:sz w:val="20"/>
                <w:szCs w:val="20"/>
              </w:rPr>
              <w:t xml:space="preserve">Projekts Nr.2DP/2.2.1.1.0/08/IPIA/EM/001 </w:t>
            </w:r>
          </w:p>
        </w:tc>
        <w:tc>
          <w:tcPr>
            <w:tcW w:w="3261" w:type="dxa"/>
            <w:tcBorders>
              <w:top w:val="single" w:sz="4" w:space="0" w:color="auto"/>
              <w:left w:val="nil"/>
              <w:bottom w:val="single" w:sz="4" w:space="0" w:color="auto"/>
              <w:right w:val="single" w:sz="4" w:space="0" w:color="auto"/>
            </w:tcBorders>
            <w:shd w:val="clear" w:color="auto" w:fill="auto"/>
            <w:vAlign w:val="center"/>
          </w:tcPr>
          <w:p w14:paraId="24AA8A17" w14:textId="77777777" w:rsidR="00053B2B" w:rsidRPr="00D517A6" w:rsidRDefault="00053B2B" w:rsidP="00053B2B">
            <w:pPr>
              <w:jc w:val="both"/>
              <w:rPr>
                <w:sz w:val="20"/>
                <w:szCs w:val="20"/>
              </w:rPr>
            </w:pPr>
            <w:r w:rsidRPr="00D517A6">
              <w:rPr>
                <w:sz w:val="20"/>
                <w:szCs w:val="20"/>
              </w:rPr>
              <w:lastRenderedPageBreak/>
              <w:t xml:space="preserve">Gūta pārliecība, ka finanšu inženierijas instrumentu ieviešanā iesaistītās institūcijas ir veikušas visus nepieciešamos sagatavošanās darbus attiecīgo FEI aktivitāšu slēgšanai.  </w:t>
            </w:r>
          </w:p>
          <w:p w14:paraId="3D80695B" w14:textId="77777777" w:rsidR="00053B2B" w:rsidRPr="00D517A6" w:rsidRDefault="00053B2B" w:rsidP="00053B2B">
            <w:pPr>
              <w:jc w:val="both"/>
              <w:rPr>
                <w:rFonts w:cs="Times New Roman"/>
                <w:sz w:val="20"/>
                <w:szCs w:val="20"/>
              </w:rPr>
            </w:pPr>
            <w:r w:rsidRPr="00D517A6">
              <w:rPr>
                <w:rFonts w:cs="Times New Roman"/>
                <w:sz w:val="20"/>
                <w:szCs w:val="20"/>
              </w:rPr>
              <w:t xml:space="preserve">Ir gūta pārliecība, ka visi pārbaudītie projekti </w:t>
            </w:r>
            <w:r w:rsidRPr="00D517A6">
              <w:t xml:space="preserve"> </w:t>
            </w:r>
            <w:r w:rsidRPr="00D517A6">
              <w:rPr>
                <w:rFonts w:cs="Times New Roman"/>
                <w:sz w:val="20"/>
                <w:szCs w:val="20"/>
              </w:rPr>
              <w:t>kopumā ir īstenoti atbilstoši EK un LR normatīvo aktu prasībām.</w:t>
            </w:r>
          </w:p>
          <w:p w14:paraId="308DEF4B" w14:textId="0256B02D" w:rsidR="00053B2B" w:rsidRPr="00D517A6" w:rsidRDefault="00053B2B" w:rsidP="00053B2B">
            <w:pPr>
              <w:jc w:val="both"/>
              <w:rPr>
                <w:sz w:val="20"/>
                <w:szCs w:val="20"/>
              </w:rPr>
            </w:pPr>
            <w:r w:rsidRPr="00D517A6">
              <w:rPr>
                <w:sz w:val="20"/>
                <w:szCs w:val="20"/>
              </w:rPr>
              <w:t>Revīzijas rezultāti uz finanšu inženierijas instrumentu aktivitāšu slēgšanu liecina par atsevišķam nepilnībām, kas pastāvēja finanšu inženierijas instrumentu 2007.-2013.gada plānošanas perioda ieviešanas un uzraudzības sistēmā. Nepilnības saistītas ar nepilnīgu normatīvo aktu un metodiku izstrādi, kā arī konstatēti trūkumi aizdevumu piešķiršanā un kontrolē finanšu starpnieku līmenī un finanšu instrumentu aktivitāšu apguvi atspoguļojošo pārskatu kontroli.</w:t>
            </w:r>
          </w:p>
        </w:tc>
        <w:tc>
          <w:tcPr>
            <w:tcW w:w="1871" w:type="dxa"/>
            <w:tcBorders>
              <w:top w:val="single" w:sz="4" w:space="0" w:color="auto"/>
              <w:left w:val="nil"/>
              <w:bottom w:val="single" w:sz="4" w:space="0" w:color="auto"/>
              <w:right w:val="single" w:sz="4" w:space="0" w:color="auto"/>
            </w:tcBorders>
            <w:shd w:val="clear" w:color="auto" w:fill="auto"/>
            <w:vAlign w:val="center"/>
          </w:tcPr>
          <w:p w14:paraId="795ED4B2" w14:textId="77777777" w:rsidR="00053B2B" w:rsidRPr="00D517A6" w:rsidRDefault="00053B2B" w:rsidP="00053B2B">
            <w:pPr>
              <w:jc w:val="center"/>
              <w:rPr>
                <w:sz w:val="20"/>
                <w:szCs w:val="20"/>
              </w:rPr>
            </w:pPr>
            <w:r w:rsidRPr="00D517A6">
              <w:rPr>
                <w:sz w:val="20"/>
                <w:szCs w:val="20"/>
              </w:rPr>
              <w:t>Ziņojumā tika izteikti 12 ieteikumi</w:t>
            </w:r>
          </w:p>
          <w:p w14:paraId="5021CCB6" w14:textId="4612A5C7" w:rsidR="00053B2B" w:rsidRPr="00D517A6" w:rsidRDefault="00053B2B" w:rsidP="00053B2B">
            <w:pPr>
              <w:jc w:val="both"/>
              <w:rPr>
                <w:sz w:val="20"/>
                <w:szCs w:val="20"/>
              </w:rPr>
            </w:pPr>
            <w:r w:rsidRPr="00D517A6">
              <w:rPr>
                <w:sz w:val="20"/>
                <w:szCs w:val="20"/>
              </w:rPr>
              <w:t>(A-4, V-8, t.sk.7 ieteikumi attiecas uz 2014-2020 plānošanas periodu).</w:t>
            </w:r>
          </w:p>
        </w:tc>
        <w:tc>
          <w:tcPr>
            <w:tcW w:w="2665" w:type="dxa"/>
            <w:tcBorders>
              <w:top w:val="single" w:sz="4" w:space="0" w:color="auto"/>
              <w:left w:val="nil"/>
              <w:bottom w:val="single" w:sz="4" w:space="0" w:color="auto"/>
              <w:right w:val="single" w:sz="4" w:space="0" w:color="auto"/>
            </w:tcBorders>
          </w:tcPr>
          <w:p w14:paraId="546E9989" w14:textId="77777777" w:rsidR="00053B2B" w:rsidRPr="00D517A6" w:rsidRDefault="00053B2B" w:rsidP="00053B2B">
            <w:pPr>
              <w:jc w:val="both"/>
              <w:rPr>
                <w:sz w:val="20"/>
                <w:szCs w:val="20"/>
              </w:rPr>
            </w:pPr>
            <w:r w:rsidRPr="00D517A6">
              <w:rPr>
                <w:sz w:val="20"/>
                <w:szCs w:val="20"/>
              </w:rPr>
              <w:t>Starpziņojuma ietvaros ieteikums Vadošajai iestādei netika izteikts, tomēr EM nepieciešams izstrādāt metodiku (aprakstu) par atmaksāto līdzekļu un procentu ienākumu aprites procesu t.sk. atkārtotu izmantošanu un, saskaņojot ar VI, kā arī veikti nepieciešamās izmaiņas normatīvajos aktos.</w:t>
            </w:r>
          </w:p>
          <w:p w14:paraId="3204F93B" w14:textId="77777777" w:rsidR="00053B2B" w:rsidRPr="00D517A6" w:rsidRDefault="00053B2B" w:rsidP="00053B2B">
            <w:pPr>
              <w:jc w:val="both"/>
              <w:rPr>
                <w:sz w:val="20"/>
                <w:szCs w:val="20"/>
              </w:rPr>
            </w:pPr>
          </w:p>
          <w:p w14:paraId="3BB7525C" w14:textId="2060EACE" w:rsidR="00053B2B" w:rsidRPr="00D517A6" w:rsidRDefault="00053B2B" w:rsidP="00053B2B">
            <w:pPr>
              <w:autoSpaceDE w:val="0"/>
              <w:autoSpaceDN w:val="0"/>
              <w:adjustRightInd w:val="0"/>
              <w:jc w:val="both"/>
              <w:rPr>
                <w:sz w:val="20"/>
                <w:szCs w:val="20"/>
              </w:rPr>
            </w:pPr>
            <w:r w:rsidRPr="00D517A6">
              <w:rPr>
                <w:sz w:val="20"/>
                <w:szCs w:val="20"/>
              </w:rPr>
              <w:t xml:space="preserve">VI 2014. - 2020. plānošanas periodam ir  izstrādājusi jaunu kārtību, lai noteiktu vienotas prasības attiecībā uz noteikumu projektu izskatīšanu un gūt pārliecību par to atbilstību Latvijas Republikas un Eiropas Savienības normatīvajam regulējumam, kā arī DP, DP pielikumā noteiktajam. </w:t>
            </w:r>
            <w:r w:rsidRPr="00D517A6">
              <w:rPr>
                <w:sz w:val="20"/>
                <w:szCs w:val="20"/>
              </w:rPr>
              <w:lastRenderedPageBreak/>
              <w:t xml:space="preserve">Papildus tam vairākas funkcijas ir deleģētas CFLA, kuras uzraudzību veic VI un norāda, ka 2014.-2020. plānošanas periodā RI izteiktie ieteikumi ir novērsti, tai skaitā, tiks uzlabota kontrole pār saņemto </w:t>
            </w:r>
            <w:proofErr w:type="spellStart"/>
            <w:r w:rsidRPr="00D517A6">
              <w:rPr>
                <w:sz w:val="20"/>
                <w:szCs w:val="20"/>
              </w:rPr>
              <w:t>de</w:t>
            </w:r>
            <w:proofErr w:type="spellEnd"/>
            <w:r w:rsidRPr="00D517A6">
              <w:rPr>
                <w:sz w:val="20"/>
                <w:szCs w:val="20"/>
              </w:rPr>
              <w:t xml:space="preserve"> </w:t>
            </w:r>
            <w:proofErr w:type="spellStart"/>
            <w:r w:rsidRPr="00D517A6">
              <w:rPr>
                <w:sz w:val="20"/>
                <w:szCs w:val="20"/>
              </w:rPr>
              <w:t>minimis</w:t>
            </w:r>
            <w:proofErr w:type="spellEnd"/>
            <w:r w:rsidRPr="00D517A6">
              <w:rPr>
                <w:sz w:val="20"/>
                <w:szCs w:val="20"/>
              </w:rPr>
              <w:t xml:space="preserve"> atbalstu. </w:t>
            </w:r>
          </w:p>
        </w:tc>
      </w:tr>
    </w:tbl>
    <w:p w14:paraId="22C99DC3" w14:textId="77777777" w:rsidR="008361DC" w:rsidRDefault="008361DC" w:rsidP="000E748D">
      <w:pPr>
        <w:rPr>
          <w:rFonts w:cs="Times New Roman"/>
          <w:bCs/>
          <w:sz w:val="26"/>
          <w:szCs w:val="26"/>
        </w:rPr>
      </w:pPr>
    </w:p>
    <w:p w14:paraId="2BB5FB50" w14:textId="77777777" w:rsidR="00C20245" w:rsidRPr="009D06E5" w:rsidRDefault="00761B36" w:rsidP="00761B36">
      <w:pPr>
        <w:rPr>
          <w:rFonts w:cs="Times New Roman"/>
          <w:bCs/>
          <w:i/>
          <w:szCs w:val="24"/>
        </w:rPr>
      </w:pPr>
      <w:r w:rsidRPr="009D06E5">
        <w:rPr>
          <w:rFonts w:cs="Times New Roman"/>
          <w:bCs/>
          <w:i/>
          <w:szCs w:val="24"/>
        </w:rPr>
        <w:t xml:space="preserve">Tabula 2                                       Finanšu ministrijas Iekšējā audita departamenta (IAD) veiktie auditi un iestāžu veikto auditu </w:t>
      </w:r>
      <w:proofErr w:type="spellStart"/>
      <w:r w:rsidRPr="009D06E5">
        <w:rPr>
          <w:rFonts w:cs="Times New Roman"/>
          <w:bCs/>
          <w:i/>
          <w:szCs w:val="24"/>
        </w:rPr>
        <w:t>izvērtējumi</w:t>
      </w:r>
      <w:proofErr w:type="spellEnd"/>
    </w:p>
    <w:p w14:paraId="7F76EBBF" w14:textId="77777777" w:rsidR="00C20245" w:rsidRPr="00DB41EA" w:rsidRDefault="00C20245" w:rsidP="00C20245">
      <w:pPr>
        <w:jc w:val="center"/>
        <w:rPr>
          <w:rFonts w:cs="Times New Roman"/>
          <w:bCs/>
          <w:sz w:val="26"/>
          <w:szCs w:val="26"/>
        </w:rPr>
      </w:pPr>
    </w:p>
    <w:tbl>
      <w:tblPr>
        <w:tblStyle w:val="TableGrid7"/>
        <w:tblW w:w="14596" w:type="dxa"/>
        <w:tblLayout w:type="fixed"/>
        <w:tblLook w:val="04A0" w:firstRow="1" w:lastRow="0" w:firstColumn="1" w:lastColumn="0" w:noHBand="0" w:noVBand="1"/>
      </w:tblPr>
      <w:tblGrid>
        <w:gridCol w:w="528"/>
        <w:gridCol w:w="2586"/>
        <w:gridCol w:w="1559"/>
        <w:gridCol w:w="5670"/>
        <w:gridCol w:w="4253"/>
      </w:tblGrid>
      <w:tr w:rsidR="00761B36" w:rsidRPr="005F114A" w14:paraId="33984446" w14:textId="77777777" w:rsidTr="00C14755">
        <w:trPr>
          <w:trHeight w:val="549"/>
        </w:trPr>
        <w:tc>
          <w:tcPr>
            <w:tcW w:w="528" w:type="dxa"/>
            <w:shd w:val="clear" w:color="auto" w:fill="E2EFD9" w:themeFill="accent6" w:themeFillTint="33"/>
            <w:noWrap/>
            <w:vAlign w:val="center"/>
            <w:hideMark/>
          </w:tcPr>
          <w:p w14:paraId="103F0DBA" w14:textId="77777777" w:rsidR="00761B36" w:rsidRPr="009238E9" w:rsidRDefault="00761B36" w:rsidP="009361D4">
            <w:pPr>
              <w:jc w:val="center"/>
              <w:rPr>
                <w:rFonts w:eastAsia="Times New Roman" w:cs="Times New Roman"/>
                <w:b/>
                <w:bCs/>
                <w:color w:val="000000"/>
                <w:sz w:val="20"/>
                <w:szCs w:val="20"/>
                <w:lang w:eastAsia="lv-LV"/>
              </w:rPr>
            </w:pPr>
            <w:r w:rsidRPr="009238E9">
              <w:rPr>
                <w:rFonts w:eastAsia="Times New Roman" w:cs="Times New Roman"/>
                <w:b/>
                <w:bCs/>
                <w:color w:val="000000"/>
                <w:sz w:val="20"/>
                <w:szCs w:val="20"/>
                <w:lang w:eastAsia="lv-LV"/>
              </w:rPr>
              <w:t>Nr.</w:t>
            </w:r>
          </w:p>
        </w:tc>
        <w:tc>
          <w:tcPr>
            <w:tcW w:w="2586" w:type="dxa"/>
            <w:shd w:val="clear" w:color="auto" w:fill="E2EFD9" w:themeFill="accent6" w:themeFillTint="33"/>
            <w:vAlign w:val="center"/>
            <w:hideMark/>
          </w:tcPr>
          <w:p w14:paraId="5DFE5E7A" w14:textId="77777777" w:rsidR="00761B36" w:rsidRPr="009238E9" w:rsidRDefault="00761B36" w:rsidP="009361D4">
            <w:pPr>
              <w:jc w:val="center"/>
              <w:rPr>
                <w:rFonts w:eastAsia="Times New Roman" w:cs="Times New Roman"/>
                <w:b/>
                <w:bCs/>
                <w:color w:val="000000"/>
                <w:sz w:val="20"/>
                <w:szCs w:val="20"/>
                <w:lang w:eastAsia="lv-LV"/>
              </w:rPr>
            </w:pPr>
            <w:r w:rsidRPr="009238E9">
              <w:rPr>
                <w:rFonts w:eastAsia="Times New Roman" w:cs="Times New Roman"/>
                <w:b/>
                <w:bCs/>
                <w:color w:val="000000"/>
                <w:sz w:val="20"/>
                <w:szCs w:val="20"/>
                <w:lang w:eastAsia="lv-LV"/>
              </w:rPr>
              <w:t>Audita nosaukums</w:t>
            </w:r>
          </w:p>
        </w:tc>
        <w:tc>
          <w:tcPr>
            <w:tcW w:w="1559" w:type="dxa"/>
            <w:shd w:val="clear" w:color="auto" w:fill="E2EFD9" w:themeFill="accent6" w:themeFillTint="33"/>
            <w:vAlign w:val="center"/>
            <w:hideMark/>
          </w:tcPr>
          <w:p w14:paraId="027B5A39" w14:textId="77777777" w:rsidR="00761B36" w:rsidRPr="009238E9" w:rsidRDefault="00761B36" w:rsidP="009361D4">
            <w:pPr>
              <w:jc w:val="center"/>
              <w:rPr>
                <w:rFonts w:eastAsia="Times New Roman" w:cs="Times New Roman"/>
                <w:b/>
                <w:bCs/>
                <w:color w:val="000000"/>
                <w:sz w:val="20"/>
                <w:szCs w:val="20"/>
                <w:lang w:eastAsia="lv-LV"/>
              </w:rPr>
            </w:pPr>
            <w:r w:rsidRPr="009238E9">
              <w:rPr>
                <w:rFonts w:eastAsia="Times New Roman" w:cs="Times New Roman"/>
                <w:b/>
                <w:bCs/>
                <w:color w:val="000000"/>
                <w:sz w:val="20"/>
                <w:szCs w:val="20"/>
                <w:lang w:eastAsia="lv-LV"/>
              </w:rPr>
              <w:t>Dar</w:t>
            </w:r>
            <w:r w:rsidR="00310D72">
              <w:rPr>
                <w:rFonts w:eastAsia="Times New Roman" w:cs="Times New Roman"/>
                <w:b/>
                <w:bCs/>
                <w:color w:val="000000"/>
                <w:sz w:val="20"/>
                <w:szCs w:val="20"/>
                <w:lang w:eastAsia="lv-LV"/>
              </w:rPr>
              <w:t>bības programma (ja izdalīta),</w:t>
            </w:r>
            <w:r w:rsidRPr="009238E9">
              <w:rPr>
                <w:rFonts w:eastAsia="Times New Roman" w:cs="Times New Roman"/>
                <w:b/>
                <w:bCs/>
                <w:color w:val="000000"/>
                <w:sz w:val="20"/>
                <w:szCs w:val="20"/>
                <w:lang w:eastAsia="lv-LV"/>
              </w:rPr>
              <w:t xml:space="preserve"> audita Nr.</w:t>
            </w:r>
            <w:r w:rsidR="00310D72">
              <w:rPr>
                <w:rFonts w:eastAsia="Times New Roman" w:cs="Times New Roman"/>
                <w:b/>
                <w:bCs/>
                <w:color w:val="000000"/>
                <w:sz w:val="20"/>
                <w:szCs w:val="20"/>
                <w:lang w:eastAsia="lv-LV"/>
              </w:rPr>
              <w:t xml:space="preserve"> un ziņojuma/ izvērt. </w:t>
            </w:r>
            <w:proofErr w:type="spellStart"/>
            <w:r w:rsidR="00310D72">
              <w:rPr>
                <w:rFonts w:eastAsia="Times New Roman" w:cs="Times New Roman"/>
                <w:b/>
                <w:bCs/>
                <w:color w:val="000000"/>
                <w:sz w:val="20"/>
                <w:szCs w:val="20"/>
                <w:lang w:eastAsia="lv-LV"/>
              </w:rPr>
              <w:t>kopsav</w:t>
            </w:r>
            <w:proofErr w:type="spellEnd"/>
            <w:r w:rsidR="00310D72">
              <w:rPr>
                <w:rFonts w:eastAsia="Times New Roman" w:cs="Times New Roman"/>
                <w:b/>
                <w:bCs/>
                <w:color w:val="000000"/>
                <w:sz w:val="20"/>
                <w:szCs w:val="20"/>
                <w:lang w:eastAsia="lv-LV"/>
              </w:rPr>
              <w:t>. datums</w:t>
            </w:r>
          </w:p>
        </w:tc>
        <w:tc>
          <w:tcPr>
            <w:tcW w:w="5670" w:type="dxa"/>
            <w:shd w:val="clear" w:color="auto" w:fill="E2EFD9" w:themeFill="accent6" w:themeFillTint="33"/>
            <w:vAlign w:val="center"/>
            <w:hideMark/>
          </w:tcPr>
          <w:p w14:paraId="5140DF66" w14:textId="77777777" w:rsidR="00761B36" w:rsidRPr="009238E9" w:rsidRDefault="00761B36" w:rsidP="009361D4">
            <w:pPr>
              <w:jc w:val="center"/>
              <w:rPr>
                <w:rFonts w:eastAsia="Times New Roman" w:cs="Times New Roman"/>
                <w:b/>
                <w:bCs/>
                <w:color w:val="000000"/>
                <w:sz w:val="20"/>
                <w:szCs w:val="20"/>
                <w:lang w:eastAsia="lv-LV"/>
              </w:rPr>
            </w:pPr>
            <w:r w:rsidRPr="009238E9">
              <w:rPr>
                <w:rFonts w:eastAsia="Times New Roman" w:cs="Times New Roman"/>
                <w:b/>
                <w:bCs/>
                <w:color w:val="000000"/>
                <w:sz w:val="20"/>
                <w:szCs w:val="20"/>
                <w:lang w:eastAsia="lv-LV"/>
              </w:rPr>
              <w:t>Būtiskākie secinājumi/piezīmes</w:t>
            </w:r>
          </w:p>
        </w:tc>
        <w:tc>
          <w:tcPr>
            <w:tcW w:w="4253" w:type="dxa"/>
            <w:shd w:val="clear" w:color="auto" w:fill="E2EFD9" w:themeFill="accent6" w:themeFillTint="33"/>
            <w:vAlign w:val="center"/>
            <w:hideMark/>
          </w:tcPr>
          <w:p w14:paraId="40C729B8" w14:textId="77777777" w:rsidR="00761B36" w:rsidRPr="009238E9" w:rsidRDefault="00761B36" w:rsidP="009361D4">
            <w:pPr>
              <w:jc w:val="center"/>
              <w:rPr>
                <w:rFonts w:eastAsia="Times New Roman" w:cs="Times New Roman"/>
                <w:b/>
                <w:bCs/>
                <w:color w:val="000000"/>
                <w:sz w:val="20"/>
                <w:szCs w:val="20"/>
                <w:lang w:eastAsia="lv-LV"/>
              </w:rPr>
            </w:pPr>
            <w:r w:rsidRPr="009238E9">
              <w:rPr>
                <w:rFonts w:eastAsia="Times New Roman" w:cs="Times New Roman"/>
                <w:b/>
                <w:bCs/>
                <w:color w:val="000000"/>
                <w:sz w:val="20"/>
                <w:szCs w:val="20"/>
                <w:lang w:eastAsia="lv-LV"/>
              </w:rPr>
              <w:t xml:space="preserve">Vadošās iestādes veiktā vai plānotā rīcība </w:t>
            </w:r>
            <w:r w:rsidRPr="009238E9">
              <w:rPr>
                <w:rFonts w:eastAsia="Times New Roman" w:cs="Times New Roman"/>
                <w:b/>
                <w:bCs/>
                <w:color w:val="000000"/>
                <w:sz w:val="20"/>
                <w:szCs w:val="20"/>
                <w:lang w:eastAsia="lv-LV"/>
              </w:rPr>
              <w:br/>
              <w:t>sistēmas pilnveidošanai</w:t>
            </w:r>
          </w:p>
        </w:tc>
      </w:tr>
      <w:tr w:rsidR="00DD5487" w:rsidRPr="008B6333" w14:paraId="0470A37D" w14:textId="77777777" w:rsidTr="00C14755">
        <w:trPr>
          <w:trHeight w:val="400"/>
        </w:trPr>
        <w:tc>
          <w:tcPr>
            <w:tcW w:w="528" w:type="dxa"/>
            <w:noWrap/>
          </w:tcPr>
          <w:p w14:paraId="737FEF64" w14:textId="77777777" w:rsidR="00DD5487" w:rsidRPr="009238E9" w:rsidRDefault="00DD5487" w:rsidP="00DD5487">
            <w:pPr>
              <w:jc w:val="center"/>
              <w:rPr>
                <w:rFonts w:eastAsia="Times New Roman" w:cs="Times New Roman"/>
                <w:color w:val="000000"/>
                <w:sz w:val="20"/>
                <w:szCs w:val="20"/>
                <w:lang w:eastAsia="lv-LV"/>
              </w:rPr>
            </w:pPr>
            <w:r>
              <w:rPr>
                <w:rFonts w:eastAsia="Times New Roman" w:cs="Times New Roman"/>
                <w:color w:val="000000"/>
                <w:sz w:val="20"/>
                <w:szCs w:val="20"/>
                <w:lang w:eastAsia="lv-LV"/>
              </w:rPr>
              <w:t>1</w:t>
            </w:r>
          </w:p>
        </w:tc>
        <w:tc>
          <w:tcPr>
            <w:tcW w:w="2586" w:type="dxa"/>
          </w:tcPr>
          <w:p w14:paraId="0E0FD7DA" w14:textId="5E99BC9F" w:rsidR="00DD5487" w:rsidRPr="009238E9" w:rsidRDefault="00DD5487" w:rsidP="00DD5487">
            <w:pPr>
              <w:jc w:val="both"/>
              <w:rPr>
                <w:rFonts w:cs="Times New Roman"/>
                <w:sz w:val="20"/>
                <w:szCs w:val="20"/>
              </w:rPr>
            </w:pPr>
            <w:r w:rsidRPr="009238E9">
              <w:rPr>
                <w:rFonts w:eastAsia="Times New Roman" w:cs="Times New Roman"/>
                <w:bCs/>
                <w:color w:val="000000"/>
                <w:sz w:val="20"/>
                <w:szCs w:val="20"/>
                <w:lang w:eastAsia="lv-LV"/>
              </w:rPr>
              <w:t xml:space="preserve">IAD veiktais VIAA </w:t>
            </w:r>
            <w:r w:rsidR="00982203">
              <w:rPr>
                <w:rFonts w:eastAsia="Times New Roman" w:cs="Times New Roman"/>
                <w:bCs/>
                <w:color w:val="000000"/>
                <w:sz w:val="20"/>
                <w:szCs w:val="20"/>
                <w:lang w:eastAsia="lv-LV"/>
              </w:rPr>
              <w:t>iekšējā audita</w:t>
            </w:r>
            <w:r w:rsidRPr="009238E9">
              <w:rPr>
                <w:rFonts w:eastAsia="Times New Roman" w:cs="Times New Roman"/>
                <w:bCs/>
                <w:color w:val="000000"/>
                <w:sz w:val="20"/>
                <w:szCs w:val="20"/>
                <w:lang w:eastAsia="lv-LV"/>
              </w:rPr>
              <w:t xml:space="preserve"> “Projektu progresa pārbaudes” ziņojuma </w:t>
            </w:r>
            <w:proofErr w:type="spellStart"/>
            <w:r w:rsidRPr="009238E9">
              <w:rPr>
                <w:rFonts w:eastAsia="Times New Roman" w:cs="Times New Roman"/>
                <w:bCs/>
                <w:color w:val="000000"/>
                <w:sz w:val="20"/>
                <w:szCs w:val="20"/>
                <w:lang w:eastAsia="lv-LV"/>
              </w:rPr>
              <w:t>izvērtējuma</w:t>
            </w:r>
            <w:proofErr w:type="spellEnd"/>
            <w:r w:rsidRPr="009238E9">
              <w:rPr>
                <w:rFonts w:eastAsia="Times New Roman" w:cs="Times New Roman"/>
                <w:bCs/>
                <w:color w:val="000000"/>
                <w:sz w:val="20"/>
                <w:szCs w:val="20"/>
                <w:lang w:eastAsia="lv-LV"/>
              </w:rPr>
              <w:t xml:space="preserve"> kopsavilkums</w:t>
            </w:r>
          </w:p>
        </w:tc>
        <w:tc>
          <w:tcPr>
            <w:tcW w:w="1559" w:type="dxa"/>
          </w:tcPr>
          <w:p w14:paraId="10D877E0" w14:textId="77777777" w:rsidR="00DD5487" w:rsidRDefault="00DD5487" w:rsidP="00DD5487">
            <w:pPr>
              <w:jc w:val="center"/>
              <w:rPr>
                <w:rFonts w:cs="Times New Roman"/>
                <w:sz w:val="20"/>
                <w:szCs w:val="20"/>
              </w:rPr>
            </w:pPr>
            <w:r w:rsidRPr="009238E9">
              <w:rPr>
                <w:rFonts w:cs="Times New Roman"/>
                <w:sz w:val="20"/>
                <w:szCs w:val="20"/>
              </w:rPr>
              <w:t>7-3/12.2/14/6</w:t>
            </w:r>
          </w:p>
          <w:p w14:paraId="5B7B9042" w14:textId="77777777" w:rsidR="00DD5487" w:rsidRDefault="00DD5487" w:rsidP="00DD5487">
            <w:pPr>
              <w:jc w:val="center"/>
              <w:rPr>
                <w:rFonts w:cs="Times New Roman"/>
                <w:sz w:val="20"/>
                <w:szCs w:val="20"/>
              </w:rPr>
            </w:pPr>
          </w:p>
          <w:p w14:paraId="2E5A238C" w14:textId="77777777" w:rsidR="00DD5487" w:rsidRPr="009238E9" w:rsidRDefault="00DD5487" w:rsidP="00DD5487">
            <w:pPr>
              <w:jc w:val="center"/>
              <w:rPr>
                <w:rFonts w:cs="Times New Roman"/>
                <w:sz w:val="20"/>
                <w:szCs w:val="20"/>
              </w:rPr>
            </w:pPr>
            <w:r>
              <w:rPr>
                <w:rFonts w:cs="Times New Roman"/>
                <w:sz w:val="20"/>
                <w:szCs w:val="20"/>
              </w:rPr>
              <w:t>30.01.2015.</w:t>
            </w:r>
          </w:p>
        </w:tc>
        <w:tc>
          <w:tcPr>
            <w:tcW w:w="5670" w:type="dxa"/>
          </w:tcPr>
          <w:p w14:paraId="53127718" w14:textId="77777777" w:rsidR="00DD5487" w:rsidRPr="009238E9" w:rsidRDefault="00DD5487" w:rsidP="00DD5487">
            <w:pPr>
              <w:jc w:val="both"/>
              <w:rPr>
                <w:rFonts w:eastAsia="Calibri" w:cs="Times New Roman"/>
                <w:bCs/>
                <w:color w:val="000000"/>
                <w:sz w:val="20"/>
                <w:szCs w:val="20"/>
              </w:rPr>
            </w:pPr>
            <w:r w:rsidRPr="009238E9">
              <w:rPr>
                <w:rFonts w:eastAsia="Times New Roman" w:cs="Times New Roman"/>
                <w:color w:val="000000"/>
                <w:sz w:val="20"/>
                <w:szCs w:val="20"/>
                <w:lang w:eastAsia="lv-LV"/>
              </w:rPr>
              <w:t>IKS darbojas, bet nepieciešami atsevišķi pilnveidojumi: konstatēti atsevišķi, specifisku kontroļu trūkumi, kuriem ir vidēja/maznozīmīga ietekme uz ES fondu/ārvalstu finanšu palīdzības vadības un kontroles sistēmas darbību. Audita ietvaros izteikti pieci ieteikumi VIAA. Auditētā iestāde ir izstrādājusi pasākumu plānu ieteikumu ieviešanai.</w:t>
            </w:r>
          </w:p>
        </w:tc>
        <w:tc>
          <w:tcPr>
            <w:tcW w:w="4253" w:type="dxa"/>
          </w:tcPr>
          <w:p w14:paraId="066FA745" w14:textId="77777777" w:rsidR="00DD5487" w:rsidRPr="009238E9" w:rsidRDefault="00DD5487" w:rsidP="00DD5487">
            <w:pPr>
              <w:jc w:val="both"/>
              <w:rPr>
                <w:rFonts w:eastAsia="Times New Roman" w:cs="Times New Roman"/>
                <w:sz w:val="20"/>
                <w:szCs w:val="20"/>
                <w:lang w:eastAsia="lv-LV"/>
              </w:rPr>
            </w:pPr>
            <w:r w:rsidRPr="009238E9">
              <w:rPr>
                <w:rFonts w:eastAsia="Times New Roman" w:cs="Times New Roman"/>
                <w:sz w:val="20"/>
                <w:szCs w:val="20"/>
                <w:lang w:eastAsia="lv-LV"/>
              </w:rPr>
              <w:t xml:space="preserve">VI ir ņēmusi vērā audita konstatējumus, nodrošinot regulāros uzraudzības pasākumus. Papildus tika organizēta sanāksme ar IAD, lai pārrunātu sniegto vērtējumu. Konstatētās būtiskās problēmas nerada ietekmi uz izdevumu </w:t>
            </w:r>
            <w:proofErr w:type="spellStart"/>
            <w:r w:rsidRPr="009238E9">
              <w:rPr>
                <w:rFonts w:eastAsia="Times New Roman" w:cs="Times New Roman"/>
                <w:sz w:val="20"/>
                <w:szCs w:val="20"/>
                <w:lang w:eastAsia="lv-LV"/>
              </w:rPr>
              <w:t>attiecināmību</w:t>
            </w:r>
            <w:proofErr w:type="spellEnd"/>
            <w:r w:rsidRPr="009238E9">
              <w:rPr>
                <w:rFonts w:eastAsia="Times New Roman" w:cs="Times New Roman"/>
                <w:sz w:val="20"/>
                <w:szCs w:val="20"/>
                <w:lang w:eastAsia="lv-LV"/>
              </w:rPr>
              <w:t>.</w:t>
            </w:r>
          </w:p>
        </w:tc>
      </w:tr>
      <w:tr w:rsidR="00DD5487" w:rsidRPr="008B6333" w14:paraId="6B3F02F8" w14:textId="77777777" w:rsidTr="00C14755">
        <w:trPr>
          <w:trHeight w:val="400"/>
        </w:trPr>
        <w:tc>
          <w:tcPr>
            <w:tcW w:w="528" w:type="dxa"/>
            <w:noWrap/>
          </w:tcPr>
          <w:p w14:paraId="703CA655" w14:textId="77777777" w:rsidR="00DD5487" w:rsidRDefault="00DD5487" w:rsidP="00DD5487">
            <w:pPr>
              <w:jc w:val="center"/>
              <w:rPr>
                <w:rFonts w:eastAsia="Times New Roman" w:cs="Times New Roman"/>
                <w:color w:val="000000"/>
                <w:sz w:val="20"/>
                <w:szCs w:val="20"/>
                <w:lang w:eastAsia="lv-LV"/>
              </w:rPr>
            </w:pPr>
            <w:r>
              <w:rPr>
                <w:rFonts w:eastAsia="Times New Roman" w:cs="Times New Roman"/>
                <w:color w:val="000000"/>
                <w:sz w:val="20"/>
                <w:szCs w:val="20"/>
                <w:lang w:eastAsia="lv-LV"/>
              </w:rPr>
              <w:t>2</w:t>
            </w:r>
          </w:p>
        </w:tc>
        <w:tc>
          <w:tcPr>
            <w:tcW w:w="2586" w:type="dxa"/>
          </w:tcPr>
          <w:p w14:paraId="61C6065C" w14:textId="158EB58D" w:rsidR="00DD5487" w:rsidRDefault="00DD5487" w:rsidP="00DD5487">
            <w:pPr>
              <w:jc w:val="both"/>
              <w:rPr>
                <w:rFonts w:cs="Times New Roman"/>
                <w:sz w:val="20"/>
                <w:szCs w:val="20"/>
              </w:rPr>
            </w:pPr>
            <w:r w:rsidRPr="00AE2E49">
              <w:rPr>
                <w:rFonts w:cs="Times New Roman"/>
                <w:sz w:val="20"/>
                <w:szCs w:val="20"/>
              </w:rPr>
              <w:t xml:space="preserve">IAD veiktais IZM </w:t>
            </w:r>
            <w:r w:rsidR="00982203">
              <w:rPr>
                <w:rFonts w:eastAsia="Times New Roman" w:cs="Times New Roman"/>
                <w:bCs/>
                <w:color w:val="000000"/>
                <w:sz w:val="20"/>
                <w:szCs w:val="20"/>
                <w:lang w:eastAsia="lv-LV"/>
              </w:rPr>
              <w:t>iekšējā audita</w:t>
            </w:r>
            <w:r w:rsidRPr="00AE2E49">
              <w:rPr>
                <w:rFonts w:cs="Times New Roman"/>
                <w:sz w:val="20"/>
                <w:szCs w:val="20"/>
              </w:rPr>
              <w:t xml:space="preserve"> “Projekta “Vienota nacionālās nozīmes Latvijas akadēmiskā pamattīkla zinātniskās darbības nodrošināšanai izveide”  administrēšana” ziņojuma </w:t>
            </w:r>
            <w:proofErr w:type="spellStart"/>
            <w:r w:rsidRPr="00AE2E49">
              <w:rPr>
                <w:rFonts w:cs="Times New Roman"/>
                <w:sz w:val="20"/>
                <w:szCs w:val="20"/>
              </w:rPr>
              <w:t>izvērtējuma</w:t>
            </w:r>
            <w:proofErr w:type="spellEnd"/>
            <w:r w:rsidRPr="00AE2E49">
              <w:rPr>
                <w:rFonts w:cs="Times New Roman"/>
                <w:sz w:val="20"/>
                <w:szCs w:val="20"/>
              </w:rPr>
              <w:t xml:space="preserve"> kopsavilkums</w:t>
            </w:r>
          </w:p>
        </w:tc>
        <w:tc>
          <w:tcPr>
            <w:tcW w:w="1559" w:type="dxa"/>
          </w:tcPr>
          <w:p w14:paraId="04EEDE74" w14:textId="77777777" w:rsidR="00DD5487" w:rsidRDefault="00DD5487" w:rsidP="00DD5487">
            <w:pPr>
              <w:jc w:val="center"/>
              <w:rPr>
                <w:rFonts w:cs="Times New Roman"/>
                <w:sz w:val="20"/>
                <w:szCs w:val="20"/>
              </w:rPr>
            </w:pPr>
            <w:r w:rsidRPr="00AE2E49">
              <w:rPr>
                <w:rFonts w:cs="Times New Roman"/>
                <w:sz w:val="20"/>
                <w:szCs w:val="20"/>
              </w:rPr>
              <w:t>08-01/10.1.4./14-11</w:t>
            </w:r>
          </w:p>
          <w:p w14:paraId="5AD8B240" w14:textId="77777777" w:rsidR="00DD5487" w:rsidRDefault="00DD5487" w:rsidP="00DD5487">
            <w:pPr>
              <w:jc w:val="center"/>
              <w:rPr>
                <w:rFonts w:cs="Times New Roman"/>
                <w:sz w:val="20"/>
                <w:szCs w:val="20"/>
              </w:rPr>
            </w:pPr>
          </w:p>
          <w:p w14:paraId="463B1E3C" w14:textId="77777777" w:rsidR="00DD5487" w:rsidRDefault="00DD5487" w:rsidP="00DD5487">
            <w:pPr>
              <w:jc w:val="center"/>
              <w:rPr>
                <w:rFonts w:cs="Times New Roman"/>
                <w:sz w:val="20"/>
                <w:szCs w:val="20"/>
              </w:rPr>
            </w:pPr>
            <w:r>
              <w:rPr>
                <w:rFonts w:cs="Times New Roman"/>
                <w:sz w:val="20"/>
                <w:szCs w:val="20"/>
              </w:rPr>
              <w:t>08.04.2014.</w:t>
            </w:r>
          </w:p>
        </w:tc>
        <w:tc>
          <w:tcPr>
            <w:tcW w:w="5670" w:type="dxa"/>
          </w:tcPr>
          <w:p w14:paraId="6503CD98" w14:textId="77777777" w:rsidR="00DD5487" w:rsidRPr="00AE2E49" w:rsidRDefault="00DD5487" w:rsidP="00DD5487">
            <w:pPr>
              <w:shd w:val="clear" w:color="auto" w:fill="FFFFFF"/>
              <w:suppressAutoHyphens/>
              <w:jc w:val="both"/>
              <w:rPr>
                <w:rFonts w:eastAsia="Calibri" w:cs="Times New Roman"/>
                <w:bCs/>
                <w:color w:val="000000"/>
                <w:sz w:val="20"/>
                <w:szCs w:val="20"/>
              </w:rPr>
            </w:pPr>
            <w:r w:rsidRPr="00AE2E49">
              <w:rPr>
                <w:rFonts w:eastAsia="Calibri" w:cs="Times New Roman"/>
                <w:bCs/>
                <w:color w:val="000000"/>
                <w:sz w:val="20"/>
                <w:szCs w:val="20"/>
              </w:rPr>
              <w:t xml:space="preserve">IKS darbojas, bet nepieciešami atsevišķi pilnveidojumi: konstatēti atsevišķi, specifisku kontroļu trūkumi, kuriem ir vidēja/maznozīmīga ietekme uz ES fondu/ārvalstu finanšu palīdzības vadības un kontroles sistēmas darbību. Auditētā iestāde ir izstrādājusi pasākumu plānu ieteikumu ieviešanai. </w:t>
            </w:r>
          </w:p>
          <w:p w14:paraId="5DF32C57" w14:textId="77777777" w:rsidR="00DD5487" w:rsidRDefault="00DD5487" w:rsidP="00DD5487">
            <w:pPr>
              <w:shd w:val="clear" w:color="auto" w:fill="FFFFFF"/>
              <w:suppressAutoHyphens/>
              <w:jc w:val="both"/>
              <w:rPr>
                <w:rFonts w:eastAsia="Calibri" w:cs="Times New Roman"/>
                <w:bCs/>
                <w:color w:val="000000"/>
                <w:sz w:val="20"/>
                <w:szCs w:val="20"/>
              </w:rPr>
            </w:pPr>
          </w:p>
        </w:tc>
        <w:tc>
          <w:tcPr>
            <w:tcW w:w="4253" w:type="dxa"/>
          </w:tcPr>
          <w:p w14:paraId="54F8E391" w14:textId="77777777" w:rsidR="00DD5487" w:rsidRDefault="00DD5487" w:rsidP="00DD5487">
            <w:pPr>
              <w:jc w:val="both"/>
              <w:rPr>
                <w:rFonts w:eastAsia="Times New Roman" w:cs="Times New Roman"/>
                <w:sz w:val="20"/>
                <w:szCs w:val="20"/>
                <w:lang w:eastAsia="lv-LV"/>
              </w:rPr>
            </w:pPr>
            <w:r w:rsidRPr="00AE2E49">
              <w:rPr>
                <w:rFonts w:eastAsia="Times New Roman" w:cs="Times New Roman"/>
                <w:sz w:val="20"/>
                <w:szCs w:val="20"/>
                <w:lang w:eastAsia="lv-LV"/>
              </w:rPr>
              <w:t>VI ņēmusi vērā audita rezultātā izteiktos konstatējumus un ieteikumus, pastāvīgi nodrošinot uzraudzības pasākumus, kā arī audita rezultātiem pievērsta uzmanība, veicot deleģēto funkciju pārbaudes IZM.</w:t>
            </w:r>
          </w:p>
        </w:tc>
      </w:tr>
      <w:tr w:rsidR="00DD5487" w:rsidRPr="008B6333" w14:paraId="039D0617" w14:textId="77777777" w:rsidTr="00C14755">
        <w:trPr>
          <w:trHeight w:val="400"/>
        </w:trPr>
        <w:tc>
          <w:tcPr>
            <w:tcW w:w="528" w:type="dxa"/>
            <w:noWrap/>
          </w:tcPr>
          <w:p w14:paraId="6B61E75E" w14:textId="77777777" w:rsidR="00DD5487" w:rsidRPr="009238E9" w:rsidRDefault="00DD5487" w:rsidP="00DD5487">
            <w:pPr>
              <w:jc w:val="center"/>
              <w:rPr>
                <w:rFonts w:eastAsia="Times New Roman" w:cs="Times New Roman"/>
                <w:color w:val="000000"/>
                <w:sz w:val="20"/>
                <w:szCs w:val="20"/>
                <w:lang w:eastAsia="lv-LV"/>
              </w:rPr>
            </w:pPr>
            <w:r>
              <w:rPr>
                <w:rFonts w:eastAsia="Times New Roman" w:cs="Times New Roman"/>
                <w:color w:val="000000"/>
                <w:sz w:val="20"/>
                <w:szCs w:val="20"/>
                <w:lang w:eastAsia="lv-LV"/>
              </w:rPr>
              <w:t>3</w:t>
            </w:r>
          </w:p>
        </w:tc>
        <w:tc>
          <w:tcPr>
            <w:tcW w:w="2586" w:type="dxa"/>
          </w:tcPr>
          <w:p w14:paraId="25F5E3FB" w14:textId="37107E9A" w:rsidR="00DD5487" w:rsidRPr="009238E9" w:rsidRDefault="00DD5487" w:rsidP="00982203">
            <w:pPr>
              <w:jc w:val="both"/>
              <w:rPr>
                <w:rFonts w:cs="Times New Roman"/>
                <w:sz w:val="20"/>
                <w:szCs w:val="20"/>
              </w:rPr>
            </w:pPr>
            <w:r w:rsidRPr="009238E9">
              <w:rPr>
                <w:rFonts w:cs="Times New Roman"/>
                <w:sz w:val="20"/>
                <w:szCs w:val="20"/>
              </w:rPr>
              <w:t xml:space="preserve">IAD veiktais VIAA </w:t>
            </w:r>
            <w:r w:rsidR="00982203">
              <w:rPr>
                <w:rFonts w:eastAsia="Times New Roman" w:cs="Times New Roman"/>
                <w:bCs/>
                <w:color w:val="000000"/>
                <w:sz w:val="20"/>
                <w:szCs w:val="20"/>
                <w:lang w:eastAsia="lv-LV"/>
              </w:rPr>
              <w:t>iekšējā audita</w:t>
            </w:r>
            <w:r w:rsidRPr="009238E9">
              <w:rPr>
                <w:rFonts w:cs="Times New Roman"/>
                <w:sz w:val="20"/>
                <w:szCs w:val="20"/>
              </w:rPr>
              <w:t xml:space="preserve"> ''Finanšu korekcijas piemērošana'' ziņojuma </w:t>
            </w:r>
            <w:proofErr w:type="spellStart"/>
            <w:r w:rsidRPr="009238E9">
              <w:rPr>
                <w:rFonts w:cs="Times New Roman"/>
                <w:sz w:val="20"/>
                <w:szCs w:val="20"/>
              </w:rPr>
              <w:t>izvērtējuma</w:t>
            </w:r>
            <w:proofErr w:type="spellEnd"/>
            <w:r w:rsidRPr="009238E9">
              <w:rPr>
                <w:rFonts w:cs="Times New Roman"/>
                <w:sz w:val="20"/>
                <w:szCs w:val="20"/>
              </w:rPr>
              <w:t xml:space="preserve"> kopsavilkums</w:t>
            </w:r>
          </w:p>
        </w:tc>
        <w:tc>
          <w:tcPr>
            <w:tcW w:w="1559" w:type="dxa"/>
          </w:tcPr>
          <w:p w14:paraId="6537DE23" w14:textId="77777777" w:rsidR="00DD5487" w:rsidRDefault="00DD5487" w:rsidP="00DD5487">
            <w:pPr>
              <w:jc w:val="center"/>
              <w:rPr>
                <w:rFonts w:cs="Times New Roman"/>
                <w:sz w:val="20"/>
                <w:szCs w:val="20"/>
              </w:rPr>
            </w:pPr>
            <w:r w:rsidRPr="009238E9">
              <w:rPr>
                <w:rFonts w:cs="Times New Roman"/>
                <w:sz w:val="20"/>
                <w:szCs w:val="20"/>
              </w:rPr>
              <w:t>7.-3/12.10/15/5</w:t>
            </w:r>
          </w:p>
          <w:p w14:paraId="2B51C945" w14:textId="77777777" w:rsidR="00DD5487" w:rsidRDefault="00DD5487" w:rsidP="00DD5487">
            <w:pPr>
              <w:jc w:val="center"/>
              <w:rPr>
                <w:rFonts w:cs="Times New Roman"/>
                <w:sz w:val="20"/>
                <w:szCs w:val="20"/>
              </w:rPr>
            </w:pPr>
          </w:p>
          <w:p w14:paraId="7BA32CC3" w14:textId="77777777" w:rsidR="00DD5487" w:rsidRDefault="00DD5487" w:rsidP="00DD5487">
            <w:pPr>
              <w:jc w:val="center"/>
              <w:rPr>
                <w:rFonts w:cs="Times New Roman"/>
                <w:sz w:val="20"/>
                <w:szCs w:val="20"/>
              </w:rPr>
            </w:pPr>
            <w:r>
              <w:rPr>
                <w:rFonts w:cs="Times New Roman"/>
                <w:sz w:val="20"/>
                <w:szCs w:val="20"/>
              </w:rPr>
              <w:t>28.10.2015.</w:t>
            </w:r>
          </w:p>
          <w:p w14:paraId="3DF926BB" w14:textId="77777777" w:rsidR="00DD5487" w:rsidRPr="009238E9" w:rsidRDefault="00DD5487" w:rsidP="00DD5487">
            <w:pPr>
              <w:jc w:val="center"/>
              <w:rPr>
                <w:rFonts w:cs="Times New Roman"/>
                <w:sz w:val="20"/>
                <w:szCs w:val="20"/>
              </w:rPr>
            </w:pPr>
          </w:p>
        </w:tc>
        <w:tc>
          <w:tcPr>
            <w:tcW w:w="5670" w:type="dxa"/>
          </w:tcPr>
          <w:p w14:paraId="1A4FB15F" w14:textId="77777777" w:rsidR="00DD5487" w:rsidRPr="009238E9" w:rsidRDefault="00DD5487" w:rsidP="00DD5487">
            <w:pPr>
              <w:jc w:val="both"/>
              <w:rPr>
                <w:rFonts w:eastAsia="Calibri" w:cs="Times New Roman"/>
                <w:bCs/>
                <w:color w:val="000000"/>
                <w:sz w:val="20"/>
                <w:szCs w:val="20"/>
              </w:rPr>
            </w:pPr>
            <w:r w:rsidRPr="009238E9">
              <w:rPr>
                <w:rFonts w:eastAsia="Calibri" w:cs="Times New Roman"/>
                <w:bCs/>
                <w:color w:val="000000"/>
                <w:sz w:val="20"/>
                <w:szCs w:val="20"/>
              </w:rPr>
              <w:t>IKS darbojas, bet nepieciešami atsevišķi pilnveidojumi: konstatēti atsevišķi, specifisku kontroļu trūkumi, kuriem ir vidēja/maznozīmīga ietekme uz ES fondu/ārvalstu finanšu palīdzības vadības un kontroles sistēmas darbību. Audita ietvaros izteikti ieteikumi veikt atkārtotas pārbaudes par atsevišķiem finanšu korekciju piemērošanas gadījumiem un precizēt iekšējās procedūras. Auditētā iestāde ir izstrādājusi pasākumu plānu ieteikumu ieviešanai.</w:t>
            </w:r>
          </w:p>
        </w:tc>
        <w:tc>
          <w:tcPr>
            <w:tcW w:w="4253" w:type="dxa"/>
          </w:tcPr>
          <w:p w14:paraId="7E545064" w14:textId="77777777" w:rsidR="00DD5487" w:rsidRPr="009238E9" w:rsidRDefault="00DD5487" w:rsidP="00DD5487">
            <w:pPr>
              <w:jc w:val="both"/>
              <w:rPr>
                <w:rFonts w:eastAsia="Times New Roman" w:cs="Times New Roman"/>
                <w:sz w:val="20"/>
                <w:szCs w:val="20"/>
                <w:lang w:eastAsia="lv-LV"/>
              </w:rPr>
            </w:pPr>
            <w:r w:rsidRPr="009238E9">
              <w:rPr>
                <w:rFonts w:eastAsia="Times New Roman" w:cs="Times New Roman"/>
                <w:sz w:val="20"/>
                <w:szCs w:val="20"/>
                <w:lang w:eastAsia="lv-LV"/>
              </w:rPr>
              <w:t>VI ņēmusi vērā audita rezultātā izteiktos konstatējumus un ieteikumus, pastāvīgi nodrošinot uzraudzības pasākumus.</w:t>
            </w:r>
          </w:p>
        </w:tc>
      </w:tr>
      <w:tr w:rsidR="00DD5487" w:rsidRPr="008B6333" w14:paraId="2584E058" w14:textId="77777777" w:rsidTr="00C14755">
        <w:trPr>
          <w:trHeight w:val="400"/>
        </w:trPr>
        <w:tc>
          <w:tcPr>
            <w:tcW w:w="528" w:type="dxa"/>
            <w:noWrap/>
          </w:tcPr>
          <w:p w14:paraId="39FF5A47" w14:textId="77777777" w:rsidR="00DD5487" w:rsidRPr="009238E9" w:rsidRDefault="00DD5487" w:rsidP="00DD5487">
            <w:pPr>
              <w:jc w:val="center"/>
              <w:rPr>
                <w:rFonts w:eastAsia="Times New Roman" w:cs="Times New Roman"/>
                <w:color w:val="000000"/>
                <w:sz w:val="20"/>
                <w:szCs w:val="20"/>
                <w:lang w:eastAsia="lv-LV"/>
              </w:rPr>
            </w:pPr>
            <w:r>
              <w:rPr>
                <w:rFonts w:eastAsia="Times New Roman" w:cs="Times New Roman"/>
                <w:color w:val="000000"/>
                <w:sz w:val="20"/>
                <w:szCs w:val="20"/>
                <w:lang w:eastAsia="lv-LV"/>
              </w:rPr>
              <w:lastRenderedPageBreak/>
              <w:t>4</w:t>
            </w:r>
          </w:p>
        </w:tc>
        <w:tc>
          <w:tcPr>
            <w:tcW w:w="2586" w:type="dxa"/>
          </w:tcPr>
          <w:p w14:paraId="143718EF" w14:textId="2DFD0B94" w:rsidR="00DD5487" w:rsidRPr="009238E9" w:rsidRDefault="00DD5487" w:rsidP="00982203">
            <w:pPr>
              <w:jc w:val="both"/>
              <w:rPr>
                <w:rFonts w:cs="Times New Roman"/>
                <w:sz w:val="20"/>
                <w:szCs w:val="20"/>
              </w:rPr>
            </w:pPr>
            <w:r w:rsidRPr="009238E9">
              <w:rPr>
                <w:rFonts w:cs="Times New Roman"/>
                <w:sz w:val="20"/>
                <w:szCs w:val="20"/>
              </w:rPr>
              <w:t xml:space="preserve">IAD veiktais VIAA </w:t>
            </w:r>
            <w:r w:rsidR="00982203">
              <w:rPr>
                <w:rFonts w:eastAsia="Times New Roman" w:cs="Times New Roman"/>
                <w:bCs/>
                <w:color w:val="000000"/>
                <w:sz w:val="20"/>
                <w:szCs w:val="20"/>
                <w:lang w:eastAsia="lv-LV"/>
              </w:rPr>
              <w:t>iekšējā audita</w:t>
            </w:r>
            <w:r w:rsidRPr="009238E9">
              <w:rPr>
                <w:rFonts w:cs="Times New Roman"/>
                <w:sz w:val="20"/>
                <w:szCs w:val="20"/>
              </w:rPr>
              <w:t xml:space="preserve"> "Neatbilstību identificēšanas un uzskaites sistēma" </w:t>
            </w:r>
            <w:proofErr w:type="spellStart"/>
            <w:r w:rsidRPr="009238E9">
              <w:rPr>
                <w:rFonts w:cs="Times New Roman"/>
                <w:sz w:val="20"/>
                <w:szCs w:val="20"/>
              </w:rPr>
              <w:t>izvērtējuma</w:t>
            </w:r>
            <w:proofErr w:type="spellEnd"/>
            <w:r w:rsidRPr="009238E9">
              <w:rPr>
                <w:rFonts w:cs="Times New Roman"/>
                <w:sz w:val="20"/>
                <w:szCs w:val="20"/>
              </w:rPr>
              <w:t xml:space="preserve"> kopsavilkums</w:t>
            </w:r>
          </w:p>
        </w:tc>
        <w:tc>
          <w:tcPr>
            <w:tcW w:w="1559" w:type="dxa"/>
          </w:tcPr>
          <w:p w14:paraId="20C432B6" w14:textId="77777777" w:rsidR="00DD5487" w:rsidRDefault="00DD5487" w:rsidP="00DD5487">
            <w:pPr>
              <w:jc w:val="center"/>
              <w:rPr>
                <w:rFonts w:cs="Times New Roman"/>
                <w:sz w:val="20"/>
                <w:szCs w:val="20"/>
              </w:rPr>
            </w:pPr>
            <w:r w:rsidRPr="009238E9">
              <w:rPr>
                <w:rFonts w:cs="Times New Roman"/>
                <w:sz w:val="20"/>
                <w:szCs w:val="20"/>
              </w:rPr>
              <w:t>7-3/12.5/15/4</w:t>
            </w:r>
          </w:p>
          <w:p w14:paraId="21DA3833" w14:textId="77777777" w:rsidR="00DD5487" w:rsidRDefault="00DD5487" w:rsidP="00DD5487">
            <w:pPr>
              <w:jc w:val="center"/>
              <w:rPr>
                <w:rFonts w:cs="Times New Roman"/>
                <w:sz w:val="20"/>
                <w:szCs w:val="20"/>
              </w:rPr>
            </w:pPr>
          </w:p>
          <w:p w14:paraId="4BAACC53" w14:textId="77777777" w:rsidR="00DD5487" w:rsidRPr="009238E9" w:rsidRDefault="00DD5487" w:rsidP="00DD5487">
            <w:pPr>
              <w:jc w:val="center"/>
              <w:rPr>
                <w:rFonts w:cs="Times New Roman"/>
                <w:sz w:val="20"/>
                <w:szCs w:val="20"/>
              </w:rPr>
            </w:pPr>
            <w:r>
              <w:rPr>
                <w:rFonts w:cs="Times New Roman"/>
                <w:sz w:val="20"/>
                <w:szCs w:val="20"/>
              </w:rPr>
              <w:t>04.09.2015.</w:t>
            </w:r>
          </w:p>
        </w:tc>
        <w:tc>
          <w:tcPr>
            <w:tcW w:w="5670" w:type="dxa"/>
          </w:tcPr>
          <w:p w14:paraId="726D7726" w14:textId="77777777" w:rsidR="00DD5487" w:rsidRPr="009238E9" w:rsidRDefault="00DD5487" w:rsidP="00DD5487">
            <w:pPr>
              <w:shd w:val="clear" w:color="auto" w:fill="FFFFFF"/>
              <w:suppressAutoHyphens/>
              <w:jc w:val="both"/>
              <w:rPr>
                <w:rFonts w:eastAsia="Calibri" w:cs="Times New Roman"/>
                <w:bCs/>
                <w:color w:val="000000"/>
                <w:sz w:val="20"/>
                <w:szCs w:val="20"/>
              </w:rPr>
            </w:pPr>
            <w:r w:rsidRPr="009238E9">
              <w:rPr>
                <w:rFonts w:eastAsia="Calibri" w:cs="Times New Roman"/>
                <w:bCs/>
                <w:color w:val="000000"/>
                <w:sz w:val="20"/>
                <w:szCs w:val="20"/>
              </w:rPr>
              <w:t xml:space="preserve">IKS darbojas, bet nepieciešami atsevišķi pilnveidojumi: konstatēti atsevišķi, specifisku kontroļu trūkumi, kuriem ir vidēja/maznozīmīga ietekme uz ES fondu/ārvalstu finanšu palīdzības vadības un kontroles sistēmas darbību. Auditētā iestāde ir izstrādājusi pasākumu plānu ieteikumu ieviešanai. </w:t>
            </w:r>
          </w:p>
        </w:tc>
        <w:tc>
          <w:tcPr>
            <w:tcW w:w="4253" w:type="dxa"/>
          </w:tcPr>
          <w:p w14:paraId="6C80D554" w14:textId="77777777" w:rsidR="00DD5487" w:rsidRPr="009238E9" w:rsidRDefault="00DD5487" w:rsidP="00DD5487">
            <w:pPr>
              <w:jc w:val="both"/>
              <w:rPr>
                <w:rFonts w:eastAsia="Times New Roman" w:cs="Times New Roman"/>
                <w:sz w:val="20"/>
                <w:szCs w:val="20"/>
                <w:lang w:eastAsia="lv-LV"/>
              </w:rPr>
            </w:pPr>
            <w:r w:rsidRPr="009238E9">
              <w:rPr>
                <w:rFonts w:eastAsia="Times New Roman" w:cs="Times New Roman"/>
                <w:sz w:val="20"/>
                <w:szCs w:val="20"/>
                <w:lang w:eastAsia="lv-LV"/>
              </w:rPr>
              <w:t>VI ņēmusi vērā audita rezultātā izteiktos konstatējumus un ieteikumus, pastāvīgi nodrošinot uzraudzības pasākumus.</w:t>
            </w:r>
          </w:p>
        </w:tc>
      </w:tr>
      <w:tr w:rsidR="00DD5487" w:rsidRPr="008B6333" w14:paraId="749EB3F5" w14:textId="77777777" w:rsidTr="00C14755">
        <w:trPr>
          <w:trHeight w:val="400"/>
        </w:trPr>
        <w:tc>
          <w:tcPr>
            <w:tcW w:w="528" w:type="dxa"/>
            <w:noWrap/>
          </w:tcPr>
          <w:p w14:paraId="759F47F0" w14:textId="77777777" w:rsidR="00DD5487" w:rsidRDefault="00DD5487" w:rsidP="00DD5487">
            <w:pPr>
              <w:jc w:val="center"/>
              <w:rPr>
                <w:rFonts w:eastAsia="Times New Roman" w:cs="Times New Roman"/>
                <w:color w:val="000000"/>
                <w:sz w:val="20"/>
                <w:szCs w:val="20"/>
                <w:lang w:eastAsia="lv-LV"/>
              </w:rPr>
            </w:pPr>
            <w:r>
              <w:rPr>
                <w:rFonts w:eastAsia="Times New Roman" w:cs="Times New Roman"/>
                <w:color w:val="000000"/>
                <w:sz w:val="20"/>
                <w:szCs w:val="20"/>
                <w:lang w:eastAsia="lv-LV"/>
              </w:rPr>
              <w:t>5</w:t>
            </w:r>
          </w:p>
        </w:tc>
        <w:tc>
          <w:tcPr>
            <w:tcW w:w="2586" w:type="dxa"/>
          </w:tcPr>
          <w:p w14:paraId="7A97B653" w14:textId="73AE8AFA" w:rsidR="00DD5487" w:rsidRPr="009238E9" w:rsidRDefault="00DD5487" w:rsidP="00982203">
            <w:pPr>
              <w:jc w:val="both"/>
              <w:rPr>
                <w:rFonts w:cs="Times New Roman"/>
                <w:sz w:val="20"/>
                <w:szCs w:val="20"/>
              </w:rPr>
            </w:pPr>
            <w:r w:rsidRPr="00E362B3">
              <w:rPr>
                <w:rFonts w:cs="Times New Roman"/>
                <w:sz w:val="20"/>
                <w:szCs w:val="20"/>
              </w:rPr>
              <w:t>IAD veikt</w:t>
            </w:r>
            <w:r>
              <w:rPr>
                <w:rFonts w:cs="Times New Roman"/>
                <w:sz w:val="20"/>
                <w:szCs w:val="20"/>
              </w:rPr>
              <w:t>ais</w:t>
            </w:r>
            <w:r w:rsidRPr="00E362B3">
              <w:rPr>
                <w:rFonts w:cs="Times New Roman"/>
                <w:sz w:val="20"/>
                <w:szCs w:val="20"/>
              </w:rPr>
              <w:t xml:space="preserve"> VARAM </w:t>
            </w:r>
            <w:r w:rsidR="00982203">
              <w:rPr>
                <w:rFonts w:eastAsia="Times New Roman" w:cs="Times New Roman"/>
                <w:bCs/>
                <w:color w:val="000000"/>
                <w:sz w:val="20"/>
                <w:szCs w:val="20"/>
                <w:lang w:eastAsia="lv-LV"/>
              </w:rPr>
              <w:t>iekšējā audita</w:t>
            </w:r>
            <w:r w:rsidRPr="00E362B3">
              <w:rPr>
                <w:rFonts w:cs="Times New Roman"/>
                <w:sz w:val="20"/>
                <w:szCs w:val="20"/>
              </w:rPr>
              <w:t xml:space="preserve"> "2007.-2013.gada plānošanas perioda Eiropas Savienības struktūrfondu un Kohēzijas fonda finansēto projektu </w:t>
            </w:r>
            <w:proofErr w:type="spellStart"/>
            <w:r w:rsidRPr="00E362B3">
              <w:rPr>
                <w:rFonts w:cs="Times New Roman"/>
                <w:sz w:val="20"/>
                <w:szCs w:val="20"/>
              </w:rPr>
              <w:t>pēcieviešanas</w:t>
            </w:r>
            <w:proofErr w:type="spellEnd"/>
            <w:r w:rsidRPr="00E362B3">
              <w:rPr>
                <w:rFonts w:cs="Times New Roman"/>
                <w:sz w:val="20"/>
                <w:szCs w:val="20"/>
              </w:rPr>
              <w:t xml:space="preserve"> uzraudzības īstenošana" </w:t>
            </w:r>
            <w:proofErr w:type="spellStart"/>
            <w:r w:rsidRPr="00E362B3">
              <w:rPr>
                <w:rFonts w:cs="Times New Roman"/>
                <w:sz w:val="20"/>
                <w:szCs w:val="20"/>
              </w:rPr>
              <w:t>izvērtējuma</w:t>
            </w:r>
            <w:proofErr w:type="spellEnd"/>
            <w:r w:rsidRPr="00E362B3">
              <w:rPr>
                <w:rFonts w:cs="Times New Roman"/>
                <w:sz w:val="20"/>
                <w:szCs w:val="20"/>
              </w:rPr>
              <w:t xml:space="preserve"> kopsavilkums</w:t>
            </w:r>
          </w:p>
        </w:tc>
        <w:tc>
          <w:tcPr>
            <w:tcW w:w="1559" w:type="dxa"/>
          </w:tcPr>
          <w:p w14:paraId="293A7CF9" w14:textId="77777777" w:rsidR="00DD5487" w:rsidRDefault="00DD5487" w:rsidP="00DD5487">
            <w:pPr>
              <w:jc w:val="center"/>
              <w:rPr>
                <w:rFonts w:cs="Times New Roman"/>
                <w:sz w:val="20"/>
                <w:szCs w:val="20"/>
              </w:rPr>
            </w:pPr>
            <w:r w:rsidRPr="00E362B3">
              <w:rPr>
                <w:rFonts w:cs="Times New Roman"/>
                <w:sz w:val="20"/>
                <w:szCs w:val="20"/>
              </w:rPr>
              <w:t>27-2014/31/ES</w:t>
            </w:r>
          </w:p>
          <w:p w14:paraId="43D928CF" w14:textId="77777777" w:rsidR="00DD5487" w:rsidRDefault="00DD5487" w:rsidP="00DD5487">
            <w:pPr>
              <w:jc w:val="center"/>
              <w:rPr>
                <w:rFonts w:cs="Times New Roman"/>
                <w:sz w:val="20"/>
                <w:szCs w:val="20"/>
              </w:rPr>
            </w:pPr>
          </w:p>
          <w:p w14:paraId="7CFF6A8E" w14:textId="77777777" w:rsidR="00DD5487" w:rsidRDefault="00DD5487" w:rsidP="00DD5487">
            <w:pPr>
              <w:jc w:val="center"/>
              <w:rPr>
                <w:rFonts w:cs="Times New Roman"/>
                <w:sz w:val="20"/>
                <w:szCs w:val="20"/>
              </w:rPr>
            </w:pPr>
            <w:r>
              <w:rPr>
                <w:rFonts w:cs="Times New Roman"/>
                <w:sz w:val="20"/>
                <w:szCs w:val="20"/>
              </w:rPr>
              <w:t>27.08.2015.</w:t>
            </w:r>
          </w:p>
          <w:p w14:paraId="6DA7D639" w14:textId="77777777" w:rsidR="00DD5487" w:rsidRDefault="00DD5487" w:rsidP="00DD5487">
            <w:pPr>
              <w:jc w:val="center"/>
              <w:rPr>
                <w:rFonts w:cs="Times New Roman"/>
                <w:sz w:val="20"/>
                <w:szCs w:val="20"/>
              </w:rPr>
            </w:pPr>
          </w:p>
          <w:p w14:paraId="5AD246A9" w14:textId="77777777" w:rsidR="00DD5487" w:rsidRPr="009238E9" w:rsidRDefault="00DD5487" w:rsidP="00DD5487">
            <w:pPr>
              <w:jc w:val="center"/>
              <w:rPr>
                <w:rFonts w:cs="Times New Roman"/>
                <w:sz w:val="20"/>
                <w:szCs w:val="20"/>
              </w:rPr>
            </w:pPr>
          </w:p>
        </w:tc>
        <w:tc>
          <w:tcPr>
            <w:tcW w:w="5670" w:type="dxa"/>
          </w:tcPr>
          <w:p w14:paraId="4FEDA845" w14:textId="77777777" w:rsidR="00DD5487" w:rsidRPr="009238E9" w:rsidRDefault="00DD5487" w:rsidP="00DD5487">
            <w:pPr>
              <w:shd w:val="clear" w:color="auto" w:fill="FFFFFF"/>
              <w:suppressAutoHyphens/>
              <w:jc w:val="both"/>
              <w:rPr>
                <w:rFonts w:eastAsia="Calibri" w:cs="Times New Roman"/>
                <w:bCs/>
                <w:color w:val="000000"/>
                <w:sz w:val="20"/>
                <w:szCs w:val="20"/>
              </w:rPr>
            </w:pPr>
            <w:r w:rsidRPr="00983539">
              <w:rPr>
                <w:rFonts w:eastAsia="Calibri" w:cs="Times New Roman"/>
                <w:bCs/>
                <w:color w:val="000000"/>
                <w:sz w:val="20"/>
                <w:szCs w:val="20"/>
              </w:rPr>
              <w:t xml:space="preserve">IKS darbojas, bet nepieciešami atsevišķi pilnveidojumi: konstatēti atsevišķi, specifisku kontroļu trūkumi, kuriem ir vidēja/maznozīmīga ietekme uz ES fondu/ārvalstu finanšu palīdzības vadības un kontroles sistēmas darbību. Ieteikumi saistīti galvenokārt ar iekšējo procedūru precizēšanu, amata aprakstu aktualizēšanu, informācijas ievadi ES fondu vadības informācijas sistēmā, kā arī izteikts ieteikums nodrošināt </w:t>
            </w:r>
            <w:proofErr w:type="spellStart"/>
            <w:r w:rsidRPr="00983539">
              <w:rPr>
                <w:rFonts w:eastAsia="Calibri" w:cs="Times New Roman"/>
                <w:bCs/>
                <w:color w:val="000000"/>
                <w:sz w:val="20"/>
                <w:szCs w:val="20"/>
              </w:rPr>
              <w:t>pēcieviešanas</w:t>
            </w:r>
            <w:proofErr w:type="spellEnd"/>
            <w:r w:rsidRPr="00983539">
              <w:rPr>
                <w:rFonts w:eastAsia="Calibri" w:cs="Times New Roman"/>
                <w:bCs/>
                <w:color w:val="000000"/>
                <w:sz w:val="20"/>
                <w:szCs w:val="20"/>
              </w:rPr>
              <w:t xml:space="preserve"> pārbaužu plānošanas procesa izsekojamību. Auditētā iestāde ir izstrādājusi pasākumu plānu ieteikumu ieviešanai.</w:t>
            </w:r>
          </w:p>
        </w:tc>
        <w:tc>
          <w:tcPr>
            <w:tcW w:w="4253" w:type="dxa"/>
          </w:tcPr>
          <w:p w14:paraId="6B5D47F7" w14:textId="77777777" w:rsidR="00DD5487" w:rsidRPr="009238E9" w:rsidRDefault="00DD5487" w:rsidP="00DD5487">
            <w:pPr>
              <w:jc w:val="both"/>
              <w:rPr>
                <w:rFonts w:eastAsia="Times New Roman" w:cs="Times New Roman"/>
                <w:sz w:val="20"/>
                <w:szCs w:val="20"/>
                <w:lang w:eastAsia="lv-LV"/>
              </w:rPr>
            </w:pPr>
            <w:r w:rsidRPr="00E362B3">
              <w:rPr>
                <w:rFonts w:eastAsia="Times New Roman" w:cs="Times New Roman"/>
                <w:sz w:val="20"/>
                <w:szCs w:val="20"/>
                <w:lang w:eastAsia="lv-LV"/>
              </w:rPr>
              <w:t>VI ņēmusi vērā audita rezultātā izteiktos konstatējumus un ieteikumus, pastāvīgi nodrošinot uzraudzības pasākumus.</w:t>
            </w:r>
          </w:p>
        </w:tc>
      </w:tr>
      <w:tr w:rsidR="00761B36" w:rsidRPr="008B6333" w14:paraId="431E8FED" w14:textId="77777777" w:rsidTr="00C14755">
        <w:trPr>
          <w:trHeight w:val="400"/>
        </w:trPr>
        <w:tc>
          <w:tcPr>
            <w:tcW w:w="528" w:type="dxa"/>
            <w:noWrap/>
          </w:tcPr>
          <w:p w14:paraId="076AA722" w14:textId="77777777" w:rsidR="00761B36" w:rsidDel="0078626C" w:rsidRDefault="00761B36" w:rsidP="009361D4">
            <w:pPr>
              <w:jc w:val="center"/>
              <w:rPr>
                <w:rFonts w:eastAsia="Times New Roman" w:cs="Times New Roman"/>
                <w:color w:val="000000"/>
                <w:sz w:val="20"/>
                <w:szCs w:val="20"/>
                <w:lang w:eastAsia="lv-LV"/>
              </w:rPr>
            </w:pPr>
            <w:r>
              <w:rPr>
                <w:rFonts w:eastAsia="Times New Roman" w:cs="Times New Roman"/>
                <w:color w:val="000000"/>
                <w:sz w:val="20"/>
                <w:szCs w:val="20"/>
                <w:lang w:eastAsia="lv-LV"/>
              </w:rPr>
              <w:t>6</w:t>
            </w:r>
          </w:p>
        </w:tc>
        <w:tc>
          <w:tcPr>
            <w:tcW w:w="2586" w:type="dxa"/>
          </w:tcPr>
          <w:p w14:paraId="219A70D6" w14:textId="77777777" w:rsidR="00761B36" w:rsidRPr="009238E9" w:rsidRDefault="00761B36" w:rsidP="009361D4">
            <w:pPr>
              <w:jc w:val="both"/>
              <w:rPr>
                <w:rFonts w:cs="Times New Roman"/>
                <w:sz w:val="20"/>
                <w:szCs w:val="20"/>
              </w:rPr>
            </w:pPr>
            <w:r>
              <w:rPr>
                <w:rFonts w:cs="Times New Roman"/>
                <w:sz w:val="20"/>
                <w:szCs w:val="20"/>
              </w:rPr>
              <w:t>Pēcpārbaude: Apakšaktivitātes 2.1.2.1.1. “Kompetences centri” auditam</w:t>
            </w:r>
          </w:p>
        </w:tc>
        <w:tc>
          <w:tcPr>
            <w:tcW w:w="1559" w:type="dxa"/>
          </w:tcPr>
          <w:p w14:paraId="3CE77F09" w14:textId="77777777" w:rsidR="00761B36" w:rsidRDefault="00761B36" w:rsidP="00DD5487">
            <w:pPr>
              <w:jc w:val="center"/>
              <w:rPr>
                <w:rFonts w:cs="Times New Roman"/>
                <w:sz w:val="20"/>
                <w:szCs w:val="20"/>
              </w:rPr>
            </w:pPr>
            <w:r>
              <w:rPr>
                <w:rFonts w:cs="Times New Roman"/>
                <w:sz w:val="20"/>
                <w:szCs w:val="20"/>
              </w:rPr>
              <w:t>SF-2015/2</w:t>
            </w:r>
          </w:p>
          <w:p w14:paraId="18014614" w14:textId="77777777" w:rsidR="008858C0" w:rsidRDefault="008858C0" w:rsidP="00DD5487">
            <w:pPr>
              <w:jc w:val="center"/>
              <w:rPr>
                <w:rFonts w:cs="Times New Roman"/>
                <w:sz w:val="20"/>
                <w:szCs w:val="20"/>
              </w:rPr>
            </w:pPr>
          </w:p>
          <w:p w14:paraId="03EA1D86" w14:textId="77777777" w:rsidR="008858C0" w:rsidRPr="009238E9" w:rsidRDefault="008858C0" w:rsidP="00DD5487">
            <w:pPr>
              <w:jc w:val="center"/>
              <w:rPr>
                <w:rFonts w:cs="Times New Roman"/>
                <w:sz w:val="20"/>
                <w:szCs w:val="20"/>
              </w:rPr>
            </w:pPr>
            <w:r>
              <w:rPr>
                <w:rFonts w:cs="Times New Roman"/>
                <w:sz w:val="20"/>
                <w:szCs w:val="20"/>
              </w:rPr>
              <w:t>31.03.2015.</w:t>
            </w:r>
          </w:p>
        </w:tc>
        <w:tc>
          <w:tcPr>
            <w:tcW w:w="5670" w:type="dxa"/>
          </w:tcPr>
          <w:p w14:paraId="477B5042" w14:textId="77777777" w:rsidR="00761B36" w:rsidRDefault="00761B36" w:rsidP="009361D4">
            <w:pPr>
              <w:shd w:val="clear" w:color="auto" w:fill="FFFFFF"/>
              <w:suppressAutoHyphens/>
              <w:jc w:val="both"/>
              <w:rPr>
                <w:rFonts w:eastAsia="Calibri" w:cs="Times New Roman"/>
                <w:bCs/>
                <w:color w:val="000000"/>
                <w:sz w:val="20"/>
                <w:szCs w:val="20"/>
              </w:rPr>
            </w:pPr>
            <w:r>
              <w:rPr>
                <w:rFonts w:eastAsia="Calibri" w:cs="Times New Roman"/>
                <w:bCs/>
                <w:color w:val="000000"/>
                <w:sz w:val="20"/>
                <w:szCs w:val="20"/>
              </w:rPr>
              <w:t>IKS darbojas, lai gan ir nepieciešami atsevišķi uzlabojumi – konstatēti atsevišķu, specifisku kontroļu trūkumi, tomēr kopumā novērtētās kontroles ir atbilstošas, pietiekamas un efektīvas, kas ļauj sniegt pietiekamu pārliecību, ka riski tiek vadīti (mazināti) un iestādes/sistēmas mērķis tiks sasniegts.</w:t>
            </w:r>
          </w:p>
          <w:p w14:paraId="60C2BEC1" w14:textId="77777777" w:rsidR="00761B36" w:rsidRPr="009238E9" w:rsidRDefault="00761B36" w:rsidP="009361D4">
            <w:pPr>
              <w:shd w:val="clear" w:color="auto" w:fill="FFFFFF"/>
              <w:suppressAutoHyphens/>
              <w:jc w:val="both"/>
              <w:rPr>
                <w:rFonts w:eastAsia="Calibri" w:cs="Times New Roman"/>
                <w:bCs/>
                <w:color w:val="000000"/>
                <w:sz w:val="20"/>
                <w:szCs w:val="20"/>
              </w:rPr>
            </w:pPr>
            <w:r>
              <w:rPr>
                <w:rFonts w:eastAsia="Calibri" w:cs="Times New Roman"/>
                <w:bCs/>
                <w:color w:val="000000"/>
                <w:sz w:val="20"/>
                <w:szCs w:val="20"/>
              </w:rPr>
              <w:t xml:space="preserve">Audita rezultātā izteikti pieci ieteikumi LIAA, ierosinot veikt precizējumus iekšējās kārtībās, veicot kompetences centru </w:t>
            </w:r>
            <w:proofErr w:type="spellStart"/>
            <w:r>
              <w:rPr>
                <w:rFonts w:eastAsia="Calibri" w:cs="Times New Roman"/>
                <w:bCs/>
                <w:color w:val="000000"/>
                <w:sz w:val="20"/>
                <w:szCs w:val="20"/>
              </w:rPr>
              <w:t>pēcuzraudzības</w:t>
            </w:r>
            <w:proofErr w:type="spellEnd"/>
            <w:r>
              <w:rPr>
                <w:rFonts w:eastAsia="Calibri" w:cs="Times New Roman"/>
                <w:bCs/>
                <w:color w:val="000000"/>
                <w:sz w:val="20"/>
                <w:szCs w:val="20"/>
              </w:rPr>
              <w:t xml:space="preserve"> pārbaudes, pievērst uzmanību veiktajiem nozares pētījumiem, nodrošināt iepirkumu </w:t>
            </w:r>
            <w:proofErr w:type="spellStart"/>
            <w:r>
              <w:rPr>
                <w:rFonts w:eastAsia="Calibri" w:cs="Times New Roman"/>
                <w:bCs/>
                <w:color w:val="000000"/>
                <w:sz w:val="20"/>
                <w:szCs w:val="20"/>
              </w:rPr>
              <w:t>pirmspārbaužu</w:t>
            </w:r>
            <w:proofErr w:type="spellEnd"/>
            <w:r>
              <w:rPr>
                <w:rFonts w:eastAsia="Calibri" w:cs="Times New Roman"/>
                <w:bCs/>
                <w:color w:val="000000"/>
                <w:sz w:val="20"/>
                <w:szCs w:val="20"/>
              </w:rPr>
              <w:t xml:space="preserve"> veikšanu MK noteikumos Nr. 361 noteiktajā termiņā, kā arī izvērtēt iespēju piesaistīt kompetences centru aktivitātes administrēšanā papildus resursus no citām LIAA nodaļām, lai nodrošinātu, ka MP pārbaudes varētu veikt paredzētajos termiņos.</w:t>
            </w:r>
          </w:p>
        </w:tc>
        <w:tc>
          <w:tcPr>
            <w:tcW w:w="4253" w:type="dxa"/>
          </w:tcPr>
          <w:p w14:paraId="2A1CD698" w14:textId="77777777" w:rsidR="00761B36" w:rsidRDefault="00761B36" w:rsidP="009361D4">
            <w:pPr>
              <w:jc w:val="both"/>
              <w:rPr>
                <w:rFonts w:eastAsia="Times New Roman" w:cs="Times New Roman"/>
                <w:sz w:val="20"/>
                <w:szCs w:val="20"/>
                <w:lang w:eastAsia="lv-LV"/>
              </w:rPr>
            </w:pPr>
            <w:r>
              <w:rPr>
                <w:rFonts w:eastAsia="Times New Roman" w:cs="Times New Roman"/>
                <w:sz w:val="20"/>
                <w:szCs w:val="20"/>
                <w:lang w:eastAsia="lv-LV"/>
              </w:rPr>
              <w:t>VI ņēmusi vērā audita rezultātā izteiktos konstatējumus un ieteikumus, pastāvīgi nodrošinot uzraudzības pasākumus, kā arī audita rezultātiem pievērsta uzmanība, veicot deleģēto funkciju pārbaudes LIAA.</w:t>
            </w:r>
          </w:p>
          <w:p w14:paraId="2F614EF3" w14:textId="77777777" w:rsidR="00761B36" w:rsidRPr="009238E9" w:rsidRDefault="00761B36" w:rsidP="009361D4">
            <w:pPr>
              <w:jc w:val="both"/>
              <w:rPr>
                <w:rFonts w:eastAsia="Times New Roman" w:cs="Times New Roman"/>
                <w:sz w:val="20"/>
                <w:szCs w:val="20"/>
                <w:lang w:eastAsia="lv-LV"/>
              </w:rPr>
            </w:pPr>
          </w:p>
        </w:tc>
      </w:tr>
      <w:tr w:rsidR="00761B36" w:rsidRPr="008B6333" w14:paraId="1103B24F" w14:textId="77777777" w:rsidTr="00C14755">
        <w:trPr>
          <w:trHeight w:val="400"/>
        </w:trPr>
        <w:tc>
          <w:tcPr>
            <w:tcW w:w="528" w:type="dxa"/>
            <w:noWrap/>
          </w:tcPr>
          <w:p w14:paraId="0684542A" w14:textId="77777777" w:rsidR="00761B36" w:rsidRDefault="00761B36" w:rsidP="009361D4">
            <w:pPr>
              <w:jc w:val="center"/>
              <w:rPr>
                <w:rFonts w:eastAsia="Times New Roman" w:cs="Times New Roman"/>
                <w:color w:val="000000"/>
                <w:sz w:val="20"/>
                <w:szCs w:val="20"/>
                <w:lang w:eastAsia="lv-LV"/>
              </w:rPr>
            </w:pPr>
            <w:r>
              <w:rPr>
                <w:rFonts w:eastAsia="Times New Roman" w:cs="Times New Roman"/>
                <w:color w:val="000000"/>
                <w:sz w:val="20"/>
                <w:szCs w:val="20"/>
                <w:lang w:eastAsia="lv-LV"/>
              </w:rPr>
              <w:t>7</w:t>
            </w:r>
          </w:p>
        </w:tc>
        <w:tc>
          <w:tcPr>
            <w:tcW w:w="2586" w:type="dxa"/>
          </w:tcPr>
          <w:p w14:paraId="1D9D734D" w14:textId="77777777" w:rsidR="00761B36" w:rsidRPr="00D517A6" w:rsidRDefault="00761B36" w:rsidP="009361D4">
            <w:pPr>
              <w:jc w:val="both"/>
              <w:rPr>
                <w:rFonts w:cs="Times New Roman"/>
                <w:sz w:val="20"/>
                <w:szCs w:val="20"/>
              </w:rPr>
            </w:pPr>
            <w:r w:rsidRPr="00D517A6">
              <w:rPr>
                <w:rFonts w:eastAsia="Times New Roman" w:cs="Times New Roman"/>
                <w:bCs/>
                <w:color w:val="000000"/>
                <w:sz w:val="20"/>
                <w:szCs w:val="20"/>
                <w:lang w:eastAsia="lv-LV"/>
              </w:rPr>
              <w:t>FM IAD audits “ES fondu plānošanas dokumentos noteikto mērķu un rezultātu sasniegšanas nodrošināšana”</w:t>
            </w:r>
          </w:p>
        </w:tc>
        <w:tc>
          <w:tcPr>
            <w:tcW w:w="1559" w:type="dxa"/>
          </w:tcPr>
          <w:p w14:paraId="3C5D129C" w14:textId="77777777" w:rsidR="00761B36" w:rsidRPr="00D517A6" w:rsidRDefault="00761B36" w:rsidP="00DD5487">
            <w:pPr>
              <w:jc w:val="center"/>
              <w:rPr>
                <w:rFonts w:cs="Times New Roman"/>
                <w:sz w:val="20"/>
                <w:szCs w:val="20"/>
              </w:rPr>
            </w:pPr>
            <w:r w:rsidRPr="00D517A6">
              <w:rPr>
                <w:rFonts w:cs="Times New Roman"/>
                <w:sz w:val="20"/>
                <w:szCs w:val="20"/>
              </w:rPr>
              <w:t>H-SF-2014/7</w:t>
            </w:r>
          </w:p>
          <w:p w14:paraId="599FC901" w14:textId="77777777" w:rsidR="008858C0" w:rsidRPr="00D517A6" w:rsidRDefault="008858C0" w:rsidP="00DD5487">
            <w:pPr>
              <w:jc w:val="center"/>
              <w:rPr>
                <w:rFonts w:cs="Times New Roman"/>
                <w:sz w:val="20"/>
                <w:szCs w:val="20"/>
              </w:rPr>
            </w:pPr>
          </w:p>
          <w:p w14:paraId="61EF1F80" w14:textId="77777777" w:rsidR="008858C0" w:rsidRPr="00D517A6" w:rsidRDefault="008858C0" w:rsidP="00DD5487">
            <w:pPr>
              <w:jc w:val="center"/>
              <w:rPr>
                <w:rFonts w:cs="Times New Roman"/>
                <w:sz w:val="20"/>
                <w:szCs w:val="20"/>
              </w:rPr>
            </w:pPr>
            <w:r w:rsidRPr="00D517A6">
              <w:rPr>
                <w:rFonts w:cs="Times New Roman"/>
                <w:sz w:val="20"/>
                <w:szCs w:val="20"/>
              </w:rPr>
              <w:t>09.02.2015.</w:t>
            </w:r>
          </w:p>
        </w:tc>
        <w:tc>
          <w:tcPr>
            <w:tcW w:w="5670" w:type="dxa"/>
          </w:tcPr>
          <w:p w14:paraId="2D98602C" w14:textId="77777777" w:rsidR="00761B36" w:rsidRPr="00D517A6" w:rsidRDefault="00761B36" w:rsidP="009361D4">
            <w:pPr>
              <w:jc w:val="both"/>
              <w:rPr>
                <w:rFonts w:eastAsia="Times New Roman" w:cs="Times New Roman"/>
                <w:color w:val="000000"/>
                <w:sz w:val="20"/>
                <w:szCs w:val="20"/>
                <w:lang w:eastAsia="lv-LV"/>
              </w:rPr>
            </w:pPr>
            <w:r w:rsidRPr="00D517A6">
              <w:rPr>
                <w:rFonts w:eastAsia="Times New Roman" w:cs="Times New Roman"/>
                <w:color w:val="000000"/>
                <w:sz w:val="20"/>
                <w:szCs w:val="20"/>
                <w:lang w:eastAsia="lv-LV"/>
              </w:rPr>
              <w:t xml:space="preserve">Audita rezultātā secināts, ka iekšējā kontroles sistēma (IKS) darbojas, lai gan ir nepieciešami atsevišķi uzlabojumi.  Konstatēts, ka AI daļēji nav izprotama uzraudzības ziņojumu sagatavošanas būtība, kā arī apkopotas atsevišķas atziņas par uzraudzības ziņojumu sagatavošanu, tai skaitā par ziņojumu sagatavošanas biežumu un iekļaujamās informācijas detalizāciju. </w:t>
            </w:r>
          </w:p>
          <w:p w14:paraId="49AE3653" w14:textId="77777777" w:rsidR="00761B36" w:rsidRPr="00D517A6" w:rsidRDefault="00761B36" w:rsidP="009361D4">
            <w:pPr>
              <w:shd w:val="clear" w:color="auto" w:fill="FFFFFF"/>
              <w:suppressAutoHyphens/>
              <w:jc w:val="both"/>
              <w:rPr>
                <w:rFonts w:eastAsia="Calibri" w:cs="Times New Roman"/>
                <w:bCs/>
                <w:color w:val="000000"/>
                <w:sz w:val="20"/>
                <w:szCs w:val="20"/>
              </w:rPr>
            </w:pPr>
            <w:r w:rsidRPr="00D517A6">
              <w:rPr>
                <w:rFonts w:eastAsia="Times New Roman" w:cs="Times New Roman"/>
                <w:color w:val="000000"/>
                <w:sz w:val="20"/>
                <w:szCs w:val="20"/>
                <w:lang w:eastAsia="lv-LV"/>
              </w:rPr>
              <w:t>Līdz ar to IAD, neizsakot ieteikumu, aicina vadošo iestādi saskaņot MK noteikumos un vadlīnijās ietvertās prasības attiecībā uz atbildīgo iestāžu gatavojamo informāciju par aktivitāšu ieviešanu, gatavojot normatīvos aktus 2014.–2020.gada plānošanas periodam.</w:t>
            </w:r>
          </w:p>
        </w:tc>
        <w:tc>
          <w:tcPr>
            <w:tcW w:w="4253" w:type="dxa"/>
          </w:tcPr>
          <w:p w14:paraId="3B66ECCA" w14:textId="77777777" w:rsidR="00761B36" w:rsidRPr="00D517A6" w:rsidRDefault="00761B36" w:rsidP="009361D4">
            <w:pPr>
              <w:jc w:val="both"/>
              <w:rPr>
                <w:rFonts w:eastAsia="Times New Roman" w:cs="Times New Roman"/>
                <w:sz w:val="20"/>
                <w:szCs w:val="20"/>
                <w:lang w:eastAsia="lv-LV"/>
              </w:rPr>
            </w:pPr>
            <w:r w:rsidRPr="00D517A6">
              <w:rPr>
                <w:rFonts w:eastAsia="Times New Roman" w:cs="Times New Roman"/>
                <w:sz w:val="20"/>
                <w:szCs w:val="20"/>
                <w:lang w:eastAsia="lv-LV"/>
              </w:rPr>
              <w:t xml:space="preserve">Auditējamās iestādes izstrādājušas trūkumu novēršanas plānu ieteikumu ieviešanai. </w:t>
            </w:r>
          </w:p>
          <w:p w14:paraId="7696C4AA" w14:textId="77777777" w:rsidR="00761B36" w:rsidRPr="00D517A6" w:rsidRDefault="00761B36" w:rsidP="009361D4">
            <w:pPr>
              <w:jc w:val="both"/>
              <w:rPr>
                <w:rFonts w:eastAsia="Times New Roman" w:cs="Times New Roman"/>
                <w:sz w:val="20"/>
                <w:szCs w:val="20"/>
                <w:lang w:eastAsia="lv-LV"/>
              </w:rPr>
            </w:pPr>
            <w:r w:rsidRPr="00D517A6">
              <w:rPr>
                <w:rFonts w:eastAsia="Times New Roman" w:cs="Times New Roman"/>
                <w:sz w:val="20"/>
                <w:szCs w:val="20"/>
                <w:lang w:eastAsia="lv-LV"/>
              </w:rPr>
              <w:t>VI ņēmusi vērā audita rezultātā izteiktos konstatējumus, izstrādājot Ministru kabineta 2015.gada 24.februāra noteikumus Nr.108 "Kārtība, kādā uzrauga un izvērtē Eiropas Savienības struktūrfondu un Kohēzijas fonda ieviešanu, kā arī izveido un izmanto Kohēzijas politikas fondu vadības informācijas sistēmu 2014.–2020.gadam", attiecīgi ieviešot audita rezultātā VI izteiktos ieteikumus.</w:t>
            </w:r>
          </w:p>
        </w:tc>
      </w:tr>
      <w:tr w:rsidR="00982203" w:rsidRPr="008B6333" w14:paraId="79D993F4" w14:textId="77777777" w:rsidTr="00C14755">
        <w:trPr>
          <w:trHeight w:val="400"/>
        </w:trPr>
        <w:tc>
          <w:tcPr>
            <w:tcW w:w="528" w:type="dxa"/>
            <w:noWrap/>
          </w:tcPr>
          <w:p w14:paraId="0A11EAD8" w14:textId="1C2B073E" w:rsidR="00982203" w:rsidRDefault="00982203" w:rsidP="00982203">
            <w:pPr>
              <w:jc w:val="center"/>
              <w:rPr>
                <w:rFonts w:eastAsia="Times New Roman" w:cs="Times New Roman"/>
                <w:color w:val="000000"/>
                <w:sz w:val="20"/>
                <w:szCs w:val="20"/>
                <w:lang w:eastAsia="lv-LV"/>
              </w:rPr>
            </w:pPr>
            <w:r>
              <w:rPr>
                <w:rFonts w:eastAsia="Times New Roman" w:cs="Times New Roman"/>
                <w:color w:val="000000"/>
                <w:sz w:val="20"/>
                <w:szCs w:val="20"/>
                <w:lang w:eastAsia="lv-LV"/>
              </w:rPr>
              <w:t>8</w:t>
            </w:r>
          </w:p>
        </w:tc>
        <w:tc>
          <w:tcPr>
            <w:tcW w:w="2586" w:type="dxa"/>
          </w:tcPr>
          <w:p w14:paraId="6C6B0ED9" w14:textId="74E1CB5B" w:rsidR="00982203" w:rsidRPr="00D517A6" w:rsidRDefault="00982203" w:rsidP="00982203">
            <w:pPr>
              <w:jc w:val="both"/>
              <w:rPr>
                <w:rFonts w:eastAsia="Times New Roman" w:cs="Times New Roman"/>
                <w:bCs/>
                <w:color w:val="000000"/>
                <w:sz w:val="20"/>
                <w:szCs w:val="20"/>
                <w:lang w:eastAsia="lv-LV"/>
              </w:rPr>
            </w:pPr>
            <w:r w:rsidRPr="00D517A6">
              <w:rPr>
                <w:rFonts w:eastAsia="Times New Roman" w:cs="Times New Roman"/>
                <w:bCs/>
                <w:color w:val="000000"/>
                <w:sz w:val="20"/>
                <w:szCs w:val="20"/>
                <w:lang w:eastAsia="lv-LV"/>
              </w:rPr>
              <w:t xml:space="preserve">IAD veiktais VIAA iekšējā audita “Pārbaudes projektu īstenošanas vietās pēc </w:t>
            </w:r>
            <w:r w:rsidRPr="00D517A6">
              <w:rPr>
                <w:rFonts w:eastAsia="Times New Roman" w:cs="Times New Roman"/>
                <w:bCs/>
                <w:color w:val="000000"/>
                <w:sz w:val="20"/>
                <w:szCs w:val="20"/>
                <w:lang w:eastAsia="lv-LV"/>
              </w:rPr>
              <w:lastRenderedPageBreak/>
              <w:t xml:space="preserve">projekta pabeigšanas” </w:t>
            </w:r>
            <w:proofErr w:type="spellStart"/>
            <w:r w:rsidRPr="00D517A6">
              <w:rPr>
                <w:rFonts w:eastAsia="Times New Roman" w:cs="Times New Roman"/>
                <w:bCs/>
                <w:color w:val="000000"/>
                <w:sz w:val="20"/>
                <w:szCs w:val="20"/>
                <w:lang w:eastAsia="lv-LV"/>
              </w:rPr>
              <w:t>izvērtējuma</w:t>
            </w:r>
            <w:proofErr w:type="spellEnd"/>
            <w:r w:rsidRPr="00D517A6">
              <w:rPr>
                <w:rFonts w:eastAsia="Times New Roman" w:cs="Times New Roman"/>
                <w:bCs/>
                <w:color w:val="000000"/>
                <w:sz w:val="20"/>
                <w:szCs w:val="20"/>
                <w:lang w:eastAsia="lv-LV"/>
              </w:rPr>
              <w:t xml:space="preserve"> kopsavilkums</w:t>
            </w:r>
          </w:p>
        </w:tc>
        <w:tc>
          <w:tcPr>
            <w:tcW w:w="1559" w:type="dxa"/>
          </w:tcPr>
          <w:p w14:paraId="15435646" w14:textId="77777777" w:rsidR="00982203" w:rsidRPr="00D517A6" w:rsidRDefault="00982203" w:rsidP="00982203">
            <w:pPr>
              <w:jc w:val="center"/>
              <w:rPr>
                <w:rFonts w:eastAsia="Times New Roman" w:cs="Times New Roman"/>
                <w:bCs/>
                <w:color w:val="000000"/>
                <w:sz w:val="20"/>
                <w:szCs w:val="20"/>
                <w:lang w:eastAsia="lv-LV"/>
              </w:rPr>
            </w:pPr>
            <w:r w:rsidRPr="00D517A6">
              <w:rPr>
                <w:rFonts w:eastAsia="Times New Roman" w:cs="Times New Roman"/>
                <w:bCs/>
                <w:color w:val="000000"/>
                <w:sz w:val="20"/>
                <w:szCs w:val="20"/>
                <w:lang w:eastAsia="lv-LV"/>
              </w:rPr>
              <w:lastRenderedPageBreak/>
              <w:t>1/2017</w:t>
            </w:r>
          </w:p>
          <w:p w14:paraId="53518AC7" w14:textId="77777777" w:rsidR="00982203" w:rsidRPr="00D517A6" w:rsidRDefault="00982203" w:rsidP="00982203">
            <w:pPr>
              <w:jc w:val="center"/>
              <w:rPr>
                <w:rFonts w:eastAsia="Times New Roman" w:cs="Times New Roman"/>
                <w:bCs/>
                <w:color w:val="000000"/>
                <w:sz w:val="20"/>
                <w:szCs w:val="20"/>
                <w:lang w:eastAsia="lv-LV"/>
              </w:rPr>
            </w:pPr>
          </w:p>
          <w:p w14:paraId="62258561" w14:textId="7A45DBD7" w:rsidR="00982203" w:rsidRPr="00D517A6" w:rsidRDefault="00982203" w:rsidP="00982203">
            <w:pPr>
              <w:jc w:val="center"/>
              <w:rPr>
                <w:rFonts w:cs="Times New Roman"/>
                <w:sz w:val="20"/>
                <w:szCs w:val="20"/>
              </w:rPr>
            </w:pPr>
            <w:r w:rsidRPr="00D517A6">
              <w:rPr>
                <w:rFonts w:eastAsia="Times New Roman" w:cs="Times New Roman"/>
                <w:bCs/>
                <w:color w:val="000000"/>
                <w:sz w:val="20"/>
                <w:szCs w:val="20"/>
                <w:lang w:eastAsia="lv-LV"/>
              </w:rPr>
              <w:t>16.01.2017.</w:t>
            </w:r>
          </w:p>
        </w:tc>
        <w:tc>
          <w:tcPr>
            <w:tcW w:w="5670" w:type="dxa"/>
          </w:tcPr>
          <w:p w14:paraId="547ABF77" w14:textId="650FC85B" w:rsidR="00982203" w:rsidRPr="00D517A6" w:rsidRDefault="00982203" w:rsidP="00982203">
            <w:pPr>
              <w:jc w:val="both"/>
              <w:rPr>
                <w:rFonts w:eastAsia="Times New Roman" w:cs="Times New Roman"/>
                <w:color w:val="000000"/>
                <w:sz w:val="20"/>
                <w:szCs w:val="20"/>
                <w:lang w:eastAsia="lv-LV"/>
              </w:rPr>
            </w:pPr>
            <w:r w:rsidRPr="00D517A6">
              <w:rPr>
                <w:rFonts w:eastAsia="Times New Roman" w:cs="Times New Roman"/>
                <w:bCs/>
                <w:color w:val="000000"/>
                <w:sz w:val="20"/>
                <w:szCs w:val="20"/>
                <w:lang w:eastAsia="lv-LV"/>
              </w:rPr>
              <w:t xml:space="preserve">IKS darbojas, bet nepieciešami atsevišķi pilnveidojumi: konstatēti atsevišķi, specifisku kontroļu trūkumi, kuriem ir vidēja/maznozīmīga ietekme uz ES fondu/ārvalstu finanšu </w:t>
            </w:r>
            <w:r w:rsidRPr="00D517A6">
              <w:rPr>
                <w:rFonts w:eastAsia="Times New Roman" w:cs="Times New Roman"/>
                <w:bCs/>
                <w:color w:val="000000"/>
                <w:sz w:val="20"/>
                <w:szCs w:val="20"/>
                <w:lang w:eastAsia="lv-LV"/>
              </w:rPr>
              <w:lastRenderedPageBreak/>
              <w:t>palīdzības vadības un kontroles sistēmas darbību. VIAA izteikti 8 ieteikumi, kas attiecas uz iekšējo normatīvo aktu precizēšanu, metodiskā atbalsta un iekšējo kontroļu stiprināšanu. Auditētā iestāde ir izstrādājusi pasākumu plānu ieteikumu ieviešanai.</w:t>
            </w:r>
          </w:p>
        </w:tc>
        <w:tc>
          <w:tcPr>
            <w:tcW w:w="4253" w:type="dxa"/>
          </w:tcPr>
          <w:p w14:paraId="04102149" w14:textId="298631A3" w:rsidR="00982203" w:rsidRPr="00D517A6" w:rsidRDefault="00982203" w:rsidP="00982203">
            <w:pPr>
              <w:jc w:val="both"/>
              <w:rPr>
                <w:rFonts w:eastAsia="Times New Roman" w:cs="Times New Roman"/>
                <w:sz w:val="20"/>
                <w:szCs w:val="20"/>
                <w:lang w:eastAsia="lv-LV"/>
              </w:rPr>
            </w:pPr>
            <w:r w:rsidRPr="00D517A6">
              <w:rPr>
                <w:rFonts w:eastAsia="Times New Roman" w:cs="Times New Roman"/>
                <w:sz w:val="20"/>
                <w:szCs w:val="20"/>
                <w:lang w:eastAsia="lv-LV"/>
              </w:rPr>
              <w:lastRenderedPageBreak/>
              <w:t>VI ņēmusi vērā audita rezultātā izteiktos konstatējumus un ieteikumus, pastāvīgi nodrošinot uzraudzības pasākumus.</w:t>
            </w:r>
          </w:p>
        </w:tc>
      </w:tr>
      <w:tr w:rsidR="00982203" w:rsidRPr="008B6333" w14:paraId="06FD947E" w14:textId="77777777" w:rsidTr="00C14755">
        <w:trPr>
          <w:trHeight w:val="400"/>
        </w:trPr>
        <w:tc>
          <w:tcPr>
            <w:tcW w:w="528" w:type="dxa"/>
            <w:noWrap/>
          </w:tcPr>
          <w:p w14:paraId="6A6251F2" w14:textId="10B5E4C4" w:rsidR="00982203" w:rsidRDefault="00982203" w:rsidP="00982203">
            <w:pPr>
              <w:jc w:val="center"/>
              <w:rPr>
                <w:rFonts w:eastAsia="Times New Roman" w:cs="Times New Roman"/>
                <w:color w:val="000000"/>
                <w:sz w:val="20"/>
                <w:szCs w:val="20"/>
                <w:lang w:eastAsia="lv-LV"/>
              </w:rPr>
            </w:pPr>
            <w:r>
              <w:rPr>
                <w:rFonts w:eastAsia="Times New Roman" w:cs="Times New Roman"/>
                <w:color w:val="000000"/>
                <w:sz w:val="20"/>
                <w:szCs w:val="20"/>
                <w:lang w:eastAsia="lv-LV"/>
              </w:rPr>
              <w:lastRenderedPageBreak/>
              <w:t>9</w:t>
            </w:r>
          </w:p>
        </w:tc>
        <w:tc>
          <w:tcPr>
            <w:tcW w:w="2586" w:type="dxa"/>
          </w:tcPr>
          <w:p w14:paraId="58EEAEF1" w14:textId="64B87689" w:rsidR="00982203" w:rsidRPr="00D517A6" w:rsidRDefault="00982203" w:rsidP="00982203">
            <w:pPr>
              <w:jc w:val="both"/>
              <w:rPr>
                <w:rFonts w:eastAsia="Times New Roman" w:cs="Times New Roman"/>
                <w:bCs/>
                <w:color w:val="000000"/>
                <w:sz w:val="20"/>
                <w:szCs w:val="20"/>
                <w:lang w:eastAsia="lv-LV"/>
              </w:rPr>
            </w:pPr>
            <w:r w:rsidRPr="00D517A6">
              <w:rPr>
                <w:rFonts w:eastAsia="Times New Roman" w:cs="Times New Roman"/>
                <w:bCs/>
                <w:color w:val="000000"/>
                <w:sz w:val="20"/>
                <w:szCs w:val="20"/>
                <w:lang w:eastAsia="lv-LV"/>
              </w:rPr>
              <w:t>IAD audits “</w:t>
            </w:r>
            <w:proofErr w:type="spellStart"/>
            <w:r w:rsidRPr="00D517A6">
              <w:rPr>
                <w:rFonts w:eastAsia="Times New Roman" w:cs="Times New Roman"/>
                <w:bCs/>
                <w:color w:val="000000"/>
                <w:sz w:val="20"/>
                <w:szCs w:val="20"/>
                <w:lang w:eastAsia="lv-LV"/>
              </w:rPr>
              <w:t>Pēcuzraudzības</w:t>
            </w:r>
            <w:proofErr w:type="spellEnd"/>
            <w:r w:rsidRPr="00D517A6">
              <w:rPr>
                <w:rFonts w:eastAsia="Times New Roman" w:cs="Times New Roman"/>
                <w:bCs/>
                <w:color w:val="000000"/>
                <w:sz w:val="20"/>
                <w:szCs w:val="20"/>
                <w:lang w:eastAsia="lv-LV"/>
              </w:rPr>
              <w:t xml:space="preserve"> nodrošināšana 2007.-2013.gada plānošanas perioda projektiem”</w:t>
            </w:r>
          </w:p>
        </w:tc>
        <w:tc>
          <w:tcPr>
            <w:tcW w:w="1559" w:type="dxa"/>
          </w:tcPr>
          <w:p w14:paraId="13A854F7" w14:textId="77777777" w:rsidR="00982203" w:rsidRPr="00D517A6" w:rsidRDefault="00982203" w:rsidP="00982203">
            <w:pPr>
              <w:jc w:val="center"/>
              <w:rPr>
                <w:rFonts w:cs="Times New Roman"/>
                <w:sz w:val="20"/>
                <w:szCs w:val="20"/>
              </w:rPr>
            </w:pPr>
            <w:r w:rsidRPr="00D517A6">
              <w:rPr>
                <w:rFonts w:cs="Times New Roman"/>
                <w:sz w:val="20"/>
                <w:szCs w:val="20"/>
              </w:rPr>
              <w:t>15-2-04/214</w:t>
            </w:r>
          </w:p>
          <w:p w14:paraId="3BD0507D" w14:textId="77777777" w:rsidR="00982203" w:rsidRPr="00D517A6" w:rsidRDefault="00982203" w:rsidP="00982203">
            <w:pPr>
              <w:jc w:val="center"/>
              <w:rPr>
                <w:rFonts w:cs="Times New Roman"/>
                <w:sz w:val="20"/>
                <w:szCs w:val="20"/>
              </w:rPr>
            </w:pPr>
          </w:p>
          <w:p w14:paraId="57BA4152" w14:textId="41AC8D33" w:rsidR="00982203" w:rsidRPr="00D517A6" w:rsidRDefault="00982203" w:rsidP="00982203">
            <w:pPr>
              <w:jc w:val="center"/>
              <w:rPr>
                <w:rFonts w:eastAsia="Times New Roman" w:cs="Times New Roman"/>
                <w:bCs/>
                <w:color w:val="000000"/>
                <w:sz w:val="20"/>
                <w:szCs w:val="20"/>
                <w:lang w:eastAsia="lv-LV"/>
              </w:rPr>
            </w:pPr>
            <w:r w:rsidRPr="00D517A6">
              <w:rPr>
                <w:rFonts w:cs="Times New Roman"/>
                <w:sz w:val="20"/>
                <w:szCs w:val="20"/>
              </w:rPr>
              <w:t>04.02.2016.</w:t>
            </w:r>
          </w:p>
        </w:tc>
        <w:tc>
          <w:tcPr>
            <w:tcW w:w="5670" w:type="dxa"/>
          </w:tcPr>
          <w:p w14:paraId="1F68C49A" w14:textId="13B1A370" w:rsidR="00982203" w:rsidRPr="00D517A6" w:rsidRDefault="00982203" w:rsidP="00982203">
            <w:pPr>
              <w:jc w:val="both"/>
              <w:rPr>
                <w:rFonts w:eastAsia="Times New Roman" w:cs="Times New Roman"/>
                <w:bCs/>
                <w:color w:val="000000"/>
                <w:sz w:val="20"/>
                <w:szCs w:val="20"/>
                <w:lang w:eastAsia="lv-LV"/>
              </w:rPr>
            </w:pPr>
            <w:r w:rsidRPr="00D517A6">
              <w:rPr>
                <w:rFonts w:eastAsia="Times New Roman" w:cs="Times New Roman"/>
                <w:color w:val="000000"/>
                <w:sz w:val="20"/>
                <w:szCs w:val="20"/>
                <w:lang w:eastAsia="lv-LV"/>
              </w:rPr>
              <w:t xml:space="preserve">Audits veikts CFLA, VIAA un LIAA un galvenais secinājums par visām iestādēm ir vienāds: Iekšējās kontroles sistēma darbojas, lai gan ir nepieciešami atsevišķi uzlabojumi – konstatēti atsevišķu, specifiku kontroļu trūkumi, tomēr kopumā novērtētās kontroles ir atbilstošas, pietiekamas un efektīvas, kas ļauj sniegt pietiekamu pārliecību, ka riski tiek vadīti (mazināti) un iestādes/ sistēmas mērķis tiks sasniegts. Audita ietvaros tika izteikti kopumā 8 ieteikumi, no kuriem trīs ieteikumi tika ieviesti ziņojuma saskaņošanas laikā. CFLA ieteikts uzlabot </w:t>
            </w:r>
            <w:proofErr w:type="spellStart"/>
            <w:r w:rsidRPr="00D517A6">
              <w:rPr>
                <w:rFonts w:eastAsia="Times New Roman" w:cs="Times New Roman"/>
                <w:color w:val="000000"/>
                <w:sz w:val="20"/>
                <w:szCs w:val="20"/>
                <w:lang w:eastAsia="lv-LV"/>
              </w:rPr>
              <w:t>pēcuzraudzības</w:t>
            </w:r>
            <w:proofErr w:type="spellEnd"/>
            <w:r w:rsidRPr="00D517A6">
              <w:rPr>
                <w:rFonts w:eastAsia="Times New Roman" w:cs="Times New Roman"/>
                <w:color w:val="000000"/>
                <w:sz w:val="20"/>
                <w:szCs w:val="20"/>
                <w:lang w:eastAsia="lv-LV"/>
              </w:rPr>
              <w:t xml:space="preserve"> pārbaužu procesu, savukārt LIAA ieteikts pilnveidot pārbaužu plānošanu un īstenošanu, kā arī veikt precizējumus iekšējos normatīvajos aktos. Ieteikumu ieviešanai izstrādāts pasākumu plāns.</w:t>
            </w:r>
          </w:p>
        </w:tc>
        <w:tc>
          <w:tcPr>
            <w:tcW w:w="4253" w:type="dxa"/>
          </w:tcPr>
          <w:p w14:paraId="114B0B4F" w14:textId="20D7C539" w:rsidR="00982203" w:rsidRPr="00D517A6" w:rsidRDefault="00982203" w:rsidP="00982203">
            <w:pPr>
              <w:jc w:val="both"/>
              <w:rPr>
                <w:rFonts w:eastAsia="Times New Roman" w:cs="Times New Roman"/>
                <w:sz w:val="20"/>
                <w:szCs w:val="20"/>
                <w:lang w:eastAsia="lv-LV"/>
              </w:rPr>
            </w:pPr>
            <w:r w:rsidRPr="00D517A6">
              <w:rPr>
                <w:rFonts w:eastAsia="Times New Roman" w:cs="Times New Roman"/>
                <w:sz w:val="20"/>
                <w:szCs w:val="20"/>
                <w:lang w:eastAsia="lv-LV"/>
              </w:rPr>
              <w:t>VI ņēmusi vērā audita rezultātā izteiktos konstatējumus un ieteikumus, pastāvīgi nodrošinot uzraudzības pasākumus.</w:t>
            </w:r>
          </w:p>
        </w:tc>
      </w:tr>
    </w:tbl>
    <w:p w14:paraId="55DC409D" w14:textId="77777777" w:rsidR="008361DC" w:rsidRDefault="008361DC" w:rsidP="00B14B2B">
      <w:pPr>
        <w:jc w:val="center"/>
        <w:rPr>
          <w:sz w:val="28"/>
          <w:szCs w:val="28"/>
        </w:rPr>
      </w:pPr>
    </w:p>
    <w:p w14:paraId="7DA79E8C" w14:textId="77777777" w:rsidR="008D0854" w:rsidRPr="00825195" w:rsidRDefault="00761B36" w:rsidP="00825195">
      <w:pPr>
        <w:jc w:val="both"/>
        <w:rPr>
          <w:i/>
        </w:rPr>
      </w:pPr>
      <w:r w:rsidRPr="00F95B80">
        <w:rPr>
          <w:i/>
        </w:rPr>
        <w:t xml:space="preserve">Tabula 3                                              </w:t>
      </w:r>
      <w:r>
        <w:rPr>
          <w:i/>
        </w:rPr>
        <w:t xml:space="preserve">               </w:t>
      </w:r>
      <w:r w:rsidRPr="00F95B80">
        <w:rPr>
          <w:i/>
        </w:rPr>
        <w:t xml:space="preserve"> Eiropas Komisijas </w:t>
      </w:r>
      <w:r>
        <w:rPr>
          <w:i/>
        </w:rPr>
        <w:t xml:space="preserve">veiktie </w:t>
      </w:r>
      <w:r w:rsidRPr="00F95B80">
        <w:rPr>
          <w:i/>
        </w:rPr>
        <w:t xml:space="preserve">auditi </w:t>
      </w:r>
    </w:p>
    <w:tbl>
      <w:tblPr>
        <w:tblStyle w:val="TableGrid7"/>
        <w:tblpPr w:leftFromText="180" w:rightFromText="180" w:vertAnchor="text" w:horzAnchor="margin" w:tblpXSpec="center" w:tblpY="234"/>
        <w:tblW w:w="5158" w:type="pct"/>
        <w:tblLook w:val="04A0" w:firstRow="1" w:lastRow="0" w:firstColumn="1" w:lastColumn="0" w:noHBand="0" w:noVBand="1"/>
      </w:tblPr>
      <w:tblGrid>
        <w:gridCol w:w="438"/>
        <w:gridCol w:w="2361"/>
        <w:gridCol w:w="2505"/>
        <w:gridCol w:w="2629"/>
        <w:gridCol w:w="2695"/>
        <w:gridCol w:w="4392"/>
      </w:tblGrid>
      <w:tr w:rsidR="00825195" w:rsidRPr="00825195" w14:paraId="531C3BF6" w14:textId="77777777" w:rsidTr="00825195">
        <w:tc>
          <w:tcPr>
            <w:tcW w:w="146" w:type="pct"/>
            <w:shd w:val="clear" w:color="auto" w:fill="C5E0B3" w:themeFill="accent6" w:themeFillTint="66"/>
          </w:tcPr>
          <w:p w14:paraId="227A670F" w14:textId="77777777" w:rsidR="00825195" w:rsidRPr="00825195" w:rsidRDefault="00825195" w:rsidP="001F47C4">
            <w:pPr>
              <w:spacing w:beforeAutospacing="1" w:afterAutospacing="1"/>
              <w:ind w:left="-142" w:right="-108"/>
              <w:jc w:val="center"/>
              <w:rPr>
                <w:rFonts w:eastAsia="Times New Roman"/>
                <w:b/>
                <w:sz w:val="20"/>
                <w:szCs w:val="20"/>
              </w:rPr>
            </w:pPr>
            <w:r w:rsidRPr="00825195">
              <w:rPr>
                <w:rFonts w:eastAsia="Times New Roman"/>
                <w:b/>
                <w:sz w:val="20"/>
                <w:szCs w:val="20"/>
              </w:rPr>
              <w:t>Nr.</w:t>
            </w:r>
          </w:p>
        </w:tc>
        <w:tc>
          <w:tcPr>
            <w:tcW w:w="786" w:type="pct"/>
            <w:shd w:val="clear" w:color="auto" w:fill="C5E0B3" w:themeFill="accent6" w:themeFillTint="66"/>
          </w:tcPr>
          <w:p w14:paraId="4CD06A36" w14:textId="77777777" w:rsidR="00825195" w:rsidRPr="00825195" w:rsidRDefault="00825195" w:rsidP="001F47C4">
            <w:pPr>
              <w:spacing w:beforeAutospacing="1" w:afterAutospacing="1"/>
              <w:ind w:left="-142" w:right="-108"/>
              <w:jc w:val="center"/>
              <w:rPr>
                <w:rFonts w:eastAsia="Times New Roman"/>
                <w:b/>
                <w:sz w:val="20"/>
                <w:szCs w:val="20"/>
              </w:rPr>
            </w:pPr>
            <w:r w:rsidRPr="00825195">
              <w:rPr>
                <w:rFonts w:eastAsia="Times New Roman"/>
                <w:b/>
                <w:sz w:val="20"/>
                <w:szCs w:val="20"/>
              </w:rPr>
              <w:t>Darbības programma</w:t>
            </w:r>
          </w:p>
        </w:tc>
        <w:tc>
          <w:tcPr>
            <w:tcW w:w="834" w:type="pct"/>
            <w:shd w:val="clear" w:color="auto" w:fill="C5E0B3" w:themeFill="accent6" w:themeFillTint="66"/>
          </w:tcPr>
          <w:p w14:paraId="7287898F" w14:textId="77777777" w:rsidR="00825195" w:rsidRPr="00825195" w:rsidRDefault="00BF3231" w:rsidP="001F47C4">
            <w:pPr>
              <w:spacing w:beforeAutospacing="1" w:afterAutospacing="1"/>
              <w:ind w:left="-108" w:right="33" w:firstLine="108"/>
              <w:jc w:val="center"/>
              <w:rPr>
                <w:rFonts w:eastAsia="Times New Roman"/>
                <w:b/>
                <w:sz w:val="20"/>
                <w:szCs w:val="20"/>
              </w:rPr>
            </w:pPr>
            <w:r>
              <w:rPr>
                <w:rFonts w:eastAsia="Times New Roman"/>
                <w:b/>
                <w:sz w:val="20"/>
                <w:szCs w:val="20"/>
              </w:rPr>
              <w:t>Audita nosaukums un ziņojuma datums</w:t>
            </w:r>
          </w:p>
        </w:tc>
        <w:tc>
          <w:tcPr>
            <w:tcW w:w="875" w:type="pct"/>
            <w:shd w:val="clear" w:color="auto" w:fill="C5E0B3" w:themeFill="accent6" w:themeFillTint="66"/>
          </w:tcPr>
          <w:p w14:paraId="54B51B06" w14:textId="77777777" w:rsidR="00825195" w:rsidRPr="00825195" w:rsidRDefault="00825195" w:rsidP="001F47C4">
            <w:pPr>
              <w:spacing w:beforeAutospacing="1" w:afterAutospacing="1"/>
              <w:jc w:val="center"/>
              <w:rPr>
                <w:rFonts w:eastAsia="Times New Roman"/>
                <w:b/>
                <w:sz w:val="20"/>
                <w:szCs w:val="20"/>
              </w:rPr>
            </w:pPr>
            <w:r w:rsidRPr="00825195">
              <w:rPr>
                <w:rFonts w:eastAsia="Times New Roman"/>
                <w:b/>
                <w:sz w:val="20"/>
                <w:szCs w:val="20"/>
              </w:rPr>
              <w:t>Audita mērķis</w:t>
            </w:r>
          </w:p>
        </w:tc>
        <w:tc>
          <w:tcPr>
            <w:tcW w:w="897" w:type="pct"/>
            <w:shd w:val="clear" w:color="auto" w:fill="C5E0B3" w:themeFill="accent6" w:themeFillTint="66"/>
          </w:tcPr>
          <w:p w14:paraId="42DA9A8F" w14:textId="7EF5C32F" w:rsidR="00825195" w:rsidRPr="00D517A6" w:rsidRDefault="00825195" w:rsidP="00EC228D">
            <w:pPr>
              <w:spacing w:beforeAutospacing="1" w:afterAutospacing="1"/>
              <w:ind w:left="-107"/>
              <w:jc w:val="center"/>
              <w:rPr>
                <w:rFonts w:eastAsia="Times New Roman"/>
                <w:b/>
                <w:sz w:val="20"/>
                <w:szCs w:val="20"/>
              </w:rPr>
            </w:pPr>
            <w:r w:rsidRPr="00D517A6">
              <w:rPr>
                <w:rFonts w:eastAsia="Times New Roman"/>
                <w:b/>
                <w:sz w:val="20"/>
                <w:szCs w:val="20"/>
              </w:rPr>
              <w:t>Galvenie secinājumi/ ieteikumi</w:t>
            </w:r>
          </w:p>
        </w:tc>
        <w:tc>
          <w:tcPr>
            <w:tcW w:w="1462" w:type="pct"/>
            <w:shd w:val="clear" w:color="auto" w:fill="C5E0B3" w:themeFill="accent6" w:themeFillTint="66"/>
          </w:tcPr>
          <w:p w14:paraId="57683092" w14:textId="77777777" w:rsidR="00825195" w:rsidRPr="00825195" w:rsidRDefault="00825195" w:rsidP="001F47C4">
            <w:pPr>
              <w:spacing w:beforeAutospacing="1" w:afterAutospacing="1"/>
              <w:ind w:left="-108"/>
              <w:jc w:val="center"/>
              <w:rPr>
                <w:rFonts w:eastAsia="Times New Roman"/>
                <w:b/>
                <w:sz w:val="20"/>
                <w:szCs w:val="20"/>
              </w:rPr>
            </w:pPr>
            <w:r w:rsidRPr="00825195">
              <w:rPr>
                <w:rFonts w:eastAsia="Times New Roman"/>
                <w:b/>
                <w:sz w:val="20"/>
                <w:szCs w:val="20"/>
              </w:rPr>
              <w:t>Vadošās iestādes plānotā rīcība sistēmas pilnveidošanai</w:t>
            </w:r>
          </w:p>
        </w:tc>
      </w:tr>
      <w:tr w:rsidR="00825195" w:rsidRPr="00825195" w14:paraId="07E12809" w14:textId="77777777" w:rsidTr="00825195">
        <w:tc>
          <w:tcPr>
            <w:tcW w:w="146" w:type="pct"/>
          </w:tcPr>
          <w:p w14:paraId="7D352DEC" w14:textId="77777777" w:rsidR="00825195" w:rsidRPr="00825195" w:rsidRDefault="00825195" w:rsidP="001F47C4">
            <w:pPr>
              <w:jc w:val="both"/>
              <w:rPr>
                <w:rFonts w:cs="Times New Roman"/>
                <w:sz w:val="20"/>
                <w:szCs w:val="20"/>
              </w:rPr>
            </w:pPr>
            <w:r w:rsidRPr="00825195">
              <w:rPr>
                <w:rFonts w:cs="Times New Roman"/>
                <w:sz w:val="20"/>
                <w:szCs w:val="20"/>
              </w:rPr>
              <w:t>1</w:t>
            </w:r>
          </w:p>
        </w:tc>
        <w:tc>
          <w:tcPr>
            <w:tcW w:w="786" w:type="pct"/>
          </w:tcPr>
          <w:p w14:paraId="7C2FA39A" w14:textId="77777777" w:rsidR="00825195" w:rsidRPr="00825195" w:rsidRDefault="00825195" w:rsidP="001F47C4">
            <w:pPr>
              <w:jc w:val="both"/>
              <w:rPr>
                <w:rFonts w:eastAsia="Times New Roman" w:cs="Times New Roman"/>
                <w:bCs/>
                <w:color w:val="000000"/>
                <w:sz w:val="20"/>
                <w:szCs w:val="20"/>
                <w:lang w:eastAsia="lv-LV"/>
              </w:rPr>
            </w:pPr>
            <w:r w:rsidRPr="00825195">
              <w:rPr>
                <w:rFonts w:eastAsia="Times New Roman" w:cs="Times New Roman"/>
                <w:bCs/>
                <w:color w:val="000000"/>
                <w:sz w:val="20"/>
                <w:szCs w:val="20"/>
                <w:lang w:eastAsia="lv-LV"/>
              </w:rPr>
              <w:t xml:space="preserve">2.DP "Uzņēmējdarbība un inovācijas" </w:t>
            </w:r>
          </w:p>
          <w:p w14:paraId="4AA4484D" w14:textId="77777777" w:rsidR="00825195" w:rsidRPr="00825195" w:rsidRDefault="00825195" w:rsidP="001F47C4">
            <w:pPr>
              <w:jc w:val="both"/>
              <w:rPr>
                <w:rFonts w:eastAsia="Times New Roman" w:cs="Times New Roman"/>
                <w:bCs/>
                <w:color w:val="000000"/>
                <w:sz w:val="20"/>
                <w:szCs w:val="20"/>
                <w:lang w:eastAsia="lv-LV"/>
              </w:rPr>
            </w:pPr>
            <w:r w:rsidRPr="00825195">
              <w:rPr>
                <w:rFonts w:eastAsia="Times New Roman" w:cs="Times New Roman"/>
                <w:bCs/>
                <w:color w:val="000000"/>
                <w:sz w:val="20"/>
                <w:szCs w:val="20"/>
                <w:lang w:eastAsia="lv-LV"/>
              </w:rPr>
              <w:t xml:space="preserve">un </w:t>
            </w:r>
          </w:p>
          <w:p w14:paraId="1B768778" w14:textId="77777777" w:rsidR="00825195" w:rsidRPr="00825195" w:rsidRDefault="00825195" w:rsidP="001F47C4">
            <w:pPr>
              <w:jc w:val="both"/>
              <w:rPr>
                <w:rFonts w:eastAsia="Times New Roman" w:cs="Times New Roman"/>
                <w:bCs/>
                <w:color w:val="000000"/>
                <w:sz w:val="20"/>
                <w:szCs w:val="20"/>
                <w:lang w:eastAsia="lv-LV"/>
              </w:rPr>
            </w:pPr>
            <w:r w:rsidRPr="00825195">
              <w:rPr>
                <w:rFonts w:eastAsia="Times New Roman" w:cs="Times New Roman"/>
                <w:bCs/>
                <w:color w:val="000000"/>
                <w:sz w:val="20"/>
                <w:szCs w:val="20"/>
                <w:lang w:eastAsia="lv-LV"/>
              </w:rPr>
              <w:t>3.DP "Infrastruktūra un pakalpojumi"</w:t>
            </w:r>
          </w:p>
        </w:tc>
        <w:tc>
          <w:tcPr>
            <w:tcW w:w="834" w:type="pct"/>
          </w:tcPr>
          <w:p w14:paraId="2D37C3BD" w14:textId="77777777" w:rsidR="00825195" w:rsidRPr="00825195" w:rsidRDefault="00825195" w:rsidP="001F47C4">
            <w:pPr>
              <w:jc w:val="both"/>
              <w:rPr>
                <w:rFonts w:eastAsia="Times New Roman" w:cs="Times New Roman"/>
                <w:bCs/>
                <w:color w:val="000000"/>
                <w:sz w:val="20"/>
                <w:szCs w:val="20"/>
                <w:lang w:eastAsia="lv-LV"/>
              </w:rPr>
            </w:pPr>
            <w:r w:rsidRPr="00825195">
              <w:rPr>
                <w:sz w:val="20"/>
                <w:szCs w:val="20"/>
              </w:rPr>
              <w:t xml:space="preserve"> </w:t>
            </w:r>
            <w:r w:rsidRPr="00825195">
              <w:rPr>
                <w:rFonts w:eastAsia="Times New Roman" w:cs="Times New Roman"/>
                <w:bCs/>
                <w:color w:val="000000"/>
                <w:sz w:val="20"/>
                <w:szCs w:val="20"/>
                <w:lang w:eastAsia="lv-LV"/>
              </w:rPr>
              <w:t>Revīzijas iestādes veiktā darba pārbaude attiecībā uz 2.DP "Uzņēmējdarbība un inovācijas" un 3.DP "Infrastruktūra un pakalpojumi"</w:t>
            </w:r>
          </w:p>
          <w:p w14:paraId="4F5CE587" w14:textId="77777777" w:rsidR="00825195" w:rsidRDefault="00825195" w:rsidP="001F47C4">
            <w:pPr>
              <w:jc w:val="both"/>
              <w:rPr>
                <w:rFonts w:eastAsia="Times New Roman" w:cs="Times New Roman"/>
                <w:bCs/>
                <w:color w:val="000000"/>
                <w:sz w:val="20"/>
                <w:szCs w:val="20"/>
                <w:lang w:eastAsia="lv-LV"/>
              </w:rPr>
            </w:pPr>
            <w:r w:rsidRPr="00825195">
              <w:rPr>
                <w:rFonts w:eastAsia="Times New Roman" w:cs="Times New Roman"/>
                <w:bCs/>
                <w:color w:val="000000"/>
                <w:sz w:val="20"/>
                <w:szCs w:val="20"/>
                <w:lang w:eastAsia="lv-LV"/>
              </w:rPr>
              <w:t>Nr. 2013/LV/REGIO/C2/1242/1</w:t>
            </w:r>
          </w:p>
          <w:p w14:paraId="39DE4AE7" w14:textId="77777777" w:rsidR="00BF3231" w:rsidRDefault="00BF3231" w:rsidP="001F47C4">
            <w:pPr>
              <w:jc w:val="both"/>
              <w:rPr>
                <w:rFonts w:eastAsia="Times New Roman" w:cs="Times New Roman"/>
                <w:bCs/>
                <w:color w:val="000000"/>
                <w:sz w:val="20"/>
                <w:szCs w:val="20"/>
                <w:lang w:eastAsia="lv-LV"/>
              </w:rPr>
            </w:pPr>
          </w:p>
          <w:p w14:paraId="1FEC581C" w14:textId="77777777" w:rsidR="00310D72" w:rsidRPr="00310D72" w:rsidRDefault="00310D72" w:rsidP="00310D72">
            <w:pPr>
              <w:jc w:val="both"/>
              <w:rPr>
                <w:rFonts w:eastAsia="Times New Roman" w:cs="Times New Roman"/>
                <w:bCs/>
                <w:color w:val="000000"/>
                <w:sz w:val="20"/>
                <w:szCs w:val="20"/>
                <w:lang w:eastAsia="lv-LV"/>
              </w:rPr>
            </w:pPr>
            <w:r w:rsidRPr="00310D72">
              <w:rPr>
                <w:rFonts w:eastAsia="Times New Roman" w:cs="Times New Roman"/>
                <w:bCs/>
                <w:color w:val="000000"/>
                <w:sz w:val="20"/>
                <w:szCs w:val="20"/>
                <w:lang w:eastAsia="lv-LV"/>
              </w:rPr>
              <w:t>Audita misijas periods: 25.-29.11.2013.</w:t>
            </w:r>
          </w:p>
          <w:p w14:paraId="48FCFBFE" w14:textId="77777777" w:rsidR="00310D72" w:rsidRDefault="00310D72" w:rsidP="00310D72">
            <w:pPr>
              <w:jc w:val="both"/>
              <w:rPr>
                <w:rFonts w:eastAsia="Times New Roman" w:cs="Times New Roman"/>
                <w:bCs/>
                <w:color w:val="000000"/>
                <w:sz w:val="20"/>
                <w:szCs w:val="20"/>
                <w:lang w:eastAsia="lv-LV"/>
              </w:rPr>
            </w:pPr>
          </w:p>
          <w:p w14:paraId="2C5C269A" w14:textId="77777777" w:rsidR="00310D72" w:rsidRDefault="00310D72" w:rsidP="00310D72">
            <w:pPr>
              <w:jc w:val="both"/>
              <w:rPr>
                <w:rFonts w:eastAsia="Times New Roman" w:cs="Times New Roman"/>
                <w:bCs/>
                <w:color w:val="000000"/>
                <w:sz w:val="20"/>
                <w:szCs w:val="20"/>
                <w:lang w:eastAsia="lv-LV"/>
              </w:rPr>
            </w:pPr>
            <w:r w:rsidRPr="00310D72">
              <w:rPr>
                <w:rFonts w:eastAsia="Times New Roman" w:cs="Times New Roman"/>
                <w:bCs/>
                <w:color w:val="000000"/>
                <w:sz w:val="20"/>
                <w:szCs w:val="20"/>
                <w:lang w:eastAsia="lv-LV"/>
              </w:rPr>
              <w:t>Ziņojuma datums 07.04.2015.</w:t>
            </w:r>
          </w:p>
          <w:p w14:paraId="6641A7ED" w14:textId="77777777" w:rsidR="00310D72" w:rsidRPr="00310D72" w:rsidRDefault="00310D72" w:rsidP="00310D72">
            <w:pPr>
              <w:jc w:val="both"/>
              <w:rPr>
                <w:rFonts w:eastAsia="Times New Roman" w:cs="Times New Roman"/>
                <w:bCs/>
                <w:color w:val="000000"/>
                <w:sz w:val="20"/>
                <w:szCs w:val="20"/>
                <w:lang w:eastAsia="lv-LV"/>
              </w:rPr>
            </w:pPr>
          </w:p>
          <w:p w14:paraId="7FD421F6" w14:textId="77777777" w:rsidR="00BF3231" w:rsidRPr="00825195" w:rsidRDefault="00310D72" w:rsidP="00310D72">
            <w:pPr>
              <w:jc w:val="both"/>
              <w:rPr>
                <w:rFonts w:cs="Times New Roman"/>
                <w:sz w:val="20"/>
                <w:szCs w:val="20"/>
                <w:highlight w:val="yellow"/>
              </w:rPr>
            </w:pPr>
            <w:r w:rsidRPr="00310D72">
              <w:rPr>
                <w:rFonts w:eastAsia="Times New Roman" w:cs="Times New Roman"/>
                <w:bCs/>
                <w:color w:val="000000"/>
                <w:sz w:val="20"/>
                <w:szCs w:val="20"/>
                <w:lang w:eastAsia="lv-LV"/>
              </w:rPr>
              <w:t xml:space="preserve">Pēc ilgstošas komunikācijas EK viedoklis un </w:t>
            </w:r>
            <w:r w:rsidRPr="00310D72">
              <w:rPr>
                <w:rFonts w:eastAsia="Times New Roman" w:cs="Times New Roman"/>
                <w:bCs/>
                <w:color w:val="000000"/>
                <w:sz w:val="20"/>
                <w:szCs w:val="20"/>
                <w:lang w:eastAsia="lv-LV"/>
              </w:rPr>
              <w:lastRenderedPageBreak/>
              <w:t>uzaicinājums uz noklausīšanas procedūru VI iesūtīts 06.07.2016</w:t>
            </w:r>
            <w:r>
              <w:rPr>
                <w:rFonts w:eastAsia="Times New Roman" w:cs="Times New Roman"/>
                <w:bCs/>
                <w:color w:val="000000"/>
                <w:sz w:val="20"/>
                <w:szCs w:val="20"/>
                <w:lang w:eastAsia="lv-LV"/>
              </w:rPr>
              <w:t>.</w:t>
            </w:r>
          </w:p>
        </w:tc>
        <w:tc>
          <w:tcPr>
            <w:tcW w:w="875" w:type="pct"/>
          </w:tcPr>
          <w:p w14:paraId="0827C5AB" w14:textId="77777777" w:rsidR="00825195" w:rsidRPr="00825195" w:rsidRDefault="00BF3231" w:rsidP="001F47C4">
            <w:pPr>
              <w:autoSpaceDE w:val="0"/>
              <w:autoSpaceDN w:val="0"/>
              <w:adjustRightInd w:val="0"/>
              <w:jc w:val="both"/>
              <w:rPr>
                <w:rFonts w:cs="Times New Roman"/>
                <w:color w:val="000000"/>
                <w:sz w:val="20"/>
                <w:szCs w:val="20"/>
              </w:rPr>
            </w:pPr>
            <w:r>
              <w:rPr>
                <w:rFonts w:cs="Times New Roman"/>
                <w:color w:val="000000"/>
                <w:sz w:val="20"/>
                <w:szCs w:val="20"/>
              </w:rPr>
              <w:lastRenderedPageBreak/>
              <w:t>EK</w:t>
            </w:r>
            <w:r w:rsidR="00825195" w:rsidRPr="00825195">
              <w:rPr>
                <w:rFonts w:cs="Times New Roman"/>
                <w:color w:val="000000"/>
                <w:sz w:val="20"/>
                <w:szCs w:val="20"/>
              </w:rPr>
              <w:t xml:space="preserve"> audits veikts ar mērķi pārliecināties par Revīzijas iestādes veikto auditu atbilstību Padomes Regulas (EK) Nr.1083/2006</w:t>
            </w:r>
            <w:r w:rsidR="00825195" w:rsidRPr="00825195">
              <w:rPr>
                <w:rStyle w:val="FootnoteReference"/>
                <w:rFonts w:cs="Times New Roman"/>
                <w:color w:val="000000"/>
                <w:sz w:val="20"/>
                <w:szCs w:val="20"/>
              </w:rPr>
              <w:footnoteReference w:id="3"/>
            </w:r>
            <w:r w:rsidR="00825195" w:rsidRPr="00825195">
              <w:rPr>
                <w:rFonts w:cs="Times New Roman"/>
                <w:color w:val="000000"/>
                <w:sz w:val="20"/>
                <w:szCs w:val="20"/>
              </w:rPr>
              <w:t xml:space="preserve"> prasībām, īpaši  Regulas 62.pantam, kā arī, lai novērtētu paļaušanās līmeni attiecībā uz Revīzijas iestādes darba rezultātu, kas ietverts gada kontroles ziņojumā un atzinumā.</w:t>
            </w:r>
          </w:p>
        </w:tc>
        <w:tc>
          <w:tcPr>
            <w:tcW w:w="897" w:type="pct"/>
          </w:tcPr>
          <w:p w14:paraId="354DEEF1" w14:textId="732C2A91" w:rsidR="00EC228D" w:rsidRPr="00D517A6" w:rsidRDefault="00825195" w:rsidP="001F47C4">
            <w:pPr>
              <w:autoSpaceDE w:val="0"/>
              <w:autoSpaceDN w:val="0"/>
              <w:adjustRightInd w:val="0"/>
              <w:jc w:val="both"/>
              <w:rPr>
                <w:sz w:val="20"/>
                <w:szCs w:val="20"/>
              </w:rPr>
            </w:pPr>
            <w:r w:rsidRPr="00D517A6">
              <w:rPr>
                <w:sz w:val="20"/>
                <w:szCs w:val="20"/>
              </w:rPr>
              <w:t xml:space="preserve">Gala ziņojumā </w:t>
            </w:r>
            <w:r w:rsidR="00EC228D" w:rsidRPr="00D517A6">
              <w:rPr>
                <w:sz w:val="20"/>
                <w:szCs w:val="20"/>
              </w:rPr>
              <w:t>attiecībā uz 2.DP iekļauts viens konstatējums: iespējams interešu konflikts, kas pēc revīzijas iestādes, LIAA un vadošās iestādes veiktajām darbībām nav apstiprinājies (secināts, ka uzņēmumi nav saistītās puses), līdz ar to konstatējums tiek slēgts.</w:t>
            </w:r>
          </w:p>
          <w:p w14:paraId="78D6E8CA" w14:textId="2698AF70" w:rsidR="00825195" w:rsidRPr="00D517A6" w:rsidRDefault="00EC228D" w:rsidP="00A00402">
            <w:pPr>
              <w:autoSpaceDE w:val="0"/>
              <w:autoSpaceDN w:val="0"/>
              <w:adjustRightInd w:val="0"/>
              <w:jc w:val="both"/>
              <w:rPr>
                <w:sz w:val="20"/>
                <w:szCs w:val="20"/>
              </w:rPr>
            </w:pPr>
            <w:r w:rsidRPr="00D517A6">
              <w:rPr>
                <w:sz w:val="20"/>
                <w:szCs w:val="20"/>
              </w:rPr>
              <w:t>B</w:t>
            </w:r>
            <w:r w:rsidR="00825195" w:rsidRPr="00D517A6">
              <w:rPr>
                <w:sz w:val="20"/>
                <w:szCs w:val="20"/>
              </w:rPr>
              <w:t>ūtiskāk</w:t>
            </w:r>
            <w:r w:rsidRPr="00D517A6">
              <w:rPr>
                <w:sz w:val="20"/>
                <w:szCs w:val="20"/>
              </w:rPr>
              <w:t>ie</w:t>
            </w:r>
            <w:r w:rsidR="00825195" w:rsidRPr="00D517A6">
              <w:rPr>
                <w:sz w:val="20"/>
                <w:szCs w:val="20"/>
              </w:rPr>
              <w:t xml:space="preserve"> konstatējum</w:t>
            </w:r>
            <w:r w:rsidRPr="00D517A6">
              <w:rPr>
                <w:sz w:val="20"/>
                <w:szCs w:val="20"/>
              </w:rPr>
              <w:t>i attiecas uz 3.DP</w:t>
            </w:r>
            <w:r w:rsidR="0078743A" w:rsidRPr="00D517A6">
              <w:rPr>
                <w:sz w:val="20"/>
                <w:szCs w:val="20"/>
              </w:rPr>
              <w:t>,</w:t>
            </w:r>
            <w:r w:rsidRPr="00D517A6">
              <w:rPr>
                <w:sz w:val="20"/>
                <w:szCs w:val="20"/>
              </w:rPr>
              <w:t xml:space="preserve"> un </w:t>
            </w:r>
            <w:r w:rsidR="0078743A" w:rsidRPr="00D517A6">
              <w:rPr>
                <w:sz w:val="20"/>
                <w:szCs w:val="20"/>
              </w:rPr>
              <w:t xml:space="preserve">tie </w:t>
            </w:r>
            <w:r w:rsidR="00A00402" w:rsidRPr="00D517A6">
              <w:rPr>
                <w:sz w:val="20"/>
                <w:szCs w:val="20"/>
              </w:rPr>
              <w:t>ir</w:t>
            </w:r>
            <w:r w:rsidRPr="00D517A6">
              <w:rPr>
                <w:sz w:val="20"/>
                <w:szCs w:val="20"/>
              </w:rPr>
              <w:t xml:space="preserve"> </w:t>
            </w:r>
            <w:r w:rsidR="00A00402" w:rsidRPr="00D517A6">
              <w:rPr>
                <w:sz w:val="20"/>
                <w:szCs w:val="20"/>
              </w:rPr>
              <w:t>at</w:t>
            </w:r>
            <w:r w:rsidRPr="00D517A6">
              <w:rPr>
                <w:sz w:val="20"/>
                <w:szCs w:val="20"/>
              </w:rPr>
              <w:t>risināti</w:t>
            </w:r>
            <w:r w:rsidR="0078743A" w:rsidRPr="00D517A6">
              <w:rPr>
                <w:sz w:val="20"/>
                <w:szCs w:val="20"/>
              </w:rPr>
              <w:t xml:space="preserve"> sadarbībā ar iesaistītajām pusēm</w:t>
            </w:r>
            <w:r w:rsidRPr="00D517A6">
              <w:rPr>
                <w:sz w:val="20"/>
                <w:szCs w:val="20"/>
              </w:rPr>
              <w:t>.</w:t>
            </w:r>
            <w:r w:rsidR="00825195" w:rsidRPr="00D517A6">
              <w:rPr>
                <w:sz w:val="20"/>
                <w:szCs w:val="20"/>
              </w:rPr>
              <w:t xml:space="preserve"> </w:t>
            </w:r>
            <w:r w:rsidR="00A00402" w:rsidRPr="00D517A6">
              <w:rPr>
                <w:sz w:val="20"/>
                <w:szCs w:val="20"/>
              </w:rPr>
              <w:t xml:space="preserve">EK ar 02.03.2017. vēstuli ir informējusi, ka uzskata audita ietvaros izteiktos ieteikumus </w:t>
            </w:r>
            <w:r w:rsidR="00A00402" w:rsidRPr="00D517A6">
              <w:rPr>
                <w:sz w:val="20"/>
                <w:szCs w:val="20"/>
              </w:rPr>
              <w:lastRenderedPageBreak/>
              <w:t>par ieviestiem un slēdz šo auditu.</w:t>
            </w:r>
          </w:p>
        </w:tc>
        <w:tc>
          <w:tcPr>
            <w:tcW w:w="1462" w:type="pct"/>
          </w:tcPr>
          <w:p w14:paraId="519DCD4B" w14:textId="2D93E478" w:rsidR="00EC228D" w:rsidRDefault="00EC228D" w:rsidP="001F47C4">
            <w:pPr>
              <w:jc w:val="both"/>
              <w:rPr>
                <w:sz w:val="20"/>
                <w:szCs w:val="20"/>
              </w:rPr>
            </w:pPr>
            <w:r>
              <w:rPr>
                <w:sz w:val="20"/>
                <w:szCs w:val="20"/>
              </w:rPr>
              <w:lastRenderedPageBreak/>
              <w:t>Ņemot vērā konstatējumu 2.DP ietvaros, vadošā iestāde ir aktualizējusi “Vadlīnijas par projekta attiecināmo izmaksu pamatojošajiem dokumentiem un to pārbaudēm, precizējot sadaļas, kas attiecas uz interešu konfliktu</w:t>
            </w:r>
            <w:r w:rsidR="004F7208">
              <w:rPr>
                <w:sz w:val="20"/>
                <w:szCs w:val="20"/>
              </w:rPr>
              <w:t>”</w:t>
            </w:r>
            <w:r>
              <w:rPr>
                <w:sz w:val="20"/>
                <w:szCs w:val="20"/>
              </w:rPr>
              <w:t>.</w:t>
            </w:r>
          </w:p>
          <w:p w14:paraId="2DD99BC6" w14:textId="77777777" w:rsidR="00EC228D" w:rsidRDefault="00EC228D" w:rsidP="001F47C4">
            <w:pPr>
              <w:jc w:val="both"/>
              <w:rPr>
                <w:sz w:val="20"/>
                <w:szCs w:val="20"/>
              </w:rPr>
            </w:pPr>
          </w:p>
          <w:p w14:paraId="67AD8C02" w14:textId="3C25A0FF" w:rsidR="00825195" w:rsidRPr="00825195" w:rsidRDefault="00825195" w:rsidP="001F47C4">
            <w:pPr>
              <w:jc w:val="both"/>
              <w:rPr>
                <w:sz w:val="20"/>
                <w:szCs w:val="20"/>
              </w:rPr>
            </w:pPr>
          </w:p>
        </w:tc>
      </w:tr>
    </w:tbl>
    <w:p w14:paraId="08BE65A3" w14:textId="77777777" w:rsidR="00310D72" w:rsidRDefault="00310D72">
      <w:pPr>
        <w:rPr>
          <w:b/>
          <w:sz w:val="26"/>
          <w:szCs w:val="26"/>
        </w:rPr>
      </w:pPr>
    </w:p>
    <w:p w14:paraId="0B4DDFDB" w14:textId="77777777" w:rsidR="009D06E5" w:rsidRDefault="009D06E5" w:rsidP="009D06E5">
      <w:pPr>
        <w:jc w:val="both"/>
        <w:rPr>
          <w:i/>
        </w:rPr>
      </w:pPr>
      <w:r>
        <w:rPr>
          <w:i/>
        </w:rPr>
        <w:t>Tabula 4                                                                                 Citi ārējie sistēmas auditi</w:t>
      </w:r>
    </w:p>
    <w:p w14:paraId="45918C88" w14:textId="77777777" w:rsidR="008361DC" w:rsidRDefault="008361DC" w:rsidP="00825195">
      <w:pPr>
        <w:rPr>
          <w:sz w:val="26"/>
          <w:szCs w:val="26"/>
        </w:rPr>
      </w:pPr>
    </w:p>
    <w:tbl>
      <w:tblPr>
        <w:tblW w:w="14451" w:type="dxa"/>
        <w:tblInd w:w="-2" w:type="dxa"/>
        <w:tblLook w:val="04A0" w:firstRow="1" w:lastRow="0" w:firstColumn="1" w:lastColumn="0" w:noHBand="0" w:noVBand="1"/>
      </w:tblPr>
      <w:tblGrid>
        <w:gridCol w:w="529"/>
        <w:gridCol w:w="2440"/>
        <w:gridCol w:w="1134"/>
        <w:gridCol w:w="6804"/>
        <w:gridCol w:w="3544"/>
      </w:tblGrid>
      <w:tr w:rsidR="00825195" w:rsidRPr="00825195" w14:paraId="6A66FA98" w14:textId="77777777" w:rsidTr="00825195">
        <w:trPr>
          <w:trHeight w:val="549"/>
        </w:trPr>
        <w:tc>
          <w:tcPr>
            <w:tcW w:w="529" w:type="dxa"/>
            <w:tcBorders>
              <w:top w:val="single" w:sz="8" w:space="0" w:color="auto"/>
              <w:left w:val="single" w:sz="8" w:space="0" w:color="auto"/>
              <w:bottom w:val="single" w:sz="12" w:space="0" w:color="auto"/>
              <w:right w:val="single" w:sz="4" w:space="0" w:color="auto"/>
            </w:tcBorders>
            <w:shd w:val="clear" w:color="auto" w:fill="C5E0B3" w:themeFill="accent6" w:themeFillTint="66"/>
            <w:noWrap/>
            <w:vAlign w:val="center"/>
            <w:hideMark/>
          </w:tcPr>
          <w:p w14:paraId="7BC90B2E" w14:textId="77777777" w:rsidR="00825195" w:rsidRPr="00825195" w:rsidRDefault="00825195" w:rsidP="001F47C4">
            <w:pPr>
              <w:jc w:val="center"/>
              <w:rPr>
                <w:rFonts w:eastAsia="Times New Roman" w:cs="Times New Roman"/>
                <w:b/>
                <w:bCs/>
                <w:color w:val="000000"/>
                <w:sz w:val="20"/>
                <w:szCs w:val="20"/>
                <w:lang w:eastAsia="lv-LV"/>
              </w:rPr>
            </w:pPr>
            <w:r w:rsidRPr="00825195">
              <w:rPr>
                <w:rFonts w:eastAsia="Times New Roman" w:cs="Times New Roman"/>
                <w:b/>
                <w:bCs/>
                <w:color w:val="000000"/>
                <w:sz w:val="20"/>
                <w:szCs w:val="20"/>
                <w:lang w:eastAsia="lv-LV"/>
              </w:rPr>
              <w:t>Nr.</w:t>
            </w:r>
          </w:p>
        </w:tc>
        <w:tc>
          <w:tcPr>
            <w:tcW w:w="2440" w:type="dxa"/>
            <w:tcBorders>
              <w:top w:val="single" w:sz="8" w:space="0" w:color="auto"/>
              <w:left w:val="nil"/>
              <w:bottom w:val="single" w:sz="12" w:space="0" w:color="auto"/>
              <w:right w:val="single" w:sz="4" w:space="0" w:color="auto"/>
            </w:tcBorders>
            <w:shd w:val="clear" w:color="auto" w:fill="C5E0B3" w:themeFill="accent6" w:themeFillTint="66"/>
            <w:vAlign w:val="center"/>
            <w:hideMark/>
          </w:tcPr>
          <w:p w14:paraId="6ABED261" w14:textId="77777777" w:rsidR="00825195" w:rsidRPr="00825195" w:rsidRDefault="00825195" w:rsidP="001F47C4">
            <w:pPr>
              <w:jc w:val="center"/>
              <w:rPr>
                <w:rFonts w:eastAsia="Times New Roman" w:cs="Times New Roman"/>
                <w:b/>
                <w:bCs/>
                <w:color w:val="000000"/>
                <w:sz w:val="20"/>
                <w:szCs w:val="20"/>
                <w:lang w:eastAsia="lv-LV"/>
              </w:rPr>
            </w:pPr>
            <w:r w:rsidRPr="00825195">
              <w:rPr>
                <w:rFonts w:eastAsia="Times New Roman" w:cs="Times New Roman"/>
                <w:b/>
                <w:bCs/>
                <w:color w:val="000000"/>
                <w:sz w:val="20"/>
                <w:szCs w:val="20"/>
                <w:lang w:eastAsia="lv-LV"/>
              </w:rPr>
              <w:t>Audita nosaukums un Nr.</w:t>
            </w:r>
            <w:r w:rsidR="008858C0">
              <w:rPr>
                <w:rFonts w:eastAsia="Times New Roman" w:cs="Times New Roman"/>
                <w:b/>
                <w:bCs/>
                <w:color w:val="000000"/>
                <w:sz w:val="20"/>
                <w:szCs w:val="20"/>
                <w:lang w:eastAsia="lv-LV"/>
              </w:rPr>
              <w:t>, ziņojuma datums</w:t>
            </w:r>
          </w:p>
        </w:tc>
        <w:tc>
          <w:tcPr>
            <w:tcW w:w="1134" w:type="dxa"/>
            <w:tcBorders>
              <w:top w:val="single" w:sz="8" w:space="0" w:color="auto"/>
              <w:left w:val="nil"/>
              <w:bottom w:val="single" w:sz="12" w:space="0" w:color="auto"/>
              <w:right w:val="single" w:sz="4" w:space="0" w:color="auto"/>
            </w:tcBorders>
            <w:shd w:val="clear" w:color="auto" w:fill="C5E0B3" w:themeFill="accent6" w:themeFillTint="66"/>
            <w:vAlign w:val="center"/>
            <w:hideMark/>
          </w:tcPr>
          <w:p w14:paraId="3599B805" w14:textId="77777777" w:rsidR="00825195" w:rsidRPr="00825195" w:rsidRDefault="00825195" w:rsidP="001F47C4">
            <w:pPr>
              <w:jc w:val="center"/>
              <w:rPr>
                <w:rFonts w:eastAsia="Times New Roman" w:cs="Times New Roman"/>
                <w:b/>
                <w:bCs/>
                <w:color w:val="000000"/>
                <w:sz w:val="20"/>
                <w:szCs w:val="20"/>
                <w:lang w:eastAsia="lv-LV"/>
              </w:rPr>
            </w:pPr>
            <w:r w:rsidRPr="00825195">
              <w:rPr>
                <w:rFonts w:eastAsia="Times New Roman" w:cs="Times New Roman"/>
                <w:b/>
                <w:bCs/>
                <w:color w:val="000000"/>
                <w:sz w:val="20"/>
                <w:szCs w:val="20"/>
                <w:lang w:eastAsia="lv-LV"/>
              </w:rPr>
              <w:t>Audita iestāde</w:t>
            </w:r>
          </w:p>
        </w:tc>
        <w:tc>
          <w:tcPr>
            <w:tcW w:w="6804" w:type="dxa"/>
            <w:tcBorders>
              <w:top w:val="single" w:sz="8" w:space="0" w:color="auto"/>
              <w:left w:val="nil"/>
              <w:bottom w:val="single" w:sz="12" w:space="0" w:color="auto"/>
              <w:right w:val="single" w:sz="4" w:space="0" w:color="auto"/>
            </w:tcBorders>
            <w:shd w:val="clear" w:color="auto" w:fill="C5E0B3" w:themeFill="accent6" w:themeFillTint="66"/>
            <w:vAlign w:val="center"/>
            <w:hideMark/>
          </w:tcPr>
          <w:p w14:paraId="6535570E" w14:textId="77777777" w:rsidR="00825195" w:rsidRPr="00825195" w:rsidRDefault="00825195" w:rsidP="001F47C4">
            <w:pPr>
              <w:jc w:val="center"/>
              <w:rPr>
                <w:rFonts w:eastAsia="Times New Roman" w:cs="Times New Roman"/>
                <w:b/>
                <w:bCs/>
                <w:color w:val="000000"/>
                <w:sz w:val="20"/>
                <w:szCs w:val="20"/>
                <w:lang w:eastAsia="lv-LV"/>
              </w:rPr>
            </w:pPr>
            <w:r w:rsidRPr="00825195">
              <w:rPr>
                <w:rFonts w:eastAsia="Times New Roman" w:cs="Times New Roman"/>
                <w:b/>
                <w:bCs/>
                <w:color w:val="000000"/>
                <w:sz w:val="20"/>
                <w:szCs w:val="20"/>
                <w:lang w:eastAsia="lv-LV"/>
              </w:rPr>
              <w:t>Būtiskākie secinājumi/piezīmes</w:t>
            </w:r>
          </w:p>
        </w:tc>
        <w:tc>
          <w:tcPr>
            <w:tcW w:w="3544" w:type="dxa"/>
            <w:tcBorders>
              <w:top w:val="single" w:sz="8" w:space="0" w:color="auto"/>
              <w:left w:val="nil"/>
              <w:bottom w:val="single" w:sz="12" w:space="0" w:color="auto"/>
              <w:right w:val="single" w:sz="8" w:space="0" w:color="auto"/>
            </w:tcBorders>
            <w:shd w:val="clear" w:color="auto" w:fill="C5E0B3" w:themeFill="accent6" w:themeFillTint="66"/>
            <w:vAlign w:val="center"/>
            <w:hideMark/>
          </w:tcPr>
          <w:p w14:paraId="4A59999D" w14:textId="77777777" w:rsidR="00825195" w:rsidRPr="00825195" w:rsidRDefault="00825195" w:rsidP="001F47C4">
            <w:pPr>
              <w:jc w:val="center"/>
              <w:rPr>
                <w:rFonts w:eastAsia="Times New Roman" w:cs="Times New Roman"/>
                <w:b/>
                <w:bCs/>
                <w:color w:val="000000"/>
                <w:sz w:val="20"/>
                <w:szCs w:val="20"/>
                <w:lang w:eastAsia="lv-LV"/>
              </w:rPr>
            </w:pPr>
            <w:r w:rsidRPr="00825195">
              <w:rPr>
                <w:rFonts w:eastAsia="Times New Roman" w:cs="Times New Roman"/>
                <w:b/>
                <w:bCs/>
                <w:color w:val="000000"/>
                <w:sz w:val="20"/>
                <w:szCs w:val="20"/>
                <w:lang w:eastAsia="lv-LV"/>
              </w:rPr>
              <w:t xml:space="preserve">VI veiktā vai plānotā rīcība </w:t>
            </w:r>
            <w:r w:rsidRPr="00825195">
              <w:rPr>
                <w:rFonts w:eastAsia="Times New Roman" w:cs="Times New Roman"/>
                <w:b/>
                <w:bCs/>
                <w:color w:val="000000"/>
                <w:sz w:val="20"/>
                <w:szCs w:val="20"/>
                <w:lang w:eastAsia="lv-LV"/>
              </w:rPr>
              <w:br/>
              <w:t>sistēmas pilnveidošanai</w:t>
            </w:r>
          </w:p>
        </w:tc>
      </w:tr>
      <w:tr w:rsidR="00825195" w:rsidRPr="00825195" w14:paraId="1841B1BF" w14:textId="77777777" w:rsidTr="00825195">
        <w:trPr>
          <w:trHeight w:val="963"/>
        </w:trPr>
        <w:tc>
          <w:tcPr>
            <w:tcW w:w="529"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14:paraId="0BA87BE7" w14:textId="77777777" w:rsidR="00825195" w:rsidRPr="00825195" w:rsidRDefault="00825195" w:rsidP="001F47C4">
            <w:pPr>
              <w:jc w:val="center"/>
              <w:rPr>
                <w:rFonts w:eastAsia="Times New Roman" w:cs="Times New Roman"/>
                <w:color w:val="000000"/>
                <w:sz w:val="20"/>
                <w:szCs w:val="20"/>
                <w:lang w:eastAsia="lv-LV"/>
              </w:rPr>
            </w:pPr>
            <w:r w:rsidRPr="00825195">
              <w:rPr>
                <w:rFonts w:eastAsia="Times New Roman" w:cs="Times New Roman"/>
                <w:color w:val="000000"/>
                <w:sz w:val="20"/>
                <w:szCs w:val="20"/>
                <w:lang w:eastAsia="lv-LV"/>
              </w:rPr>
              <w:t>1</w:t>
            </w:r>
          </w:p>
        </w:tc>
        <w:tc>
          <w:tcPr>
            <w:tcW w:w="2440" w:type="dxa"/>
            <w:tcBorders>
              <w:top w:val="single" w:sz="12" w:space="0" w:color="auto"/>
              <w:left w:val="nil"/>
              <w:bottom w:val="single" w:sz="12" w:space="0" w:color="auto"/>
              <w:right w:val="single" w:sz="4" w:space="0" w:color="auto"/>
            </w:tcBorders>
            <w:shd w:val="clear" w:color="auto" w:fill="auto"/>
            <w:vAlign w:val="center"/>
            <w:hideMark/>
          </w:tcPr>
          <w:p w14:paraId="59A608DC" w14:textId="77777777" w:rsidR="00825195" w:rsidRPr="00825195" w:rsidRDefault="00825195" w:rsidP="001F47C4">
            <w:pPr>
              <w:jc w:val="center"/>
              <w:rPr>
                <w:rFonts w:cs="Times New Roman"/>
                <w:sz w:val="20"/>
                <w:szCs w:val="20"/>
              </w:rPr>
            </w:pPr>
            <w:r w:rsidRPr="00825195">
              <w:rPr>
                <w:rFonts w:cs="Times New Roman"/>
                <w:sz w:val="20"/>
                <w:szCs w:val="20"/>
              </w:rPr>
              <w:t>Lietderības revīzija „Vai Eiropas Reģionālās attīstības fonda līdzfinansētie projekti ir ilgtspējīgi un sekmē Eiropas Reģionālās attīstības fonda mērķu sasniegšanu?”</w:t>
            </w:r>
          </w:p>
          <w:p w14:paraId="51AEC5C0" w14:textId="77777777" w:rsidR="00825195" w:rsidRDefault="00825195" w:rsidP="001F47C4">
            <w:pPr>
              <w:jc w:val="center"/>
              <w:rPr>
                <w:rFonts w:cs="Times New Roman"/>
                <w:sz w:val="20"/>
                <w:szCs w:val="20"/>
              </w:rPr>
            </w:pPr>
            <w:r w:rsidRPr="00825195">
              <w:rPr>
                <w:rFonts w:cs="Times New Roman"/>
                <w:sz w:val="20"/>
                <w:szCs w:val="20"/>
              </w:rPr>
              <w:t>Nr. 2.4.1-17/2014</w:t>
            </w:r>
          </w:p>
          <w:p w14:paraId="38E52AD2" w14:textId="77777777" w:rsidR="00BF3231" w:rsidRDefault="00BF3231" w:rsidP="001F47C4">
            <w:pPr>
              <w:jc w:val="center"/>
              <w:rPr>
                <w:rFonts w:cs="Times New Roman"/>
                <w:sz w:val="20"/>
                <w:szCs w:val="20"/>
              </w:rPr>
            </w:pPr>
          </w:p>
          <w:p w14:paraId="4AA88C7C" w14:textId="77777777" w:rsidR="00BF3231" w:rsidRPr="00825195" w:rsidRDefault="00BF3231" w:rsidP="001F47C4">
            <w:pPr>
              <w:jc w:val="center"/>
              <w:rPr>
                <w:rFonts w:cs="Times New Roman"/>
                <w:sz w:val="20"/>
                <w:szCs w:val="20"/>
              </w:rPr>
            </w:pPr>
            <w:r>
              <w:rPr>
                <w:rFonts w:cs="Times New Roman"/>
                <w:sz w:val="20"/>
                <w:szCs w:val="20"/>
              </w:rPr>
              <w:t>13.04.2015.</w:t>
            </w:r>
          </w:p>
        </w:tc>
        <w:tc>
          <w:tcPr>
            <w:tcW w:w="1134" w:type="dxa"/>
            <w:tcBorders>
              <w:top w:val="single" w:sz="12" w:space="0" w:color="auto"/>
              <w:left w:val="nil"/>
              <w:bottom w:val="single" w:sz="12" w:space="0" w:color="auto"/>
              <w:right w:val="single" w:sz="4" w:space="0" w:color="auto"/>
            </w:tcBorders>
            <w:shd w:val="clear" w:color="auto" w:fill="auto"/>
            <w:vAlign w:val="center"/>
          </w:tcPr>
          <w:p w14:paraId="3F2254DA" w14:textId="77777777" w:rsidR="00825195" w:rsidRPr="00825195" w:rsidRDefault="00825195" w:rsidP="001F47C4">
            <w:pPr>
              <w:jc w:val="center"/>
              <w:rPr>
                <w:rFonts w:eastAsia="Times New Roman" w:cs="Times New Roman"/>
                <w:color w:val="000000"/>
                <w:sz w:val="20"/>
                <w:szCs w:val="20"/>
                <w:lang w:eastAsia="lv-LV"/>
              </w:rPr>
            </w:pPr>
            <w:r w:rsidRPr="00825195">
              <w:rPr>
                <w:rFonts w:eastAsia="Times New Roman" w:cs="Times New Roman"/>
                <w:color w:val="000000"/>
                <w:sz w:val="20"/>
                <w:szCs w:val="20"/>
                <w:lang w:eastAsia="lv-LV"/>
              </w:rPr>
              <w:t>Valsts kontrole</w:t>
            </w:r>
          </w:p>
        </w:tc>
        <w:tc>
          <w:tcPr>
            <w:tcW w:w="6804" w:type="dxa"/>
            <w:tcBorders>
              <w:top w:val="single" w:sz="12" w:space="0" w:color="auto"/>
              <w:left w:val="single" w:sz="4" w:space="0" w:color="auto"/>
              <w:bottom w:val="single" w:sz="12" w:space="0" w:color="auto"/>
              <w:right w:val="single" w:sz="4" w:space="0" w:color="auto"/>
            </w:tcBorders>
            <w:shd w:val="clear" w:color="auto" w:fill="auto"/>
          </w:tcPr>
          <w:p w14:paraId="231E06F0" w14:textId="77777777" w:rsidR="00825195" w:rsidRPr="00825195" w:rsidRDefault="00825195" w:rsidP="001F47C4">
            <w:pPr>
              <w:jc w:val="both"/>
              <w:rPr>
                <w:rFonts w:eastAsia="Calibri"/>
                <w:bCs/>
                <w:color w:val="000000"/>
                <w:sz w:val="20"/>
                <w:szCs w:val="20"/>
              </w:rPr>
            </w:pPr>
            <w:r w:rsidRPr="00825195">
              <w:rPr>
                <w:rFonts w:eastAsia="Calibri"/>
                <w:bCs/>
                <w:color w:val="000000"/>
                <w:sz w:val="20"/>
                <w:szCs w:val="20"/>
              </w:rPr>
              <w:t xml:space="preserve">Galvenie konstatējumi: </w:t>
            </w:r>
          </w:p>
          <w:p w14:paraId="51FCF390" w14:textId="77777777" w:rsidR="00825195" w:rsidRPr="00825195" w:rsidRDefault="00825195" w:rsidP="00825195">
            <w:pPr>
              <w:pStyle w:val="ListParagraph"/>
              <w:numPr>
                <w:ilvl w:val="0"/>
                <w:numId w:val="12"/>
              </w:numPr>
              <w:ind w:left="258" w:hanging="258"/>
              <w:jc w:val="both"/>
              <w:rPr>
                <w:rFonts w:eastAsia="Calibri"/>
                <w:bCs/>
                <w:color w:val="000000"/>
                <w:sz w:val="20"/>
                <w:szCs w:val="20"/>
              </w:rPr>
            </w:pPr>
            <w:r w:rsidRPr="00825195">
              <w:rPr>
                <w:rFonts w:eastAsia="Calibri"/>
                <w:bCs/>
                <w:color w:val="000000"/>
                <w:sz w:val="20"/>
                <w:szCs w:val="20"/>
              </w:rPr>
              <w:t xml:space="preserve">ERAF 2007.-2013. gadu perioda atbalsts uzņēmējdarbības un inovāciju jomā nav uzskatāms par iespējami maksimālas ietekmes uz tautsaimniecības attīstību nodrošinošu, jo nav pievērsta pietiekama uzmanība atbalstīto projektu ilgtspējas nodrošināšanai; </w:t>
            </w:r>
          </w:p>
          <w:p w14:paraId="7018B500" w14:textId="77777777" w:rsidR="00825195" w:rsidRPr="00825195" w:rsidRDefault="00825195" w:rsidP="00825195">
            <w:pPr>
              <w:pStyle w:val="ListParagraph"/>
              <w:numPr>
                <w:ilvl w:val="0"/>
                <w:numId w:val="12"/>
              </w:numPr>
              <w:ind w:left="258" w:hanging="258"/>
              <w:jc w:val="both"/>
              <w:rPr>
                <w:rFonts w:eastAsia="Calibri"/>
                <w:bCs/>
                <w:color w:val="000000"/>
                <w:sz w:val="20"/>
                <w:szCs w:val="20"/>
              </w:rPr>
            </w:pPr>
            <w:r w:rsidRPr="00825195">
              <w:rPr>
                <w:rFonts w:eastAsia="Calibri"/>
                <w:bCs/>
                <w:color w:val="000000"/>
                <w:sz w:val="20"/>
                <w:szCs w:val="20"/>
              </w:rPr>
              <w:t xml:space="preserve">Projektu atlase plānošanas perioda sākumā netika vērsta uz projektu ilgtspējas nodrošināšanu – nebija vērojama konsekvence prasību projektu plānotajai ietekmei izvirzīšanā dažādu aktivitāšu ietvaros; projektu atlasē „neatsijāja” pārāk optimistiskas un neticamas attīstības prognozes uzrādošus projektu iesniedzējus; </w:t>
            </w:r>
          </w:p>
          <w:p w14:paraId="7EE4AB18" w14:textId="77777777" w:rsidR="00825195" w:rsidRPr="00825195" w:rsidRDefault="00825195" w:rsidP="00825195">
            <w:pPr>
              <w:pStyle w:val="ListParagraph"/>
              <w:numPr>
                <w:ilvl w:val="0"/>
                <w:numId w:val="12"/>
              </w:numPr>
              <w:ind w:left="258" w:hanging="258"/>
              <w:jc w:val="both"/>
              <w:rPr>
                <w:rFonts w:eastAsia="Calibri"/>
                <w:bCs/>
                <w:color w:val="000000"/>
                <w:sz w:val="20"/>
                <w:szCs w:val="20"/>
              </w:rPr>
            </w:pPr>
            <w:r w:rsidRPr="00825195">
              <w:rPr>
                <w:rFonts w:eastAsia="Calibri"/>
                <w:bCs/>
                <w:color w:val="000000"/>
                <w:sz w:val="20"/>
                <w:szCs w:val="20"/>
              </w:rPr>
              <w:t xml:space="preserve">Valsts kontrole neguva pārliecību, ka ERAF atbalsts būtu nozīmīgi sekmējis atbalstīto komersantu izaugsmi. </w:t>
            </w:r>
          </w:p>
          <w:p w14:paraId="2584BFB7" w14:textId="77777777" w:rsidR="00825195" w:rsidRPr="00825195" w:rsidRDefault="00825195" w:rsidP="001F47C4">
            <w:pPr>
              <w:jc w:val="both"/>
              <w:rPr>
                <w:rFonts w:eastAsia="Calibri"/>
                <w:bCs/>
                <w:color w:val="000000"/>
                <w:sz w:val="20"/>
                <w:szCs w:val="20"/>
              </w:rPr>
            </w:pPr>
            <w:r w:rsidRPr="00825195">
              <w:rPr>
                <w:rFonts w:eastAsia="Calibri"/>
                <w:bCs/>
                <w:color w:val="000000"/>
                <w:sz w:val="20"/>
                <w:szCs w:val="20"/>
              </w:rPr>
              <w:t>Revīzijas rezultātā kopā ir sniegti 11 ieteikumi, no kuriem četri ieteikumi izteikti VI:</w:t>
            </w:r>
          </w:p>
          <w:p w14:paraId="70BB9D07" w14:textId="77777777" w:rsidR="00825195" w:rsidRPr="00825195" w:rsidRDefault="00825195" w:rsidP="00825195">
            <w:pPr>
              <w:pStyle w:val="ListParagraph"/>
              <w:numPr>
                <w:ilvl w:val="0"/>
                <w:numId w:val="13"/>
              </w:numPr>
              <w:ind w:left="258" w:hanging="284"/>
              <w:jc w:val="both"/>
              <w:rPr>
                <w:rFonts w:eastAsia="Calibri"/>
                <w:bCs/>
                <w:color w:val="000000"/>
                <w:sz w:val="20"/>
                <w:szCs w:val="20"/>
              </w:rPr>
            </w:pPr>
            <w:r w:rsidRPr="00825195">
              <w:rPr>
                <w:rFonts w:eastAsia="Calibri"/>
                <w:bCs/>
                <w:color w:val="000000"/>
                <w:sz w:val="20"/>
                <w:szCs w:val="20"/>
              </w:rPr>
              <w:t>2014.-2020.gada plānošanas periodā, tiesību aktos Finanšu ministrijai noteikt kārtību, kādā projektu iesniedzējiem jāplāno un jāpamato projekta ietekme uz saimniecisko darbību.</w:t>
            </w:r>
          </w:p>
          <w:p w14:paraId="688415AB" w14:textId="77777777" w:rsidR="00825195" w:rsidRPr="00825195" w:rsidRDefault="00825195" w:rsidP="00825195">
            <w:pPr>
              <w:pStyle w:val="ListParagraph"/>
              <w:numPr>
                <w:ilvl w:val="0"/>
                <w:numId w:val="13"/>
              </w:numPr>
              <w:ind w:left="258" w:hanging="258"/>
              <w:jc w:val="both"/>
              <w:rPr>
                <w:rFonts w:eastAsia="Calibri"/>
                <w:bCs/>
                <w:color w:val="000000"/>
                <w:sz w:val="20"/>
                <w:szCs w:val="20"/>
              </w:rPr>
            </w:pPr>
            <w:r w:rsidRPr="00825195">
              <w:rPr>
                <w:rFonts w:eastAsia="Calibri"/>
                <w:bCs/>
                <w:color w:val="000000"/>
                <w:sz w:val="20"/>
                <w:szCs w:val="20"/>
              </w:rPr>
              <w:t xml:space="preserve">Lai novērstu nepieciešamību projekta iesniedzējam plānot faktiskajai situācijai neatbilstošus rādītājus un uzlabotu plānoto rādītāju izpildes izvērtēšanu uzraudzības periodā Finanšu ministrijai 2014.-2020.gada plānošanas periodā pilnveidot projektu vērtēšanas kritērijus, kā arī nodrošināt, ka projektu iesniedzēji veic plānoto rādītāju sasniegšanas risku </w:t>
            </w:r>
            <w:proofErr w:type="spellStart"/>
            <w:r w:rsidRPr="00825195">
              <w:rPr>
                <w:rFonts w:eastAsia="Calibri"/>
                <w:bCs/>
                <w:color w:val="000000"/>
                <w:sz w:val="20"/>
                <w:szCs w:val="20"/>
              </w:rPr>
              <w:t>izvērtējumu</w:t>
            </w:r>
            <w:proofErr w:type="spellEnd"/>
            <w:r w:rsidRPr="00825195">
              <w:rPr>
                <w:rFonts w:eastAsia="Calibri"/>
                <w:bCs/>
                <w:color w:val="000000"/>
                <w:sz w:val="20"/>
                <w:szCs w:val="20"/>
              </w:rPr>
              <w:t>.</w:t>
            </w:r>
          </w:p>
          <w:p w14:paraId="2E403257" w14:textId="77777777" w:rsidR="00825195" w:rsidRPr="00825195" w:rsidRDefault="00825195" w:rsidP="00825195">
            <w:pPr>
              <w:pStyle w:val="ListParagraph"/>
              <w:numPr>
                <w:ilvl w:val="0"/>
                <w:numId w:val="13"/>
              </w:numPr>
              <w:ind w:left="258" w:hanging="258"/>
              <w:jc w:val="both"/>
              <w:rPr>
                <w:rFonts w:eastAsia="Calibri"/>
                <w:bCs/>
                <w:color w:val="000000"/>
                <w:sz w:val="20"/>
                <w:szCs w:val="20"/>
              </w:rPr>
            </w:pPr>
            <w:r w:rsidRPr="00825195">
              <w:rPr>
                <w:rFonts w:eastAsia="Calibri"/>
                <w:bCs/>
                <w:color w:val="000000"/>
                <w:sz w:val="20"/>
                <w:szCs w:val="20"/>
              </w:rPr>
              <w:t>Lai nodrošinātu iespēju 2014.-2020.gada plān</w:t>
            </w:r>
            <w:bookmarkStart w:id="0" w:name="_GoBack"/>
            <w:bookmarkEnd w:id="0"/>
            <w:r w:rsidRPr="00825195">
              <w:rPr>
                <w:rFonts w:eastAsia="Calibri"/>
                <w:bCs/>
                <w:color w:val="000000"/>
                <w:sz w:val="20"/>
                <w:szCs w:val="20"/>
              </w:rPr>
              <w:t>ošanas periodā savlaicīgi konstatēt būtiskas pārmaiņas projektā, kā arī iegūt pilnīgu informāciju par finansējuma saņēmēju sasniegtajiem rādītājiem, Finanšu ministrijai veikt pasākumus, kas ļautu regulāri pārliecināties par projektā plānoto rādītāju sasniegšanas pakāpi, apmeklējot projektus to īstenošanas vietās tikai nepieciešamības gadījumā.</w:t>
            </w:r>
          </w:p>
          <w:p w14:paraId="6FD7F8B0" w14:textId="77777777" w:rsidR="00825195" w:rsidRPr="00825195" w:rsidRDefault="00825195" w:rsidP="00825195">
            <w:pPr>
              <w:pStyle w:val="ListParagraph"/>
              <w:numPr>
                <w:ilvl w:val="0"/>
                <w:numId w:val="13"/>
              </w:numPr>
              <w:ind w:left="258" w:hanging="258"/>
              <w:jc w:val="both"/>
              <w:rPr>
                <w:rFonts w:eastAsia="Calibri"/>
                <w:bCs/>
                <w:color w:val="000000"/>
                <w:sz w:val="20"/>
                <w:szCs w:val="20"/>
              </w:rPr>
            </w:pPr>
            <w:r w:rsidRPr="00825195">
              <w:rPr>
                <w:rFonts w:eastAsia="Calibri"/>
                <w:bCs/>
                <w:color w:val="000000"/>
                <w:sz w:val="20"/>
                <w:szCs w:val="20"/>
              </w:rPr>
              <w:t>Finanšu ministrijai izskatīt iespēju pilnveidot tiesību aktus, lai 2014.-2020.gada plānošanas periodā nepieļautu atbalsta finansējuma izmaksu gadījumos, kad ir pamatotas šaubas par komersanta spēju turpināt darbību pēc pēdējā atbalsta maksājuma saņemšanas.</w:t>
            </w:r>
          </w:p>
        </w:tc>
        <w:tc>
          <w:tcPr>
            <w:tcW w:w="3544" w:type="dxa"/>
            <w:tcBorders>
              <w:top w:val="single" w:sz="12" w:space="0" w:color="auto"/>
              <w:left w:val="nil"/>
              <w:bottom w:val="single" w:sz="12" w:space="0" w:color="auto"/>
              <w:right w:val="single" w:sz="4" w:space="0" w:color="auto"/>
            </w:tcBorders>
            <w:shd w:val="clear" w:color="auto" w:fill="auto"/>
          </w:tcPr>
          <w:p w14:paraId="4B6C63E9" w14:textId="2A3F3E80" w:rsidR="00825195" w:rsidRPr="00825195" w:rsidRDefault="00825195" w:rsidP="00B67297">
            <w:pPr>
              <w:jc w:val="both"/>
              <w:rPr>
                <w:sz w:val="20"/>
                <w:szCs w:val="20"/>
              </w:rPr>
            </w:pPr>
            <w:r w:rsidRPr="00825195">
              <w:rPr>
                <w:sz w:val="20"/>
                <w:szCs w:val="20"/>
              </w:rPr>
              <w:t xml:space="preserve">Ņemot vērā ziņojumā iekļautos konstatējumus un ieteikumus,  VI ir izstrādājusi pasākumu plānu ieteikumu ieviešanai. Informācija par ieteikumu ieviešanas statusu sniegta ministru prezidentam 01.11.2015. Līdz 01.03.2016. </w:t>
            </w:r>
            <w:r w:rsidRPr="00D517A6">
              <w:rPr>
                <w:sz w:val="20"/>
                <w:szCs w:val="20"/>
              </w:rPr>
              <w:t>aktuālā informācija tika sniegta izskatīšanai SPIRK sēdē, kā arī par ieteikumu ieviešanu informācija nosūtīta ministru prezidentam un Valsts kontrolei 30.03.2016</w:t>
            </w:r>
            <w:r w:rsidR="00B67297" w:rsidRPr="00D517A6">
              <w:rPr>
                <w:sz w:val="20"/>
                <w:szCs w:val="20"/>
              </w:rPr>
              <w:t xml:space="preserve">. un </w:t>
            </w:r>
            <w:r w:rsidR="00B67297" w:rsidRPr="00D517A6">
              <w:rPr>
                <w:iCs/>
                <w:sz w:val="20"/>
                <w:szCs w:val="20"/>
              </w:rPr>
              <w:t>19.01.2017</w:t>
            </w:r>
            <w:r w:rsidRPr="00D517A6">
              <w:rPr>
                <w:sz w:val="20"/>
                <w:szCs w:val="20"/>
              </w:rPr>
              <w:t xml:space="preserve">. </w:t>
            </w:r>
            <w:r w:rsidR="00B67297" w:rsidRPr="00D517A6">
              <w:rPr>
                <w:sz w:val="20"/>
                <w:szCs w:val="20"/>
              </w:rPr>
              <w:t xml:space="preserve">10.02.2017. no Valsts kontroles saņemts viedoklis, ka </w:t>
            </w:r>
            <w:r w:rsidRPr="00D517A6">
              <w:rPr>
                <w:sz w:val="20"/>
                <w:szCs w:val="20"/>
              </w:rPr>
              <w:t>trīs no četriem VI izteiktajiem ieteikumiem ir ieviesti, un viens ieteikums ir ieviešanas procesā.</w:t>
            </w:r>
            <w:r w:rsidR="00257F88" w:rsidRPr="00D517A6">
              <w:rPr>
                <w:sz w:val="20"/>
                <w:szCs w:val="20"/>
              </w:rPr>
              <w:t xml:space="preserve"> VI sniegusi Valsts kontrolei papildu informāciju, argumentējot viedokli, ka ieteikums uzskatāms par ieviestu</w:t>
            </w:r>
            <w:r w:rsidR="00257F88" w:rsidRPr="00D517A6">
              <w:rPr>
                <w:rStyle w:val="CommentReference"/>
              </w:rPr>
              <w:t xml:space="preserve"> </w:t>
            </w:r>
          </w:p>
        </w:tc>
      </w:tr>
      <w:tr w:rsidR="00935016" w:rsidRPr="00825195" w14:paraId="61E19507" w14:textId="77777777" w:rsidTr="00825195">
        <w:trPr>
          <w:trHeight w:val="963"/>
        </w:trPr>
        <w:tc>
          <w:tcPr>
            <w:tcW w:w="529" w:type="dxa"/>
            <w:tcBorders>
              <w:top w:val="single" w:sz="12" w:space="0" w:color="auto"/>
              <w:left w:val="single" w:sz="4" w:space="0" w:color="auto"/>
              <w:bottom w:val="single" w:sz="12" w:space="0" w:color="auto"/>
              <w:right w:val="single" w:sz="4" w:space="0" w:color="auto"/>
            </w:tcBorders>
            <w:shd w:val="clear" w:color="auto" w:fill="auto"/>
            <w:noWrap/>
            <w:vAlign w:val="center"/>
          </w:tcPr>
          <w:p w14:paraId="2B4CA688" w14:textId="77777777" w:rsidR="00935016" w:rsidRPr="00825195" w:rsidRDefault="00935016" w:rsidP="001F47C4">
            <w:pPr>
              <w:jc w:val="center"/>
              <w:rPr>
                <w:rFonts w:eastAsia="Times New Roman" w:cs="Times New Roman"/>
                <w:color w:val="000000"/>
                <w:sz w:val="20"/>
                <w:szCs w:val="20"/>
                <w:lang w:eastAsia="lv-LV"/>
              </w:rPr>
            </w:pPr>
            <w:r>
              <w:rPr>
                <w:rFonts w:eastAsia="Times New Roman" w:cs="Times New Roman"/>
                <w:color w:val="000000"/>
                <w:sz w:val="20"/>
                <w:szCs w:val="20"/>
                <w:lang w:eastAsia="lv-LV"/>
              </w:rPr>
              <w:lastRenderedPageBreak/>
              <w:t>2</w:t>
            </w:r>
          </w:p>
        </w:tc>
        <w:tc>
          <w:tcPr>
            <w:tcW w:w="2440" w:type="dxa"/>
            <w:tcBorders>
              <w:top w:val="single" w:sz="12" w:space="0" w:color="auto"/>
              <w:left w:val="nil"/>
              <w:bottom w:val="single" w:sz="12" w:space="0" w:color="auto"/>
              <w:right w:val="single" w:sz="4" w:space="0" w:color="auto"/>
            </w:tcBorders>
            <w:shd w:val="clear" w:color="auto" w:fill="auto"/>
            <w:vAlign w:val="center"/>
          </w:tcPr>
          <w:p w14:paraId="369D8773" w14:textId="77777777" w:rsidR="00935016" w:rsidRPr="00935016" w:rsidRDefault="00935016" w:rsidP="00935016">
            <w:pPr>
              <w:pStyle w:val="Default"/>
              <w:jc w:val="center"/>
              <w:rPr>
                <w:color w:val="auto"/>
                <w:sz w:val="20"/>
                <w:szCs w:val="20"/>
              </w:rPr>
            </w:pPr>
            <w:r w:rsidRPr="00935016">
              <w:rPr>
                <w:color w:val="auto"/>
                <w:sz w:val="20"/>
                <w:szCs w:val="20"/>
              </w:rPr>
              <w:t>2.DP revīzija saistībā ar ticamības deklarāciju (DAS) par 2015. finanšu gadu</w:t>
            </w:r>
          </w:p>
          <w:p w14:paraId="54620AA9" w14:textId="77777777" w:rsidR="00935016" w:rsidRDefault="00935016" w:rsidP="00935016">
            <w:pPr>
              <w:pStyle w:val="Default"/>
              <w:jc w:val="center"/>
              <w:rPr>
                <w:color w:val="auto"/>
                <w:sz w:val="20"/>
                <w:szCs w:val="20"/>
              </w:rPr>
            </w:pPr>
            <w:r w:rsidRPr="00935016">
              <w:rPr>
                <w:color w:val="auto"/>
                <w:sz w:val="20"/>
                <w:szCs w:val="20"/>
              </w:rPr>
              <w:t>Nr. ARPF-7153</w:t>
            </w:r>
          </w:p>
          <w:p w14:paraId="503FE4F6" w14:textId="77777777" w:rsidR="00935016" w:rsidRDefault="00935016" w:rsidP="00935016">
            <w:pPr>
              <w:pStyle w:val="Default"/>
              <w:jc w:val="center"/>
              <w:rPr>
                <w:color w:val="auto"/>
                <w:sz w:val="20"/>
                <w:szCs w:val="20"/>
              </w:rPr>
            </w:pPr>
          </w:p>
          <w:p w14:paraId="3E3F9CF7" w14:textId="77777777" w:rsidR="00935016" w:rsidRPr="00935016" w:rsidRDefault="00935016" w:rsidP="00935016">
            <w:pPr>
              <w:pStyle w:val="Default"/>
              <w:jc w:val="center"/>
              <w:rPr>
                <w:color w:val="auto"/>
                <w:sz w:val="20"/>
                <w:szCs w:val="20"/>
              </w:rPr>
            </w:pPr>
            <w:r>
              <w:rPr>
                <w:color w:val="auto"/>
                <w:sz w:val="20"/>
                <w:szCs w:val="20"/>
              </w:rPr>
              <w:t>05.08.2016.</w:t>
            </w:r>
          </w:p>
          <w:p w14:paraId="29758347" w14:textId="77777777" w:rsidR="00935016" w:rsidRPr="00825195" w:rsidRDefault="00935016" w:rsidP="001F47C4">
            <w:pPr>
              <w:jc w:val="center"/>
              <w:rPr>
                <w:rFonts w:cs="Times New Roman"/>
                <w:sz w:val="20"/>
                <w:szCs w:val="20"/>
              </w:rPr>
            </w:pPr>
          </w:p>
        </w:tc>
        <w:tc>
          <w:tcPr>
            <w:tcW w:w="1134" w:type="dxa"/>
            <w:tcBorders>
              <w:top w:val="single" w:sz="12" w:space="0" w:color="auto"/>
              <w:left w:val="nil"/>
              <w:bottom w:val="single" w:sz="12" w:space="0" w:color="auto"/>
              <w:right w:val="single" w:sz="4" w:space="0" w:color="auto"/>
            </w:tcBorders>
            <w:shd w:val="clear" w:color="auto" w:fill="auto"/>
            <w:vAlign w:val="center"/>
          </w:tcPr>
          <w:p w14:paraId="1C3A0294" w14:textId="77777777" w:rsidR="00935016" w:rsidRPr="00825195" w:rsidRDefault="00935016" w:rsidP="001F47C4">
            <w:pPr>
              <w:jc w:val="center"/>
              <w:rPr>
                <w:rFonts w:eastAsia="Times New Roman" w:cs="Times New Roman"/>
                <w:color w:val="000000"/>
                <w:sz w:val="20"/>
                <w:szCs w:val="20"/>
                <w:lang w:eastAsia="lv-LV"/>
              </w:rPr>
            </w:pPr>
            <w:r>
              <w:rPr>
                <w:rFonts w:eastAsia="Times New Roman" w:cs="Times New Roman"/>
                <w:color w:val="000000"/>
                <w:sz w:val="20"/>
                <w:szCs w:val="20"/>
                <w:lang w:eastAsia="lv-LV"/>
              </w:rPr>
              <w:t>Eiropas Revīzijas palāta</w:t>
            </w:r>
          </w:p>
        </w:tc>
        <w:tc>
          <w:tcPr>
            <w:tcW w:w="6804" w:type="dxa"/>
            <w:tcBorders>
              <w:top w:val="single" w:sz="12" w:space="0" w:color="auto"/>
              <w:left w:val="single" w:sz="4" w:space="0" w:color="auto"/>
              <w:bottom w:val="single" w:sz="12" w:space="0" w:color="auto"/>
              <w:right w:val="single" w:sz="4" w:space="0" w:color="auto"/>
            </w:tcBorders>
            <w:shd w:val="clear" w:color="auto" w:fill="auto"/>
          </w:tcPr>
          <w:p w14:paraId="78819BB0" w14:textId="77777777" w:rsidR="00935016" w:rsidRPr="00D517A6" w:rsidRDefault="00935016" w:rsidP="00935016">
            <w:pPr>
              <w:pStyle w:val="Default"/>
              <w:jc w:val="both"/>
              <w:rPr>
                <w:sz w:val="20"/>
                <w:szCs w:val="20"/>
              </w:rPr>
            </w:pPr>
            <w:r w:rsidRPr="00D517A6">
              <w:rPr>
                <w:sz w:val="20"/>
                <w:szCs w:val="20"/>
              </w:rPr>
              <w:t xml:space="preserve">Audita misijas vizīte norisinājās 05.-09.10.2015., kuras laikā tika skatīta četru izlasē iekļauto DP projektu dokumentācija un īstenošana uz vietas. Revīzijas ietvaros </w:t>
            </w:r>
            <w:r w:rsidR="00A74E3C" w:rsidRPr="00D517A6">
              <w:rPr>
                <w:sz w:val="20"/>
                <w:szCs w:val="20"/>
              </w:rPr>
              <w:t xml:space="preserve">tikai izteikti trīs </w:t>
            </w:r>
            <w:r w:rsidRPr="00D517A6">
              <w:rPr>
                <w:sz w:val="20"/>
                <w:szCs w:val="20"/>
              </w:rPr>
              <w:t>konstat</w:t>
            </w:r>
            <w:r w:rsidR="00A74E3C" w:rsidRPr="00D517A6">
              <w:rPr>
                <w:sz w:val="20"/>
                <w:szCs w:val="20"/>
              </w:rPr>
              <w:t>ējumi, no kuriem pēc pamatojošās informācijas sniegšanas ir atstāti divi konstatējumi:</w:t>
            </w:r>
            <w:r w:rsidRPr="00D517A6">
              <w:rPr>
                <w:sz w:val="20"/>
                <w:szCs w:val="20"/>
              </w:rPr>
              <w:t xml:space="preserve"> </w:t>
            </w:r>
            <w:r w:rsidR="00A74E3C" w:rsidRPr="00D517A6">
              <w:rPr>
                <w:sz w:val="20"/>
                <w:szCs w:val="20"/>
              </w:rPr>
              <w:t>1. a</w:t>
            </w:r>
            <w:r w:rsidRPr="00D517A6">
              <w:rPr>
                <w:sz w:val="20"/>
                <w:szCs w:val="20"/>
              </w:rPr>
              <w:t>tbalsta intensitātes maksimālais apjoms ir pā</w:t>
            </w:r>
            <w:r w:rsidR="00A74E3C" w:rsidRPr="00D517A6">
              <w:rPr>
                <w:sz w:val="20"/>
                <w:szCs w:val="20"/>
              </w:rPr>
              <w:t>rsniegts,</w:t>
            </w:r>
            <w:r w:rsidRPr="00D517A6">
              <w:rPr>
                <w:sz w:val="20"/>
                <w:szCs w:val="20"/>
              </w:rPr>
              <w:t xml:space="preserve"> </w:t>
            </w:r>
            <w:r w:rsidR="00A74E3C" w:rsidRPr="00D517A6">
              <w:rPr>
                <w:sz w:val="20"/>
                <w:szCs w:val="20"/>
              </w:rPr>
              <w:t>2. t</w:t>
            </w:r>
            <w:r w:rsidRPr="00D517A6">
              <w:rPr>
                <w:sz w:val="20"/>
                <w:szCs w:val="20"/>
              </w:rPr>
              <w:t>rūkst stimulējošas ietekmes, kas pamatotu atbalsta palielināš</w:t>
            </w:r>
            <w:r w:rsidR="00A74E3C" w:rsidRPr="00D517A6">
              <w:rPr>
                <w:sz w:val="20"/>
                <w:szCs w:val="20"/>
              </w:rPr>
              <w:t>anu par 10 %.</w:t>
            </w:r>
          </w:p>
          <w:p w14:paraId="1F3EAA6C" w14:textId="77777777" w:rsidR="00935016" w:rsidRPr="00D517A6" w:rsidRDefault="00935016" w:rsidP="001F47C4">
            <w:pPr>
              <w:jc w:val="both"/>
              <w:rPr>
                <w:rFonts w:eastAsia="Calibri"/>
                <w:bCs/>
                <w:color w:val="000000"/>
                <w:sz w:val="20"/>
                <w:szCs w:val="20"/>
              </w:rPr>
            </w:pPr>
          </w:p>
        </w:tc>
        <w:tc>
          <w:tcPr>
            <w:tcW w:w="3544" w:type="dxa"/>
            <w:tcBorders>
              <w:top w:val="single" w:sz="12" w:space="0" w:color="auto"/>
              <w:left w:val="nil"/>
              <w:bottom w:val="single" w:sz="12" w:space="0" w:color="auto"/>
              <w:right w:val="single" w:sz="4" w:space="0" w:color="auto"/>
            </w:tcBorders>
            <w:shd w:val="clear" w:color="auto" w:fill="auto"/>
          </w:tcPr>
          <w:p w14:paraId="421CB1E6" w14:textId="06AFFCD0" w:rsidR="00935016" w:rsidRPr="00D517A6" w:rsidRDefault="00F13C5E" w:rsidP="00F13C5E">
            <w:pPr>
              <w:jc w:val="both"/>
              <w:rPr>
                <w:sz w:val="20"/>
                <w:szCs w:val="20"/>
              </w:rPr>
            </w:pPr>
            <w:r w:rsidRPr="00D517A6">
              <w:rPr>
                <w:sz w:val="20"/>
                <w:szCs w:val="20"/>
              </w:rPr>
              <w:t>Pēc VI nosūtītā skaidrojuma izskatīšanas 12.12.2016. saņemts EK vērtējums, ka nav konstatējami pārkāpumi, finanšu korekcija uz veikto auditu nav ierosināta, un EK šo gadījumu slēdz.</w:t>
            </w:r>
          </w:p>
        </w:tc>
      </w:tr>
    </w:tbl>
    <w:p w14:paraId="261F0A88" w14:textId="77777777" w:rsidR="00825195" w:rsidRDefault="00825195" w:rsidP="00825195">
      <w:pPr>
        <w:rPr>
          <w:sz w:val="26"/>
          <w:szCs w:val="26"/>
        </w:rPr>
      </w:pPr>
    </w:p>
    <w:p w14:paraId="0FE3C6D8" w14:textId="77777777" w:rsidR="00825195" w:rsidRDefault="00825195" w:rsidP="00825195">
      <w:pPr>
        <w:rPr>
          <w:sz w:val="26"/>
          <w:szCs w:val="26"/>
        </w:rPr>
      </w:pPr>
    </w:p>
    <w:p w14:paraId="3050123A" w14:textId="77777777" w:rsidR="008361DC" w:rsidRDefault="008361DC" w:rsidP="00B14B2B">
      <w:pPr>
        <w:jc w:val="center"/>
      </w:pPr>
    </w:p>
    <w:p w14:paraId="0AD81909" w14:textId="77777777" w:rsidR="008361DC" w:rsidRPr="008361DC" w:rsidRDefault="008361DC" w:rsidP="008361DC"/>
    <w:p w14:paraId="1F451935" w14:textId="77777777" w:rsidR="00B14B2B" w:rsidRPr="008361DC" w:rsidRDefault="00B14B2B" w:rsidP="008361DC">
      <w:pPr>
        <w:tabs>
          <w:tab w:val="left" w:pos="8385"/>
        </w:tabs>
      </w:pPr>
    </w:p>
    <w:sectPr w:rsidR="00B14B2B" w:rsidRPr="008361DC" w:rsidSect="008361DC">
      <w:headerReference w:type="default" r:id="rId8"/>
      <w:footerReference w:type="default" r:id="rId9"/>
      <w:pgSz w:w="16838" w:h="11906" w:orient="landscape"/>
      <w:pgMar w:top="567" w:right="1134"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013ACB" w14:textId="77777777" w:rsidR="00C20245" w:rsidRDefault="00C20245" w:rsidP="00C20245">
      <w:r>
        <w:separator/>
      </w:r>
    </w:p>
  </w:endnote>
  <w:endnote w:type="continuationSeparator" w:id="0">
    <w:p w14:paraId="66EEC2BA" w14:textId="77777777" w:rsidR="00C20245" w:rsidRDefault="00C20245" w:rsidP="00C20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897479"/>
      <w:docPartObj>
        <w:docPartGallery w:val="Page Numbers (Bottom of Page)"/>
        <w:docPartUnique/>
      </w:docPartObj>
    </w:sdtPr>
    <w:sdtEndPr>
      <w:rPr>
        <w:noProof/>
      </w:rPr>
    </w:sdtEndPr>
    <w:sdtContent>
      <w:p w14:paraId="14858943" w14:textId="77777777" w:rsidR="008361DC" w:rsidRDefault="008361DC">
        <w:pPr>
          <w:pStyle w:val="Footer"/>
          <w:jc w:val="center"/>
        </w:pPr>
        <w:r w:rsidRPr="008361DC">
          <w:rPr>
            <w:sz w:val="20"/>
          </w:rPr>
          <w:fldChar w:fldCharType="begin"/>
        </w:r>
        <w:r w:rsidRPr="008361DC">
          <w:rPr>
            <w:sz w:val="20"/>
          </w:rPr>
          <w:instrText xml:space="preserve"> PAGE   \* MERGEFORMAT </w:instrText>
        </w:r>
        <w:r w:rsidRPr="008361DC">
          <w:rPr>
            <w:sz w:val="20"/>
          </w:rPr>
          <w:fldChar w:fldCharType="separate"/>
        </w:r>
        <w:r w:rsidR="00D517A6">
          <w:rPr>
            <w:noProof/>
            <w:sz w:val="20"/>
          </w:rPr>
          <w:t>7</w:t>
        </w:r>
        <w:r w:rsidRPr="008361DC">
          <w:rPr>
            <w:noProof/>
            <w:sz w:val="20"/>
          </w:rPr>
          <w:fldChar w:fldCharType="end"/>
        </w:r>
      </w:p>
    </w:sdtContent>
  </w:sdt>
  <w:p w14:paraId="61EF8B0E" w14:textId="77777777" w:rsidR="008361DC" w:rsidRDefault="008361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8AE1D7" w14:textId="77777777" w:rsidR="00C20245" w:rsidRDefault="00C20245" w:rsidP="00C20245">
      <w:r>
        <w:separator/>
      </w:r>
    </w:p>
  </w:footnote>
  <w:footnote w:type="continuationSeparator" w:id="0">
    <w:p w14:paraId="507D28BD" w14:textId="77777777" w:rsidR="00C20245" w:rsidRDefault="00C20245" w:rsidP="00C20245">
      <w:r>
        <w:continuationSeparator/>
      </w:r>
    </w:p>
  </w:footnote>
  <w:footnote w:id="1">
    <w:p w14:paraId="671B87FC" w14:textId="77777777" w:rsidR="000E748D" w:rsidRPr="00E46F91" w:rsidRDefault="000E748D" w:rsidP="000E748D">
      <w:pPr>
        <w:pStyle w:val="FootnoteText"/>
        <w:rPr>
          <w:sz w:val="16"/>
          <w:szCs w:val="16"/>
          <w:lang w:val="lv-LV"/>
        </w:rPr>
      </w:pPr>
      <w:r w:rsidRPr="00E46F91">
        <w:rPr>
          <w:rStyle w:val="FootnoteReference"/>
          <w:sz w:val="16"/>
          <w:szCs w:val="16"/>
          <w:lang w:val="lv-LV"/>
        </w:rPr>
        <w:footnoteRef/>
      </w:r>
      <w:r w:rsidRPr="00E46F91">
        <w:rPr>
          <w:sz w:val="16"/>
          <w:szCs w:val="16"/>
          <w:lang w:val="lv-LV"/>
        </w:rPr>
        <w:t xml:space="preserve"> Audita ziņojums apstiprināts pēc Gada kontroles ziņojuma nosūtīšanas, līdz ar to rezultāti Gada kontroles ziņojumā iekļauti audita ziņojuma projektā iekļautie rezultāti</w:t>
      </w:r>
    </w:p>
  </w:footnote>
  <w:footnote w:id="2">
    <w:p w14:paraId="263CBCEB" w14:textId="77777777" w:rsidR="000E748D" w:rsidRPr="00E46F91" w:rsidRDefault="000E748D" w:rsidP="000E748D">
      <w:pPr>
        <w:pStyle w:val="FootnoteText"/>
        <w:jc w:val="both"/>
        <w:rPr>
          <w:sz w:val="16"/>
          <w:szCs w:val="16"/>
          <w:lang w:val="lv-LV"/>
        </w:rPr>
      </w:pPr>
      <w:r w:rsidRPr="00E46F91">
        <w:rPr>
          <w:rStyle w:val="FootnoteReference"/>
          <w:sz w:val="16"/>
          <w:szCs w:val="16"/>
          <w:lang w:val="lv-LV"/>
        </w:rPr>
        <w:footnoteRef/>
      </w:r>
      <w:r w:rsidRPr="00E46F91">
        <w:rPr>
          <w:sz w:val="16"/>
          <w:szCs w:val="16"/>
          <w:lang w:val="lv-LV"/>
        </w:rPr>
        <w:t xml:space="preserve"> Ministru kabineta 09.11.2010. noteikumi Nr.1041 “Kārtība, kādā paredzami valsts budžeta līdzekļi Eiropas Savienības struktūrfondu un Kohēzijas fonda līdzfinansēto projektu īstenošanai, kā arī maksājumu veikšanas un izdevumu deklarācijas sagatavošanas kārtība”</w:t>
      </w:r>
    </w:p>
  </w:footnote>
  <w:footnote w:id="3">
    <w:p w14:paraId="03284C35" w14:textId="77777777" w:rsidR="00825195" w:rsidRPr="008858C0" w:rsidRDefault="00825195" w:rsidP="00825195">
      <w:pPr>
        <w:pStyle w:val="FootnoteText"/>
        <w:jc w:val="both"/>
        <w:rPr>
          <w:b/>
          <w:lang w:val="lv-LV"/>
        </w:rPr>
      </w:pPr>
      <w:r w:rsidRPr="00165D3E">
        <w:rPr>
          <w:rStyle w:val="FootnoteReference"/>
          <w:b/>
        </w:rPr>
        <w:footnoteRef/>
      </w:r>
      <w:r w:rsidRPr="008858C0">
        <w:rPr>
          <w:b/>
          <w:lang w:val="lv-LV"/>
        </w:rPr>
        <w:t xml:space="preserve"> </w:t>
      </w:r>
      <w:r w:rsidRPr="008858C0">
        <w:rPr>
          <w:rStyle w:val="Strong"/>
          <w:lang w:val="lv-LV"/>
        </w:rPr>
        <w:t>PADOMES REGULA (EK) Nr.1083/2006, ar ko paredz vispārīgus noteikumus par Eiropas Reģionālās attīstības fondu, Eiropas Sociālo fondu un Kohēzijas fondu un atceļ Regulu (EK) Nr.1260/1999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5311B6" w14:textId="77777777" w:rsidR="00C20245" w:rsidRDefault="00E61183" w:rsidP="00C20245">
    <w:pPr>
      <w:pStyle w:val="Header"/>
      <w:jc w:val="right"/>
    </w:pPr>
    <w:r>
      <w:t>4</w:t>
    </w:r>
    <w:r w:rsidR="00C20245">
      <w:t>.Pielikums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0228E3"/>
    <w:multiLevelType w:val="hybridMultilevel"/>
    <w:tmpl w:val="1536FA04"/>
    <w:lvl w:ilvl="0" w:tplc="900C9686">
      <w:start w:val="1"/>
      <w:numFmt w:val="decimal"/>
      <w:lvlText w:val="%1."/>
      <w:lvlJc w:val="left"/>
      <w:pPr>
        <w:ind w:left="393" w:hanging="360"/>
      </w:pPr>
      <w:rPr>
        <w:color w:val="auto"/>
      </w:rPr>
    </w:lvl>
    <w:lvl w:ilvl="1" w:tplc="04260019">
      <w:start w:val="1"/>
      <w:numFmt w:val="lowerLetter"/>
      <w:lvlText w:val="%2."/>
      <w:lvlJc w:val="left"/>
      <w:pPr>
        <w:ind w:left="1113" w:hanging="360"/>
      </w:pPr>
    </w:lvl>
    <w:lvl w:ilvl="2" w:tplc="0426001B">
      <w:start w:val="1"/>
      <w:numFmt w:val="lowerRoman"/>
      <w:lvlText w:val="%3."/>
      <w:lvlJc w:val="right"/>
      <w:pPr>
        <w:ind w:left="1833" w:hanging="180"/>
      </w:pPr>
    </w:lvl>
    <w:lvl w:ilvl="3" w:tplc="0426000F">
      <w:start w:val="1"/>
      <w:numFmt w:val="decimal"/>
      <w:lvlText w:val="%4."/>
      <w:lvlJc w:val="left"/>
      <w:pPr>
        <w:ind w:left="2553" w:hanging="360"/>
      </w:pPr>
    </w:lvl>
    <w:lvl w:ilvl="4" w:tplc="04260019">
      <w:start w:val="1"/>
      <w:numFmt w:val="lowerLetter"/>
      <w:lvlText w:val="%5."/>
      <w:lvlJc w:val="left"/>
      <w:pPr>
        <w:ind w:left="3273" w:hanging="360"/>
      </w:pPr>
    </w:lvl>
    <w:lvl w:ilvl="5" w:tplc="0426001B">
      <w:start w:val="1"/>
      <w:numFmt w:val="lowerRoman"/>
      <w:lvlText w:val="%6."/>
      <w:lvlJc w:val="right"/>
      <w:pPr>
        <w:ind w:left="3993" w:hanging="180"/>
      </w:pPr>
    </w:lvl>
    <w:lvl w:ilvl="6" w:tplc="0426000F">
      <w:start w:val="1"/>
      <w:numFmt w:val="decimal"/>
      <w:lvlText w:val="%7."/>
      <w:lvlJc w:val="left"/>
      <w:pPr>
        <w:ind w:left="4713" w:hanging="360"/>
      </w:pPr>
    </w:lvl>
    <w:lvl w:ilvl="7" w:tplc="04260019">
      <w:start w:val="1"/>
      <w:numFmt w:val="lowerLetter"/>
      <w:lvlText w:val="%8."/>
      <w:lvlJc w:val="left"/>
      <w:pPr>
        <w:ind w:left="5433" w:hanging="360"/>
      </w:pPr>
    </w:lvl>
    <w:lvl w:ilvl="8" w:tplc="0426001B">
      <w:start w:val="1"/>
      <w:numFmt w:val="lowerRoman"/>
      <w:lvlText w:val="%9."/>
      <w:lvlJc w:val="right"/>
      <w:pPr>
        <w:ind w:left="6153" w:hanging="180"/>
      </w:pPr>
    </w:lvl>
  </w:abstractNum>
  <w:abstractNum w:abstractNumId="1">
    <w:nsid w:val="26105A78"/>
    <w:multiLevelType w:val="hybridMultilevel"/>
    <w:tmpl w:val="08D8BF06"/>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
    <w:nsid w:val="35AB2756"/>
    <w:multiLevelType w:val="hybridMultilevel"/>
    <w:tmpl w:val="070CB6C0"/>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38CD3D39"/>
    <w:multiLevelType w:val="hybridMultilevel"/>
    <w:tmpl w:val="EA3A67EE"/>
    <w:lvl w:ilvl="0" w:tplc="60FE8738">
      <w:start w:val="1"/>
      <w:numFmt w:val="bullet"/>
      <w:lvlText w:val=""/>
      <w:lvlJc w:val="left"/>
      <w:pPr>
        <w:ind w:left="720" w:hanging="360"/>
      </w:pPr>
      <w:rPr>
        <w:rFonts w:ascii="Wingdings" w:hAnsi="Wingdings" w:hint="default"/>
        <w:b/>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nsid w:val="3B9E5630"/>
    <w:multiLevelType w:val="hybridMultilevel"/>
    <w:tmpl w:val="77927B6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45935036"/>
    <w:multiLevelType w:val="hybridMultilevel"/>
    <w:tmpl w:val="13DE87D0"/>
    <w:lvl w:ilvl="0" w:tplc="B8DEBA44">
      <w:start w:val="1"/>
      <w:numFmt w:val="decimal"/>
      <w:lvlText w:val="%1."/>
      <w:lvlJc w:val="left"/>
      <w:pPr>
        <w:ind w:left="1440" w:hanging="360"/>
      </w:pPr>
      <w:rPr>
        <w:rFonts w:ascii="Calibri" w:eastAsia="Calibri" w:hAnsi="Calibri" w:cs="Times New Roman"/>
      </w:rPr>
    </w:lvl>
    <w:lvl w:ilvl="1" w:tplc="04260003">
      <w:start w:val="1"/>
      <w:numFmt w:val="bullet"/>
      <w:lvlText w:val="o"/>
      <w:lvlJc w:val="left"/>
      <w:pPr>
        <w:ind w:left="2160" w:hanging="360"/>
      </w:pPr>
      <w:rPr>
        <w:rFonts w:ascii="Courier New" w:hAnsi="Courier New" w:cs="Courier New" w:hint="default"/>
      </w:rPr>
    </w:lvl>
    <w:lvl w:ilvl="2" w:tplc="04260005">
      <w:start w:val="1"/>
      <w:numFmt w:val="bullet"/>
      <w:lvlText w:val=""/>
      <w:lvlJc w:val="left"/>
      <w:pPr>
        <w:ind w:left="2880" w:hanging="360"/>
      </w:pPr>
      <w:rPr>
        <w:rFonts w:ascii="Wingdings" w:hAnsi="Wingdings" w:hint="default"/>
      </w:rPr>
    </w:lvl>
    <w:lvl w:ilvl="3" w:tplc="0426000F">
      <w:start w:val="1"/>
      <w:numFmt w:val="decimal"/>
      <w:lvlText w:val="%4."/>
      <w:lvlJc w:val="left"/>
      <w:pPr>
        <w:ind w:left="3600" w:hanging="360"/>
      </w:pPr>
    </w:lvl>
    <w:lvl w:ilvl="4" w:tplc="04260001">
      <w:start w:val="1"/>
      <w:numFmt w:val="bullet"/>
      <w:lvlText w:val=""/>
      <w:lvlJc w:val="left"/>
      <w:pPr>
        <w:ind w:left="4320" w:hanging="360"/>
      </w:pPr>
      <w:rPr>
        <w:rFonts w:ascii="Symbol" w:hAnsi="Symbol" w:hint="default"/>
      </w:rPr>
    </w:lvl>
    <w:lvl w:ilvl="5" w:tplc="04260005">
      <w:start w:val="1"/>
      <w:numFmt w:val="bullet"/>
      <w:lvlText w:val=""/>
      <w:lvlJc w:val="left"/>
      <w:pPr>
        <w:ind w:left="5040" w:hanging="360"/>
      </w:pPr>
      <w:rPr>
        <w:rFonts w:ascii="Wingdings" w:hAnsi="Wingdings" w:hint="default"/>
      </w:rPr>
    </w:lvl>
    <w:lvl w:ilvl="6" w:tplc="04260001">
      <w:start w:val="1"/>
      <w:numFmt w:val="bullet"/>
      <w:lvlText w:val=""/>
      <w:lvlJc w:val="left"/>
      <w:pPr>
        <w:ind w:left="5760" w:hanging="360"/>
      </w:pPr>
      <w:rPr>
        <w:rFonts w:ascii="Symbol" w:hAnsi="Symbol" w:hint="default"/>
      </w:rPr>
    </w:lvl>
    <w:lvl w:ilvl="7" w:tplc="04260003">
      <w:start w:val="1"/>
      <w:numFmt w:val="bullet"/>
      <w:lvlText w:val="o"/>
      <w:lvlJc w:val="left"/>
      <w:pPr>
        <w:ind w:left="6480" w:hanging="360"/>
      </w:pPr>
      <w:rPr>
        <w:rFonts w:ascii="Courier New" w:hAnsi="Courier New" w:cs="Courier New" w:hint="default"/>
      </w:rPr>
    </w:lvl>
    <w:lvl w:ilvl="8" w:tplc="04260005">
      <w:start w:val="1"/>
      <w:numFmt w:val="bullet"/>
      <w:lvlText w:val=""/>
      <w:lvlJc w:val="left"/>
      <w:pPr>
        <w:ind w:left="7200" w:hanging="360"/>
      </w:pPr>
      <w:rPr>
        <w:rFonts w:ascii="Wingdings" w:hAnsi="Wingdings" w:hint="default"/>
      </w:rPr>
    </w:lvl>
  </w:abstractNum>
  <w:abstractNum w:abstractNumId="6">
    <w:nsid w:val="4B193003"/>
    <w:multiLevelType w:val="hybridMultilevel"/>
    <w:tmpl w:val="5756F74E"/>
    <w:lvl w:ilvl="0" w:tplc="0426000F">
      <w:start w:val="1"/>
      <w:numFmt w:val="decimal"/>
      <w:lvlText w:val="%1."/>
      <w:lvlJc w:val="left"/>
      <w:pPr>
        <w:ind w:left="786"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4C3C6EC6"/>
    <w:multiLevelType w:val="hybridMultilevel"/>
    <w:tmpl w:val="C5AE309C"/>
    <w:lvl w:ilvl="0" w:tplc="04260017">
      <w:start w:val="1"/>
      <w:numFmt w:val="low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nsid w:val="4D340C3A"/>
    <w:multiLevelType w:val="hybridMultilevel"/>
    <w:tmpl w:val="95E4DE8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nsid w:val="50EB7F18"/>
    <w:multiLevelType w:val="hybridMultilevel"/>
    <w:tmpl w:val="2974B848"/>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nsid w:val="60487770"/>
    <w:multiLevelType w:val="hybridMultilevel"/>
    <w:tmpl w:val="B6E89972"/>
    <w:lvl w:ilvl="0" w:tplc="0426000F">
      <w:start w:val="1"/>
      <w:numFmt w:val="decimal"/>
      <w:lvlText w:val="%1."/>
      <w:lvlJc w:val="left"/>
      <w:pPr>
        <w:ind w:left="1038" w:hanging="360"/>
      </w:pPr>
    </w:lvl>
    <w:lvl w:ilvl="1" w:tplc="04260019" w:tentative="1">
      <w:start w:val="1"/>
      <w:numFmt w:val="lowerLetter"/>
      <w:lvlText w:val="%2."/>
      <w:lvlJc w:val="left"/>
      <w:pPr>
        <w:ind w:left="1758" w:hanging="360"/>
      </w:pPr>
    </w:lvl>
    <w:lvl w:ilvl="2" w:tplc="0426001B" w:tentative="1">
      <w:start w:val="1"/>
      <w:numFmt w:val="lowerRoman"/>
      <w:lvlText w:val="%3."/>
      <w:lvlJc w:val="right"/>
      <w:pPr>
        <w:ind w:left="2478" w:hanging="180"/>
      </w:pPr>
    </w:lvl>
    <w:lvl w:ilvl="3" w:tplc="0426000F" w:tentative="1">
      <w:start w:val="1"/>
      <w:numFmt w:val="decimal"/>
      <w:lvlText w:val="%4."/>
      <w:lvlJc w:val="left"/>
      <w:pPr>
        <w:ind w:left="3198" w:hanging="360"/>
      </w:pPr>
    </w:lvl>
    <w:lvl w:ilvl="4" w:tplc="04260019" w:tentative="1">
      <w:start w:val="1"/>
      <w:numFmt w:val="lowerLetter"/>
      <w:lvlText w:val="%5."/>
      <w:lvlJc w:val="left"/>
      <w:pPr>
        <w:ind w:left="3918" w:hanging="360"/>
      </w:pPr>
    </w:lvl>
    <w:lvl w:ilvl="5" w:tplc="0426001B" w:tentative="1">
      <w:start w:val="1"/>
      <w:numFmt w:val="lowerRoman"/>
      <w:lvlText w:val="%6."/>
      <w:lvlJc w:val="right"/>
      <w:pPr>
        <w:ind w:left="4638" w:hanging="180"/>
      </w:pPr>
    </w:lvl>
    <w:lvl w:ilvl="6" w:tplc="0426000F" w:tentative="1">
      <w:start w:val="1"/>
      <w:numFmt w:val="decimal"/>
      <w:lvlText w:val="%7."/>
      <w:lvlJc w:val="left"/>
      <w:pPr>
        <w:ind w:left="5358" w:hanging="360"/>
      </w:pPr>
    </w:lvl>
    <w:lvl w:ilvl="7" w:tplc="04260019" w:tentative="1">
      <w:start w:val="1"/>
      <w:numFmt w:val="lowerLetter"/>
      <w:lvlText w:val="%8."/>
      <w:lvlJc w:val="left"/>
      <w:pPr>
        <w:ind w:left="6078" w:hanging="360"/>
      </w:pPr>
    </w:lvl>
    <w:lvl w:ilvl="8" w:tplc="0426001B" w:tentative="1">
      <w:start w:val="1"/>
      <w:numFmt w:val="lowerRoman"/>
      <w:lvlText w:val="%9."/>
      <w:lvlJc w:val="right"/>
      <w:pPr>
        <w:ind w:left="6798" w:hanging="180"/>
      </w:pPr>
    </w:lvl>
  </w:abstractNum>
  <w:abstractNum w:abstractNumId="11">
    <w:nsid w:val="776D56AE"/>
    <w:multiLevelType w:val="hybridMultilevel"/>
    <w:tmpl w:val="205EFA4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nsid w:val="78D30CD7"/>
    <w:multiLevelType w:val="hybridMultilevel"/>
    <w:tmpl w:val="6F32386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6"/>
  </w:num>
  <w:num w:numId="2">
    <w:abstractNumId w:val="9"/>
  </w:num>
  <w:num w:numId="3">
    <w:abstractNumId w:val="3"/>
  </w:num>
  <w:num w:numId="4">
    <w:abstractNumId w:val="4"/>
  </w:num>
  <w:num w:numId="5">
    <w:abstractNumId w:val="10"/>
  </w:num>
  <w:num w:numId="6">
    <w:abstractNumId w:va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lvlOverride w:ilvl="2"/>
    <w:lvlOverride w:ilvl="3">
      <w:startOverride w:val="1"/>
    </w:lvlOverride>
    <w:lvlOverride w:ilvl="4"/>
    <w:lvlOverride w:ilvl="5"/>
    <w:lvlOverride w:ilvl="6"/>
    <w:lvlOverride w:ilvl="7"/>
    <w:lvlOverride w:ilvl="8"/>
  </w:num>
  <w:num w:numId="11">
    <w:abstractNumId w:val="11"/>
  </w:num>
  <w:num w:numId="12">
    <w:abstractNumId w:val="7"/>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245"/>
    <w:rsid w:val="00011CA8"/>
    <w:rsid w:val="00053B2B"/>
    <w:rsid w:val="000A4032"/>
    <w:rsid w:val="000B407E"/>
    <w:rsid w:val="000B4DA5"/>
    <w:rsid w:val="000D22D6"/>
    <w:rsid w:val="000E748D"/>
    <w:rsid w:val="001965CC"/>
    <w:rsid w:val="001E76B5"/>
    <w:rsid w:val="00257F88"/>
    <w:rsid w:val="00310D72"/>
    <w:rsid w:val="00337545"/>
    <w:rsid w:val="003F328C"/>
    <w:rsid w:val="004F0805"/>
    <w:rsid w:val="004F7208"/>
    <w:rsid w:val="00512B9B"/>
    <w:rsid w:val="0053782D"/>
    <w:rsid w:val="00610E69"/>
    <w:rsid w:val="006F40FB"/>
    <w:rsid w:val="00761B36"/>
    <w:rsid w:val="0078743A"/>
    <w:rsid w:val="008021E4"/>
    <w:rsid w:val="00806A2B"/>
    <w:rsid w:val="00825195"/>
    <w:rsid w:val="008361DC"/>
    <w:rsid w:val="00846098"/>
    <w:rsid w:val="008858C0"/>
    <w:rsid w:val="008909A5"/>
    <w:rsid w:val="008D0854"/>
    <w:rsid w:val="00935016"/>
    <w:rsid w:val="00982203"/>
    <w:rsid w:val="009D06E5"/>
    <w:rsid w:val="009E575B"/>
    <w:rsid w:val="00A00402"/>
    <w:rsid w:val="00A1486D"/>
    <w:rsid w:val="00A1707A"/>
    <w:rsid w:val="00A74E3C"/>
    <w:rsid w:val="00AB7F39"/>
    <w:rsid w:val="00B14B2B"/>
    <w:rsid w:val="00B67297"/>
    <w:rsid w:val="00BF3231"/>
    <w:rsid w:val="00C14755"/>
    <w:rsid w:val="00C20245"/>
    <w:rsid w:val="00D517A6"/>
    <w:rsid w:val="00D75045"/>
    <w:rsid w:val="00D963C0"/>
    <w:rsid w:val="00DB41EA"/>
    <w:rsid w:val="00DD5487"/>
    <w:rsid w:val="00DF1DEC"/>
    <w:rsid w:val="00DF531C"/>
    <w:rsid w:val="00E14068"/>
    <w:rsid w:val="00E61183"/>
    <w:rsid w:val="00E903EC"/>
    <w:rsid w:val="00EC228D"/>
    <w:rsid w:val="00F13C5E"/>
    <w:rsid w:val="00FC71D0"/>
    <w:rsid w:val="00FE1A9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CA151"/>
  <w15:chartTrackingRefBased/>
  <w15:docId w15:val="{1A5DEB7F-B125-4CD2-A029-02978B774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024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20245"/>
  </w:style>
  <w:style w:type="paragraph" w:styleId="Header">
    <w:name w:val="header"/>
    <w:basedOn w:val="Normal"/>
    <w:link w:val="HeaderChar"/>
    <w:uiPriority w:val="99"/>
    <w:unhideWhenUsed/>
    <w:rsid w:val="00C20245"/>
    <w:pPr>
      <w:tabs>
        <w:tab w:val="center" w:pos="4153"/>
        <w:tab w:val="right" w:pos="8306"/>
      </w:tabs>
    </w:pPr>
  </w:style>
  <w:style w:type="character" w:customStyle="1" w:styleId="HeaderChar">
    <w:name w:val="Header Char"/>
    <w:basedOn w:val="DefaultParagraphFont"/>
    <w:link w:val="Header"/>
    <w:uiPriority w:val="99"/>
    <w:rsid w:val="00C20245"/>
  </w:style>
  <w:style w:type="paragraph" w:styleId="Footer">
    <w:name w:val="footer"/>
    <w:basedOn w:val="Normal"/>
    <w:link w:val="FooterChar"/>
    <w:uiPriority w:val="99"/>
    <w:unhideWhenUsed/>
    <w:rsid w:val="00C20245"/>
    <w:pPr>
      <w:tabs>
        <w:tab w:val="center" w:pos="4153"/>
        <w:tab w:val="right" w:pos="8306"/>
      </w:tabs>
    </w:pPr>
  </w:style>
  <w:style w:type="character" w:customStyle="1" w:styleId="FooterChar">
    <w:name w:val="Footer Char"/>
    <w:basedOn w:val="DefaultParagraphFont"/>
    <w:link w:val="Footer"/>
    <w:uiPriority w:val="99"/>
    <w:rsid w:val="00C20245"/>
  </w:style>
  <w:style w:type="table" w:styleId="TableGrid">
    <w:name w:val="Table Grid"/>
    <w:basedOn w:val="TableNormal"/>
    <w:uiPriority w:val="59"/>
    <w:rsid w:val="008D08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D0854"/>
    <w:pPr>
      <w:autoSpaceDE w:val="0"/>
      <w:autoSpaceDN w:val="0"/>
      <w:adjustRightInd w:val="0"/>
    </w:pPr>
    <w:rPr>
      <w:rFonts w:cs="Times New Roman"/>
      <w:color w:val="000000"/>
      <w:szCs w:val="24"/>
    </w:rPr>
  </w:style>
  <w:style w:type="paragraph" w:styleId="BalloonText">
    <w:name w:val="Balloon Text"/>
    <w:basedOn w:val="Normal"/>
    <w:link w:val="BalloonTextChar"/>
    <w:uiPriority w:val="99"/>
    <w:semiHidden/>
    <w:unhideWhenUsed/>
    <w:rsid w:val="000B407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407E"/>
    <w:rPr>
      <w:rFonts w:ascii="Segoe UI" w:hAnsi="Segoe UI" w:cs="Segoe UI"/>
      <w:sz w:val="18"/>
      <w:szCs w:val="18"/>
    </w:rPr>
  </w:style>
  <w:style w:type="paragraph" w:styleId="FootnoteText">
    <w:name w:val="footnote text"/>
    <w:aliases w:val="Footnote,Fußnote,-E Fußnotentext,Fußnotentext Ursprung,footnote text,Footnote Text Char1 Char Char Char Char Char Char Char Char Char Char Char,Footnote Text Char Char Char Char Char Char Char Char Char Char Char Char Char,Char, Char"/>
    <w:basedOn w:val="Normal"/>
    <w:link w:val="FootnoteTextChar"/>
    <w:uiPriority w:val="99"/>
    <w:rsid w:val="00A1707A"/>
    <w:rPr>
      <w:rFonts w:eastAsia="Times New Roman" w:cs="Times New Roman"/>
      <w:sz w:val="20"/>
      <w:szCs w:val="20"/>
      <w:lang w:val="en-GB"/>
    </w:rPr>
  </w:style>
  <w:style w:type="character" w:customStyle="1" w:styleId="FootnoteTextChar">
    <w:name w:val="Footnote Text Char"/>
    <w:aliases w:val="Footnote Char,Fußnote Char,-E Fußnotentext Char,Fußnotentext Ursprung Char,footnote text Char,Footnote Text Char1 Char Char Char Char Char Char Char Char Char Char Char Char,Char Char, Char Char"/>
    <w:basedOn w:val="DefaultParagraphFont"/>
    <w:link w:val="FootnoteText"/>
    <w:uiPriority w:val="99"/>
    <w:rsid w:val="00A1707A"/>
    <w:rPr>
      <w:rFonts w:eastAsia="Times New Roman" w:cs="Times New Roman"/>
      <w:sz w:val="20"/>
      <w:szCs w:val="20"/>
      <w:lang w:val="en-GB"/>
    </w:rPr>
  </w:style>
  <w:style w:type="character" w:styleId="FootnoteReference">
    <w:name w:val="footnote reference"/>
    <w:aliases w:val="Footnote Reference Number,Footnote symbol"/>
    <w:uiPriority w:val="99"/>
    <w:unhideWhenUsed/>
    <w:rsid w:val="00A1707A"/>
    <w:rPr>
      <w:vertAlign w:val="superscript"/>
    </w:rPr>
  </w:style>
  <w:style w:type="character" w:styleId="Hyperlink">
    <w:name w:val="Hyperlink"/>
    <w:uiPriority w:val="99"/>
    <w:unhideWhenUsed/>
    <w:rsid w:val="00337545"/>
    <w:rPr>
      <w:color w:val="0000FF"/>
      <w:u w:val="single"/>
    </w:rPr>
  </w:style>
  <w:style w:type="table" w:customStyle="1" w:styleId="TableGrid7">
    <w:name w:val="Table Grid7"/>
    <w:basedOn w:val="TableNormal"/>
    <w:next w:val="TableGrid"/>
    <w:uiPriority w:val="59"/>
    <w:rsid w:val="00FE1A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H&amp;P List Paragraph"/>
    <w:basedOn w:val="Normal"/>
    <w:link w:val="ListParagraphChar"/>
    <w:uiPriority w:val="34"/>
    <w:qFormat/>
    <w:rsid w:val="001965CC"/>
    <w:pPr>
      <w:ind w:left="720"/>
      <w:contextualSpacing/>
    </w:pPr>
  </w:style>
  <w:style w:type="character" w:customStyle="1" w:styleId="ListParagraphChar">
    <w:name w:val="List Paragraph Char"/>
    <w:aliases w:val="H&amp;P List Paragraph Char"/>
    <w:link w:val="ListParagraph"/>
    <w:uiPriority w:val="34"/>
    <w:locked/>
    <w:rsid w:val="001965CC"/>
  </w:style>
  <w:style w:type="character" w:styleId="Strong">
    <w:name w:val="Strong"/>
    <w:basedOn w:val="DefaultParagraphFont"/>
    <w:uiPriority w:val="22"/>
    <w:qFormat/>
    <w:rsid w:val="001E76B5"/>
    <w:rPr>
      <w:b/>
      <w:bCs/>
    </w:rPr>
  </w:style>
  <w:style w:type="character" w:styleId="CommentReference">
    <w:name w:val="annotation reference"/>
    <w:basedOn w:val="DefaultParagraphFont"/>
    <w:uiPriority w:val="99"/>
    <w:semiHidden/>
    <w:unhideWhenUsed/>
    <w:rsid w:val="00806A2B"/>
    <w:rPr>
      <w:sz w:val="16"/>
      <w:szCs w:val="16"/>
    </w:rPr>
  </w:style>
  <w:style w:type="paragraph" w:styleId="CommentText">
    <w:name w:val="annotation text"/>
    <w:basedOn w:val="Normal"/>
    <w:link w:val="CommentTextChar"/>
    <w:uiPriority w:val="99"/>
    <w:semiHidden/>
    <w:unhideWhenUsed/>
    <w:rsid w:val="00806A2B"/>
    <w:rPr>
      <w:sz w:val="20"/>
      <w:szCs w:val="20"/>
    </w:rPr>
  </w:style>
  <w:style w:type="character" w:customStyle="1" w:styleId="CommentTextChar">
    <w:name w:val="Comment Text Char"/>
    <w:basedOn w:val="DefaultParagraphFont"/>
    <w:link w:val="CommentText"/>
    <w:uiPriority w:val="99"/>
    <w:semiHidden/>
    <w:rsid w:val="00806A2B"/>
    <w:rPr>
      <w:sz w:val="20"/>
      <w:szCs w:val="20"/>
    </w:rPr>
  </w:style>
  <w:style w:type="paragraph" w:styleId="CommentSubject">
    <w:name w:val="annotation subject"/>
    <w:basedOn w:val="CommentText"/>
    <w:next w:val="CommentText"/>
    <w:link w:val="CommentSubjectChar"/>
    <w:uiPriority w:val="99"/>
    <w:semiHidden/>
    <w:unhideWhenUsed/>
    <w:rsid w:val="00806A2B"/>
    <w:rPr>
      <w:b/>
      <w:bCs/>
    </w:rPr>
  </w:style>
  <w:style w:type="character" w:customStyle="1" w:styleId="CommentSubjectChar">
    <w:name w:val="Comment Subject Char"/>
    <w:basedOn w:val="CommentTextChar"/>
    <w:link w:val="CommentSubject"/>
    <w:uiPriority w:val="99"/>
    <w:semiHidden/>
    <w:rsid w:val="00806A2B"/>
    <w:rPr>
      <w:b/>
      <w:bCs/>
      <w:sz w:val="20"/>
      <w:szCs w:val="20"/>
    </w:rPr>
  </w:style>
  <w:style w:type="table" w:customStyle="1" w:styleId="TableGrid72">
    <w:name w:val="Table Grid72"/>
    <w:basedOn w:val="TableNormal"/>
    <w:next w:val="TableGrid"/>
    <w:uiPriority w:val="59"/>
    <w:rsid w:val="00257F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642AA9-24E1-4D8C-984B-2386DD362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339</TotalTime>
  <Pages>7</Pages>
  <Words>12316</Words>
  <Characters>7021</Characters>
  <Application>Microsoft Office Word</Application>
  <DocSecurity>0</DocSecurity>
  <Lines>58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ieva.purina@fm.gov.lv</dc:creator>
  <cp:keywords/>
  <dc:description/>
  <cp:lastModifiedBy>Ieva Ziepniece</cp:lastModifiedBy>
  <cp:revision>45</cp:revision>
  <cp:lastPrinted>2017-03-29T11:01:00Z</cp:lastPrinted>
  <dcterms:created xsi:type="dcterms:W3CDTF">2014-03-18T06:33:00Z</dcterms:created>
  <dcterms:modified xsi:type="dcterms:W3CDTF">2017-03-29T11:02:00Z</dcterms:modified>
</cp:coreProperties>
</file>