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8E132" w14:textId="77777777" w:rsidR="006C718D" w:rsidRDefault="00420522" w:rsidP="00420522">
      <w:pPr>
        <w:pStyle w:val="Heading1"/>
        <w:pBdr>
          <w:bottom w:val="single" w:sz="18" w:space="1" w:color="2F5496" w:themeColor="accent1" w:themeShade="BF"/>
        </w:pBdr>
        <w:rPr>
          <w:rFonts w:ascii="Arial" w:eastAsia="Times New Roman" w:hAnsi="Arial" w:cs="Arial"/>
          <w:caps/>
          <w:sz w:val="24"/>
          <w:szCs w:val="24"/>
          <w:lang w:val="lv-LV" w:eastAsia="lv-LV"/>
        </w:rPr>
      </w:pPr>
      <w:r w:rsidRPr="00B31C00">
        <w:rPr>
          <w:rFonts w:ascii="Arial" w:eastAsia="Times New Roman" w:hAnsi="Arial" w:cs="Arial"/>
          <w:caps/>
          <w:sz w:val="24"/>
          <w:szCs w:val="24"/>
          <w:lang w:val="lv-LV" w:eastAsia="lv-LV"/>
        </w:rPr>
        <w:t xml:space="preserve">Pielikums Nr.8 </w:t>
      </w:r>
    </w:p>
    <w:p w14:paraId="1B24D08C" w14:textId="5F942363" w:rsidR="00420522" w:rsidRPr="00B31C00" w:rsidRDefault="00420522" w:rsidP="00420522">
      <w:pPr>
        <w:pStyle w:val="Heading1"/>
        <w:pBdr>
          <w:bottom w:val="single" w:sz="18" w:space="1" w:color="2F5496" w:themeColor="accent1" w:themeShade="BF"/>
        </w:pBdr>
        <w:rPr>
          <w:rFonts w:ascii="Arial" w:eastAsia="Times New Roman" w:hAnsi="Arial" w:cs="Arial"/>
          <w:caps/>
          <w:sz w:val="24"/>
          <w:szCs w:val="24"/>
          <w:lang w:val="lv-LV" w:eastAsia="lv-LV"/>
        </w:rPr>
      </w:pPr>
      <w:r w:rsidRPr="00B31C00">
        <w:rPr>
          <w:rFonts w:ascii="Arial" w:eastAsia="Times New Roman" w:hAnsi="Arial" w:cs="Arial"/>
          <w:caps/>
          <w:sz w:val="24"/>
          <w:szCs w:val="24"/>
          <w:lang w:val="lv-LV" w:eastAsia="lv-LV"/>
        </w:rPr>
        <w:t xml:space="preserve">Eiropas infrastruktūras savienošanas instrumenta projektu iespējas </w:t>
      </w:r>
    </w:p>
    <w:p w14:paraId="6E6138B7" w14:textId="77777777" w:rsidR="00420522" w:rsidRPr="00B31C00" w:rsidRDefault="00420522" w:rsidP="00420522">
      <w:pPr>
        <w:rPr>
          <w:rFonts w:ascii="Arial" w:hAnsi="Arial" w:cs="Arial"/>
          <w:sz w:val="20"/>
          <w:szCs w:val="20"/>
          <w:lang w:val="lv-LV"/>
        </w:rPr>
      </w:pPr>
    </w:p>
    <w:p w14:paraId="761598F5" w14:textId="5970F43D" w:rsidR="009E5DC9" w:rsidRPr="00B31C00" w:rsidRDefault="004500B5" w:rsidP="00B10B2F">
      <w:pPr>
        <w:pStyle w:val="Heading2"/>
        <w:spacing w:before="0" w:after="120" w:line="240" w:lineRule="auto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t>Vispārēja i</w:t>
      </w:r>
      <w:r w:rsidR="00F3555A" w:rsidRPr="00B31C00">
        <w:rPr>
          <w:rFonts w:ascii="Arial" w:hAnsi="Arial" w:cs="Arial"/>
          <w:lang w:val="lv-LV"/>
        </w:rPr>
        <w:t xml:space="preserve">nformācija par </w:t>
      </w:r>
      <w:r w:rsidR="00B10B2F" w:rsidRPr="00B31C00">
        <w:rPr>
          <w:rFonts w:ascii="Arial" w:hAnsi="Arial" w:cs="Arial"/>
          <w:lang w:val="lv-LV"/>
        </w:rPr>
        <w:t>Eiropas infrastruktūras savienošanas instrumenta (EISI)</w:t>
      </w:r>
    </w:p>
    <w:p w14:paraId="6C6C6228" w14:textId="6FB68966" w:rsidR="00976F51" w:rsidRPr="00B31C00" w:rsidRDefault="00B10B2F" w:rsidP="00976F51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9E5DC9"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1"/>
      </w:r>
      <w:r w:rsidR="0062624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2E11B0" w:rsidRPr="002E11B0">
        <w:rPr>
          <w:rFonts w:ascii="Arial" w:hAnsi="Arial" w:cs="Arial"/>
          <w:color w:val="5E6175"/>
          <w:sz w:val="20"/>
          <w:szCs w:val="20"/>
          <w:lang w:val="lv-LV"/>
        </w:rPr>
        <w:t>ir Eiropas Savienības finanšu instruments Eiropas infrastruktūras savienošanai, lai nodrošinātu investīcijas transportā (CEF Transports), enerģētikā (CEF Enerģija) un digitālajā infrastruktūrā (CEF Telekomunikācijas)</w:t>
      </w:r>
      <w:r w:rsidR="00E01154">
        <w:rPr>
          <w:rFonts w:ascii="Arial" w:hAnsi="Arial" w:cs="Arial"/>
          <w:color w:val="5E6175"/>
          <w:sz w:val="20"/>
          <w:szCs w:val="20"/>
          <w:lang w:val="lv-LV"/>
        </w:rPr>
        <w:t xml:space="preserve">. </w:t>
      </w:r>
      <w:bookmarkStart w:id="0" w:name="_GoBack"/>
      <w:bookmarkEnd w:id="0"/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976F5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finansiālais atbalsts:</w:t>
      </w:r>
    </w:p>
    <w:p w14:paraId="14FE7CA3" w14:textId="52FF5195" w:rsidR="00976F51" w:rsidRPr="00B31C00" w:rsidRDefault="00976F51" w:rsidP="007A51B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Dotācijas</w:t>
      </w:r>
      <w:r w:rsidRPr="00B31C00">
        <w:rPr>
          <w:rFonts w:ascii="Arial" w:hAnsi="Arial" w:cs="Arial"/>
          <w:sz w:val="20"/>
          <w:szCs w:val="20"/>
          <w:lang w:val="lv-LV"/>
        </w:rPr>
        <w:t xml:space="preserve">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(neatmaksājamas investīcijas no ES budžeta), k</w:t>
      </w:r>
      <w:r w:rsidR="00363B59" w:rsidRPr="00B31C00">
        <w:rPr>
          <w:rFonts w:ascii="Arial" w:hAnsi="Arial" w:cs="Arial"/>
          <w:color w:val="5E6175"/>
          <w:sz w:val="20"/>
          <w:szCs w:val="20"/>
          <w:lang w:val="lv-LV"/>
        </w:rPr>
        <w:t>as pieejamas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konkursa kārtībā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>,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pamatojoties uz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projektu uzsaukumiem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02004678" w14:textId="18416393" w:rsidR="00976F51" w:rsidRPr="00B31C00" w:rsidRDefault="00976F51" w:rsidP="007A51B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Programmas atbalsta pasākumi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, kuru mērķis ir atbalstīt dalībvalstu administrācijas vai to pakļautībā esošās iestādes, lai palīdzētu tām sasniegt vispārējos TEN-T un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mērķus, kā arī pētījumus un IT atbalstu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programmai.</w:t>
      </w:r>
    </w:p>
    <w:p w14:paraId="5F9C277C" w14:textId="77777777" w:rsidR="00976F51" w:rsidRPr="00B31C00" w:rsidRDefault="00976F51" w:rsidP="007A51B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ES ieguldījums novatoriskos finanšu instrumentos</w:t>
      </w:r>
      <w:r w:rsidRPr="00B31C00">
        <w:rPr>
          <w:rFonts w:ascii="Arial" w:hAnsi="Arial" w:cs="Arial"/>
          <w:b/>
          <w:color w:val="5E6175"/>
          <w:sz w:val="20"/>
          <w:szCs w:val="20"/>
          <w:lang w:val="lv-LV"/>
        </w:rPr>
        <w:t>.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Šie instrumenti tiek izstrādāti kopā ar finanšu iestādēm, piemēram, ar Eiropas Investīciju banku (EIB) kā Komisijas partneri. Tie 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parasti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ir riska dalīšanas mehānismi un ietver garantijas, aizdevumus un projektu obligācijas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04A39B3E" w14:textId="34F42CE1" w:rsidR="00F61200" w:rsidRPr="00B31C00" w:rsidRDefault="004500B5" w:rsidP="008C0C4C">
      <w:pPr>
        <w:pStyle w:val="Heading2"/>
        <w:spacing w:before="0" w:after="120" w:line="240" w:lineRule="auto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t>I</w:t>
      </w:r>
      <w:r w:rsidR="00F61200" w:rsidRPr="00B31C00">
        <w:rPr>
          <w:rFonts w:ascii="Arial" w:hAnsi="Arial" w:cs="Arial"/>
          <w:lang w:val="lv-LV"/>
        </w:rPr>
        <w:t xml:space="preserve">nformācija par </w:t>
      </w:r>
      <w:r w:rsidR="008C0C4C" w:rsidRPr="00B31C00">
        <w:rPr>
          <w:rFonts w:ascii="Arial" w:hAnsi="Arial" w:cs="Arial"/>
          <w:lang w:val="lv-LV"/>
        </w:rPr>
        <w:t xml:space="preserve">EISI </w:t>
      </w:r>
      <w:r w:rsidR="00F61200" w:rsidRPr="00B31C00">
        <w:rPr>
          <w:rFonts w:ascii="Arial" w:hAnsi="Arial" w:cs="Arial"/>
          <w:lang w:val="lv-LV"/>
        </w:rPr>
        <w:t>Transport</w:t>
      </w:r>
      <w:r w:rsidR="008C0C4C" w:rsidRPr="00B31C00">
        <w:rPr>
          <w:rFonts w:ascii="Arial" w:hAnsi="Arial" w:cs="Arial"/>
          <w:lang w:val="lv-LV"/>
        </w:rPr>
        <w:t>a</w:t>
      </w:r>
      <w:r w:rsidR="00EA44AD" w:rsidRPr="00B31C00">
        <w:rPr>
          <w:rFonts w:ascii="Arial" w:hAnsi="Arial" w:cs="Arial"/>
          <w:lang w:val="lv-LV"/>
        </w:rPr>
        <w:t xml:space="preserve"> sektoru</w:t>
      </w:r>
    </w:p>
    <w:p w14:paraId="13873FD1" w14:textId="4E00C8F6" w:rsidR="007A51B2" w:rsidRPr="00B31C00" w:rsidRDefault="00B10B2F" w:rsidP="007A51B2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budžets transporta nozarei (</w:t>
      </w:r>
      <w:r w:rsidR="007A51B2" w:rsidRPr="00B31C00">
        <w:rPr>
          <w:rFonts w:ascii="Arial" w:hAnsi="Arial" w:cs="Arial"/>
          <w:i/>
          <w:color w:val="5E6175"/>
          <w:sz w:val="20"/>
          <w:szCs w:val="20"/>
          <w:lang w:val="lv-LV"/>
        </w:rPr>
        <w:t>CEF Transport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, TEN-T)</w:t>
      </w:r>
      <w:r w:rsidR="004500B5"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2"/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laika posmā no 2014. līdz 2020. gadam ir </w:t>
      </w:r>
      <w:bookmarkStart w:id="1" w:name="_Hlk503528341"/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24,05 miljardi eiro</w:t>
      </w:r>
      <w:bookmarkEnd w:id="1"/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. Tas ir sadalīts divās "aploksnēs":</w:t>
      </w:r>
    </w:p>
    <w:p w14:paraId="46A7E16F" w14:textId="27E99ABF" w:rsidR="007A51B2" w:rsidRPr="00B31C00" w:rsidRDefault="00BE20E7" w:rsidP="007A51B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V</w:t>
      </w:r>
      <w:r w:rsidR="007A51B2"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ispārējs finansējums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, kas pieejams visām dalībvalstīm</w:t>
      </w:r>
      <w:r w:rsidR="00363B59" w:rsidRPr="00B31C00">
        <w:rPr>
          <w:rFonts w:ascii="Arial" w:hAnsi="Arial" w:cs="Arial"/>
          <w:color w:val="5E6175"/>
          <w:sz w:val="20"/>
          <w:szCs w:val="20"/>
          <w:lang w:val="lv-LV"/>
        </w:rPr>
        <w:t>;</w:t>
      </w:r>
    </w:p>
    <w:p w14:paraId="3180351E" w14:textId="77777777" w:rsidR="007A51B2" w:rsidRPr="00B31C00" w:rsidRDefault="007A51B2" w:rsidP="007A51B2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4472C4" w:themeColor="accent1"/>
          <w:sz w:val="20"/>
          <w:szCs w:val="20"/>
          <w:lang w:val="lv-LV"/>
        </w:rPr>
        <w:t>Kohēzijas fonds</w:t>
      </w:r>
      <w:r w:rsidRPr="00B31C00">
        <w:rPr>
          <w:rFonts w:ascii="Arial" w:hAnsi="Arial" w:cs="Arial"/>
          <w:sz w:val="20"/>
          <w:szCs w:val="20"/>
          <w:lang w:val="lv-LV"/>
        </w:rPr>
        <w:t xml:space="preserve">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ir 11,305 miljardi eiro, kas ir pieejams Kohēzijas dalībvalstīm.</w:t>
      </w:r>
    </w:p>
    <w:p w14:paraId="1E8298EA" w14:textId="5B959669" w:rsidR="00F61200" w:rsidRPr="00B31C00" w:rsidRDefault="00F61200" w:rsidP="007A51B2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Par dotācij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u ietvaru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22,4 miljardu eiro apjomā ir atbildīga Eiropas Inovāciju un tīklu izpildaģentūra (INNOVATION AND NETWORKS EXECUTIVE AGENCY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>, INEA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)</w:t>
      </w:r>
      <w:r w:rsidR="00363B59"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3"/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13311AC2" w14:textId="71BAAB7B" w:rsidR="007A51B2" w:rsidRPr="00B31C00" w:rsidRDefault="00B10B2F" w:rsidP="007A51B2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4500B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sektora </w:t>
      </w:r>
      <w:r w:rsidR="004500B5" w:rsidRPr="00B31C00">
        <w:rPr>
          <w:rFonts w:ascii="Arial" w:hAnsi="Arial" w:cs="Arial"/>
          <w:color w:val="5E6175"/>
          <w:sz w:val="20"/>
          <w:szCs w:val="20"/>
          <w:lang w:val="lv-LV"/>
        </w:rPr>
        <w:t>budžet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mērķis ir atbalstīt ieguldījumus jaunas transporta infrastruktūras izveidē Eiropā vai esošās 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infrastruktūras 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rekonstruēšanu un modernizāciju.</w:t>
      </w:r>
      <w:r w:rsidR="004500B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>Konkrēti šie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mērķi paredz:</w:t>
      </w:r>
    </w:p>
    <w:p w14:paraId="5DDC3E78" w14:textId="4E1C6D79" w:rsidR="007A51B2" w:rsidRPr="00B31C00" w:rsidRDefault="008C0C4C" w:rsidP="00F6120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l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īdz 2030. gadam pabeigt </w:t>
      </w:r>
      <w:bookmarkStart w:id="2" w:name="_Hlk503355117"/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>T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ransporta 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P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amattīkl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>u</w:t>
      </w:r>
      <w:bookmarkEnd w:id="2"/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, kas sastāv no deviņiem multimodālajiem pamattīkla koridoriem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;</w:t>
      </w:r>
    </w:p>
    <w:p w14:paraId="6555720F" w14:textId="343C737A" w:rsidR="007A51B2" w:rsidRPr="00B31C00" w:rsidRDefault="008C0C4C" w:rsidP="00F61200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l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īdz 2050. gadam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pabeigt Visaptveroš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>o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>T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ransporta 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>T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īkl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>u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>, lai atvieglotu piekļuvi visiem Eiropas reģioniem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  <w:r w:rsidR="007A51B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</w:p>
    <w:p w14:paraId="1A059BF1" w14:textId="7FFD56B4" w:rsidR="00F61200" w:rsidRPr="00B31C00" w:rsidRDefault="00B10B2F" w:rsidP="00F61200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sektors 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koncentrējas uz pārrobežu projektiem un projektiem, kuru mērķis ir likvidēt </w:t>
      </w:r>
      <w:r w:rsidR="00F61200" w:rsidRPr="00B31C00">
        <w:rPr>
          <w:rFonts w:ascii="Arial" w:hAnsi="Arial" w:cs="Arial"/>
          <w:i/>
          <w:color w:val="5E6175"/>
          <w:sz w:val="20"/>
          <w:szCs w:val="20"/>
          <w:lang w:val="lv-LV"/>
        </w:rPr>
        <w:t>vājās vietas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vai savienot trūkstošos posmus Pamattīklā un Visaptverošajā tīklā, kā arī uz horizontālām prioritātēm, tādām kā satiksmes pārvaldības sistēm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as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643C3501" w14:textId="1AFA73F1" w:rsidR="003D3384" w:rsidRPr="00B31C00" w:rsidRDefault="00B10B2F" w:rsidP="00CA1F1D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>s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atbalsta 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arī </w:t>
      </w:r>
      <w:r w:rsidR="00F61200" w:rsidRPr="00B31C00">
        <w:rPr>
          <w:rFonts w:ascii="Arial" w:hAnsi="Arial" w:cs="Arial"/>
          <w:color w:val="5E6175"/>
          <w:sz w:val="20"/>
          <w:szCs w:val="20"/>
          <w:lang w:val="lv-LV"/>
        </w:rPr>
        <w:t>transporta sistēmas inovācijas, lai uzlabotu infrastruktūras izmantošanu, samazinātu transporta ietekmi uz vidi, uzlabotu energoefektivitāti un palielinātu drošību.</w:t>
      </w:r>
    </w:p>
    <w:p w14:paraId="63E8B14D" w14:textId="0D675226" w:rsidR="00A52755" w:rsidRPr="00B31C00" w:rsidRDefault="00A52755" w:rsidP="008C0C4C">
      <w:pPr>
        <w:pStyle w:val="Heading2"/>
        <w:spacing w:before="0" w:after="120" w:line="240" w:lineRule="auto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t>Informācija par</w:t>
      </w:r>
      <w:bookmarkStart w:id="3" w:name="_Hlk505604510"/>
      <w:r w:rsidR="00B10B2F" w:rsidRPr="00B31C00">
        <w:rPr>
          <w:rFonts w:ascii="Arial" w:hAnsi="Arial" w:cs="Arial"/>
          <w:lang w:val="lv-LV"/>
        </w:rPr>
        <w:t xml:space="preserve"> EISI </w:t>
      </w:r>
      <w:r w:rsidRPr="00B31C00">
        <w:rPr>
          <w:rFonts w:ascii="Arial" w:hAnsi="Arial" w:cs="Arial"/>
          <w:lang w:val="lv-LV"/>
        </w:rPr>
        <w:t>– Jūras m</w:t>
      </w:r>
      <w:r w:rsidR="009D154B" w:rsidRPr="00B31C00">
        <w:rPr>
          <w:rFonts w:ascii="Arial" w:hAnsi="Arial" w:cs="Arial"/>
          <w:lang w:val="lv-LV"/>
        </w:rPr>
        <w:t>aģistrāles</w:t>
      </w:r>
      <w:bookmarkEnd w:id="3"/>
    </w:p>
    <w:p w14:paraId="10BE3EB2" w14:textId="55128082" w:rsidR="00A52755" w:rsidRPr="00B31C00" w:rsidRDefault="00B10B2F" w:rsidP="00A52755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Jūras m</w:t>
      </w:r>
      <w:r w:rsidR="009D154B" w:rsidRPr="00B31C00">
        <w:rPr>
          <w:rFonts w:ascii="Arial" w:hAnsi="Arial" w:cs="Arial"/>
          <w:color w:val="5E6175"/>
          <w:sz w:val="20"/>
          <w:szCs w:val="20"/>
          <w:lang w:val="lv-LV"/>
        </w:rPr>
        <w:t>aģistrāles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(Motorways of the Sea) ir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horizontālā prioritāte ar mērķi veicināt videi draudzīgus, dzīvotspējīgus, pievilcīgus un efektīvus jūras transporta savienojumus, kas integrēti 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lastRenderedPageBreak/>
        <w:t xml:space="preserve">visā transporta ķēdē. 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Jūras maģistrāles 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ir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jūras</w:t>
      </w:r>
      <w:r w:rsidR="00976AF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transporta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pīlārs</w:t>
      </w:r>
      <w:r w:rsidR="00A52755"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4"/>
      </w:r>
      <w:r w:rsidR="00A52755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  <w:r w:rsidR="00335D1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Jūras maģistrāļu plāns </w:t>
      </w:r>
      <w:r w:rsidR="00335D1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tiek finansēts no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="00335D1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335D1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līdzekļiem.</w:t>
      </w:r>
    </w:p>
    <w:p w14:paraId="74CA5A00" w14:textId="59E4408E" w:rsidR="004500B5" w:rsidRPr="00B31C00" w:rsidRDefault="004500B5" w:rsidP="008C0C4C">
      <w:pPr>
        <w:pStyle w:val="Heading2"/>
        <w:spacing w:before="0" w:after="120" w:line="240" w:lineRule="auto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t xml:space="preserve">Pieteikšanās </w:t>
      </w:r>
      <w:r w:rsidR="009B6F0A" w:rsidRPr="00B31C00">
        <w:rPr>
          <w:rFonts w:ascii="Arial" w:hAnsi="Arial" w:cs="Arial"/>
          <w:lang w:val="lv-LV"/>
        </w:rPr>
        <w:t>EISI</w:t>
      </w:r>
      <w:r w:rsidRPr="00B31C00">
        <w:rPr>
          <w:rFonts w:ascii="Arial" w:hAnsi="Arial" w:cs="Arial"/>
          <w:lang w:val="lv-LV"/>
        </w:rPr>
        <w:t xml:space="preserve"> Transport</w:t>
      </w:r>
      <w:r w:rsidR="009B6F0A" w:rsidRPr="00B31C00">
        <w:rPr>
          <w:rFonts w:ascii="Arial" w:hAnsi="Arial" w:cs="Arial"/>
          <w:lang w:val="lv-LV"/>
        </w:rPr>
        <w:t>a</w:t>
      </w:r>
      <w:r w:rsidRPr="00B31C00">
        <w:rPr>
          <w:rFonts w:ascii="Arial" w:hAnsi="Arial" w:cs="Arial"/>
          <w:lang w:val="lv-LV"/>
        </w:rPr>
        <w:t xml:space="preserve"> fin</w:t>
      </w:r>
      <w:r w:rsidR="00EA44AD" w:rsidRPr="00B31C00">
        <w:rPr>
          <w:rFonts w:ascii="Arial" w:hAnsi="Arial" w:cs="Arial"/>
          <w:lang w:val="lv-LV"/>
        </w:rPr>
        <w:t>a</w:t>
      </w:r>
      <w:r w:rsidRPr="00B31C00">
        <w:rPr>
          <w:rFonts w:ascii="Arial" w:hAnsi="Arial" w:cs="Arial"/>
          <w:lang w:val="lv-LV"/>
        </w:rPr>
        <w:t>nsējumam</w:t>
      </w:r>
    </w:p>
    <w:p w14:paraId="11EBAEC2" w14:textId="77777777" w:rsidR="004500B5" w:rsidRPr="00B31C00" w:rsidRDefault="004500B5" w:rsidP="004500B5">
      <w:p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Pieteikšanās process sastāv no šādiem soļiem:</w:t>
      </w:r>
    </w:p>
    <w:p w14:paraId="199C0C97" w14:textId="77777777" w:rsidR="004500B5" w:rsidRPr="00B31C00" w:rsidRDefault="004500B5" w:rsidP="003604B5">
      <w:pPr>
        <w:pStyle w:val="ListParagraph"/>
        <w:numPr>
          <w:ilvl w:val="0"/>
          <w:numId w:val="10"/>
        </w:num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Identificēt atbilstošu projektu uzsaukumu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>;</w:t>
      </w:r>
    </w:p>
    <w:p w14:paraId="129BB49B" w14:textId="77777777" w:rsidR="004500B5" w:rsidRPr="00B31C00" w:rsidRDefault="004500B5" w:rsidP="003604B5">
      <w:pPr>
        <w:pStyle w:val="ListParagraph"/>
        <w:numPr>
          <w:ilvl w:val="0"/>
          <w:numId w:val="10"/>
        </w:num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Iepazīties ar uzsaukuma dokumentāciju un sagatavot piedāvājumu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>;</w:t>
      </w:r>
    </w:p>
    <w:p w14:paraId="7A6C572D" w14:textId="77777777" w:rsidR="004500B5" w:rsidRPr="00B31C00" w:rsidRDefault="004500B5" w:rsidP="003604B5">
      <w:pPr>
        <w:pStyle w:val="ListParagraph"/>
        <w:numPr>
          <w:ilvl w:val="0"/>
          <w:numId w:val="10"/>
        </w:num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Iesniegt piedāvājumu tiešsaistē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>;</w:t>
      </w:r>
    </w:p>
    <w:p w14:paraId="29595462" w14:textId="77777777" w:rsidR="004500B5" w:rsidRPr="00B31C00" w:rsidRDefault="003604B5" w:rsidP="003604B5">
      <w:pPr>
        <w:pStyle w:val="ListParagraph"/>
        <w:numPr>
          <w:ilvl w:val="0"/>
          <w:numId w:val="10"/>
        </w:num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Gaidīt</w:t>
      </w:r>
      <w:r w:rsidR="004500B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informāciju par novērtējuma rezultātiem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6306F0F7" w14:textId="5D9F3F2D" w:rsidR="003604B5" w:rsidRPr="00B31C00" w:rsidRDefault="003604B5" w:rsidP="004500B5">
      <w:pPr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Pieteikuma iesniedzējiem jāiepazīstas ar dokumentiem par juridiskajiem aspektiem attiecībā uz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vispār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īgi</w:t>
      </w:r>
      <w:r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5"/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un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8C0C4C" w:rsidRPr="00B31C00">
        <w:rPr>
          <w:rFonts w:ascii="Arial" w:hAnsi="Arial" w:cs="Arial"/>
          <w:color w:val="5E6175"/>
          <w:sz w:val="20"/>
          <w:szCs w:val="20"/>
          <w:lang w:val="lv-LV"/>
        </w:rPr>
        <w:t>s</w:t>
      </w:r>
      <w:r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6"/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</w:p>
    <w:p w14:paraId="1C572ADE" w14:textId="028B26FA" w:rsidR="00882E41" w:rsidRPr="00B31C00" w:rsidRDefault="00882E41" w:rsidP="009B6F0A">
      <w:pPr>
        <w:pStyle w:val="Heading2"/>
        <w:spacing w:before="0" w:after="120" w:line="240" w:lineRule="auto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t xml:space="preserve">Esošie </w:t>
      </w:r>
      <w:r w:rsidR="00B10B2F" w:rsidRPr="00B31C00">
        <w:rPr>
          <w:rFonts w:ascii="Arial" w:hAnsi="Arial" w:cs="Arial"/>
          <w:lang w:val="lv-LV"/>
        </w:rPr>
        <w:t>EISI</w:t>
      </w:r>
      <w:r w:rsidR="004500B5" w:rsidRPr="00B31C00">
        <w:rPr>
          <w:rFonts w:ascii="Arial" w:hAnsi="Arial" w:cs="Arial"/>
          <w:lang w:val="lv-LV"/>
        </w:rPr>
        <w:t xml:space="preserve"> Transport</w:t>
      </w:r>
      <w:r w:rsidR="00F3555A" w:rsidRPr="00B31C00">
        <w:rPr>
          <w:rFonts w:ascii="Arial" w:hAnsi="Arial" w:cs="Arial"/>
          <w:lang w:val="lv-LV"/>
        </w:rPr>
        <w:t xml:space="preserve"> </w:t>
      </w:r>
      <w:r w:rsidRPr="00B31C00">
        <w:rPr>
          <w:rFonts w:ascii="Arial" w:hAnsi="Arial" w:cs="Arial"/>
          <w:lang w:val="lv-LV"/>
        </w:rPr>
        <w:t>projekti</w:t>
      </w:r>
    </w:p>
    <w:p w14:paraId="57145925" w14:textId="00267756" w:rsidR="003604B5" w:rsidRPr="00B31C00" w:rsidRDefault="00735358" w:rsidP="00A76FAE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Līdz šim tika organizētu sekojoši EISI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 sektora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EA44A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projektu 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>uzsaukumi, kas šobrīd jau slēgti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kopsummā par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21,47 miljardu</w:t>
      </w:r>
      <w:r w:rsidR="00AB428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eiro, kas ir 89% no kopējā finansējuma</w:t>
      </w:r>
      <w:r w:rsidR="004148C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24,05 miljardi eiro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apmērā</w:t>
      </w:r>
      <w:r w:rsidR="003604B5" w:rsidRPr="00B31C00">
        <w:rPr>
          <w:rFonts w:ascii="Arial" w:hAnsi="Arial" w:cs="Arial"/>
          <w:color w:val="5E6175"/>
          <w:sz w:val="20"/>
          <w:szCs w:val="20"/>
          <w:lang w:val="lv-LV"/>
        </w:rPr>
        <w:t>:</w:t>
      </w:r>
    </w:p>
    <w:p w14:paraId="42ACB9C2" w14:textId="41D8D404" w:rsidR="003604B5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AD558F">
        <w:rPr>
          <w:rFonts w:ascii="Arial" w:hAnsi="Arial" w:cs="Arial"/>
          <w:color w:val="5E6175"/>
          <w:sz w:val="20"/>
          <w:szCs w:val="20"/>
          <w:lang w:val="lv-LV"/>
        </w:rPr>
        <w:t xml:space="preserve">EISI Transporta uzsaukums, </w:t>
      </w:r>
      <w:hyperlink r:id="rId8" w:history="1">
        <w:r w:rsidR="003604B5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shd w:val="clear" w:color="auto" w:fill="FFFFFF"/>
            <w:lang w:val="lv-LV" w:eastAsia="lv-LV"/>
          </w:rPr>
          <w:t>2016 CEF Transport Calls</w:t>
        </w:r>
      </w:hyperlink>
      <w:r w:rsidR="003A1F8A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 - </w:t>
      </w:r>
      <w:r w:rsidR="003A1F8A" w:rsidRPr="00B31C00">
        <w:rPr>
          <w:rFonts w:ascii="Arial" w:hAnsi="Arial" w:cs="Arial"/>
          <w:color w:val="5E6175"/>
          <w:sz w:val="20"/>
          <w:szCs w:val="20"/>
          <w:lang w:val="lv-LV"/>
        </w:rPr>
        <w:t>1,9 miljardi eiro</w:t>
      </w:r>
      <w:r w:rsidR="003A1F8A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 </w:t>
      </w:r>
    </w:p>
    <w:p w14:paraId="775F0EBB" w14:textId="63F9E6D9" w:rsidR="003604B5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AD558F">
        <w:rPr>
          <w:rFonts w:ascii="Arial" w:hAnsi="Arial" w:cs="Arial"/>
          <w:color w:val="5E6175"/>
          <w:sz w:val="20"/>
          <w:szCs w:val="20"/>
          <w:lang w:val="lv-LV"/>
        </w:rPr>
        <w:t xml:space="preserve">EISI Sinerģijas uzsaukums, </w:t>
      </w:r>
      <w:hyperlink r:id="rId9" w:history="1">
        <w:r w:rsidR="003604B5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lang w:val="lv-LV" w:eastAsia="lv-LV"/>
          </w:rPr>
          <w:t>2016 Synergy call: Transport and Energy</w:t>
        </w:r>
      </w:hyperlink>
      <w:r w:rsidR="003A1F8A" w:rsidRPr="00B31C00"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  <w:t xml:space="preserve"> </w:t>
      </w:r>
      <w:r w:rsidR="003A1F8A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- </w:t>
      </w:r>
      <w:r w:rsidR="003A1F8A" w:rsidRPr="00B31C00">
        <w:rPr>
          <w:rFonts w:ascii="Arial" w:hAnsi="Arial" w:cs="Arial"/>
          <w:color w:val="5E6175"/>
          <w:sz w:val="20"/>
          <w:szCs w:val="20"/>
          <w:lang w:val="lv-LV"/>
        </w:rPr>
        <w:t>40 miljoni eiro</w:t>
      </w:r>
    </w:p>
    <w:p w14:paraId="14C5122C" w14:textId="40B54A18" w:rsidR="003604B5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AD558F">
        <w:rPr>
          <w:rFonts w:ascii="Arial" w:hAnsi="Arial" w:cs="Arial"/>
          <w:color w:val="5E6175"/>
          <w:sz w:val="20"/>
          <w:szCs w:val="20"/>
          <w:lang w:val="lv-LV"/>
        </w:rPr>
        <w:t xml:space="preserve">EISI Transporta uzsaukums, </w:t>
      </w:r>
      <w:hyperlink r:id="rId10" w:history="1">
        <w:r w:rsidR="003604B5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shd w:val="clear" w:color="auto" w:fill="FFFFFF"/>
            <w:lang w:val="lv-LV" w:eastAsia="lv-LV"/>
          </w:rPr>
          <w:t>2015 CEF Transport Calls</w:t>
        </w:r>
      </w:hyperlink>
      <w:r w:rsidR="003A1F8A" w:rsidRPr="00B31C00"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  <w:t xml:space="preserve"> </w:t>
      </w:r>
      <w:r w:rsidR="003A1F8A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- </w:t>
      </w:r>
      <w:r w:rsidR="003A1F8A" w:rsidRPr="00B31C00">
        <w:rPr>
          <w:rFonts w:ascii="Arial" w:hAnsi="Arial" w:cs="Arial"/>
          <w:color w:val="5E6175"/>
          <w:sz w:val="20"/>
          <w:szCs w:val="20"/>
          <w:lang w:val="lv-LV"/>
        </w:rPr>
        <w:t>7,6 miljardi eiro</w:t>
      </w:r>
    </w:p>
    <w:p w14:paraId="6756EDBC" w14:textId="05E8516A" w:rsidR="003604B5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296224">
        <w:rPr>
          <w:rFonts w:ascii="Arial" w:hAnsi="Arial" w:cs="Arial"/>
          <w:color w:val="5E6175"/>
          <w:sz w:val="20"/>
          <w:szCs w:val="20"/>
          <w:lang w:val="lv-LV"/>
        </w:rPr>
        <w:t xml:space="preserve">EISI Transporta uzsaukums, </w:t>
      </w:r>
      <w:hyperlink r:id="rId11" w:history="1">
        <w:r w:rsidR="003604B5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lang w:val="lv-LV" w:eastAsia="lv-LV"/>
          </w:rPr>
          <w:t>2014 CEF Transport Calls</w:t>
        </w:r>
      </w:hyperlink>
      <w:r w:rsidR="003A1F8A" w:rsidRPr="00B31C00"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  <w:t xml:space="preserve"> </w:t>
      </w:r>
      <w:r w:rsidR="003A1F8A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- </w:t>
      </w:r>
      <w:r w:rsidR="003A1F8A" w:rsidRPr="00B31C00">
        <w:rPr>
          <w:rFonts w:ascii="Arial" w:hAnsi="Arial" w:cs="Arial"/>
          <w:color w:val="5E6175"/>
          <w:sz w:val="20"/>
          <w:szCs w:val="20"/>
          <w:lang w:val="lv-LV"/>
        </w:rPr>
        <w:t>11,93 miljardi eiro</w:t>
      </w:r>
    </w:p>
    <w:p w14:paraId="4B6BCE11" w14:textId="1C20E1B2" w:rsidR="00735358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296224">
        <w:rPr>
          <w:rFonts w:ascii="Arial" w:hAnsi="Arial" w:cs="Arial"/>
          <w:color w:val="5E6175"/>
          <w:sz w:val="20"/>
          <w:szCs w:val="20"/>
          <w:lang w:val="lv-LV"/>
        </w:rPr>
        <w:t>EISI Vienota Eiropas gaisa telpa</w:t>
      </w:r>
      <w:r>
        <w:rPr>
          <w:rFonts w:ascii="Arial" w:hAnsi="Arial" w:cs="Arial"/>
          <w:sz w:val="20"/>
          <w:szCs w:val="20"/>
          <w:lang w:val="lv-LV"/>
        </w:rPr>
        <w:t xml:space="preserve">, </w:t>
      </w:r>
      <w:hyperlink r:id="rId12" w:tgtFrame="_blank" w:history="1">
        <w:r w:rsidR="00735358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lang w:val="lv-LV" w:eastAsia="lv-LV"/>
          </w:rPr>
          <w:t>2017 CEF Transport SESAR Call</w:t>
        </w:r>
      </w:hyperlink>
      <w:r w:rsidR="00735358" w:rsidRPr="00B31C00"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  <w:t xml:space="preserve"> </w:t>
      </w:r>
      <w:r w:rsidR="00735358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-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290 miljoni eiro</w:t>
      </w:r>
    </w:p>
    <w:p w14:paraId="52DA5402" w14:textId="3C88090E" w:rsidR="00735358" w:rsidRPr="00B31C00" w:rsidRDefault="00296224" w:rsidP="0073535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</w:pPr>
      <w:r w:rsidRPr="00296224">
        <w:rPr>
          <w:rFonts w:ascii="Arial" w:hAnsi="Arial" w:cs="Arial"/>
          <w:color w:val="5E6175"/>
          <w:sz w:val="20"/>
          <w:szCs w:val="20"/>
          <w:lang w:val="lv-LV"/>
        </w:rPr>
        <w:t xml:space="preserve">EISI Transporta uzsaukums, </w:t>
      </w:r>
      <w:hyperlink r:id="rId13" w:history="1">
        <w:r w:rsidR="00735358" w:rsidRPr="00B31C00">
          <w:rPr>
            <w:rFonts w:ascii="Arial" w:eastAsia="Times New Roman" w:hAnsi="Arial" w:cs="Arial"/>
            <w:color w:val="004494"/>
            <w:sz w:val="20"/>
            <w:szCs w:val="20"/>
            <w:u w:val="single"/>
            <w:lang w:val="lv-LV" w:eastAsia="lv-LV"/>
          </w:rPr>
          <w:t>2017 CEF Transport Blending Call</w:t>
        </w:r>
      </w:hyperlink>
      <w:r w:rsidR="00735358" w:rsidRPr="00B31C00">
        <w:rPr>
          <w:rFonts w:ascii="Arial" w:eastAsia="Times New Roman" w:hAnsi="Arial" w:cs="Arial"/>
          <w:color w:val="333333"/>
          <w:sz w:val="20"/>
          <w:szCs w:val="20"/>
          <w:lang w:val="lv-LV" w:eastAsia="lv-LV"/>
        </w:rPr>
        <w:t xml:space="preserve"> </w:t>
      </w:r>
      <w:r w:rsidR="00735358" w:rsidRPr="00B31C00">
        <w:rPr>
          <w:rFonts w:ascii="Arial" w:eastAsia="Times New Roman" w:hAnsi="Arial" w:cs="Arial"/>
          <w:color w:val="5E6175"/>
          <w:sz w:val="20"/>
          <w:szCs w:val="20"/>
          <w:lang w:val="lv-LV" w:eastAsia="lv-LV"/>
        </w:rPr>
        <w:t xml:space="preserve">-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1,35 miljardi eiro</w:t>
      </w:r>
    </w:p>
    <w:p w14:paraId="0CEB37A4" w14:textId="77777777" w:rsidR="00EA44AD" w:rsidRPr="00B31C00" w:rsidRDefault="00EA44AD" w:rsidP="00A76FAE">
      <w:pPr>
        <w:jc w:val="both"/>
        <w:rPr>
          <w:rFonts w:ascii="Arial" w:hAnsi="Arial" w:cs="Arial"/>
          <w:sz w:val="20"/>
          <w:szCs w:val="20"/>
          <w:lang w:val="lv-LV"/>
        </w:rPr>
      </w:pPr>
    </w:p>
    <w:p w14:paraId="567B189A" w14:textId="6D3C87E6" w:rsidR="00B52B88" w:rsidRPr="00B31C00" w:rsidRDefault="00B52B88" w:rsidP="00A76FAE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Atbilstoši INEA mājas lapā</w:t>
      </w:r>
      <w:r w:rsidR="00D9521C" w:rsidRPr="00B31C00">
        <w:rPr>
          <w:rStyle w:val="FootnoteReference"/>
          <w:rFonts w:ascii="Arial" w:hAnsi="Arial" w:cs="Arial"/>
          <w:color w:val="5E6175"/>
          <w:sz w:val="20"/>
          <w:szCs w:val="20"/>
          <w:lang w:val="lv-LV"/>
        </w:rPr>
        <w:footnoteReference w:id="7"/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pieejamajai informācijai, Latvija piedalījusies vai joprojām piedalās 10 projektos</w:t>
      </w:r>
      <w:r w:rsidR="00DA4A1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A95AE8" w:rsidRPr="00B31C00">
        <w:rPr>
          <w:rFonts w:ascii="Arial" w:hAnsi="Arial" w:cs="Arial"/>
          <w:color w:val="5E6175"/>
          <w:sz w:val="20"/>
          <w:szCs w:val="20"/>
          <w:lang w:val="lv-LV"/>
        </w:rPr>
        <w:t>(</w:t>
      </w:r>
      <w:r w:rsidR="00DA4A1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t.sk. 2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Jūras maģistrāles</w:t>
      </w:r>
      <w:r w:rsidR="00DA4A1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802D73" w:rsidRPr="00B31C00">
        <w:rPr>
          <w:rFonts w:ascii="Arial" w:hAnsi="Arial" w:cs="Arial"/>
          <w:color w:val="5E6175"/>
          <w:sz w:val="20"/>
          <w:szCs w:val="20"/>
          <w:lang w:val="lv-LV"/>
        </w:rPr>
        <w:t>iz</w:t>
      </w:r>
      <w:r w:rsidR="003F2ADE" w:rsidRPr="00B31C00">
        <w:rPr>
          <w:rFonts w:ascii="Arial" w:hAnsi="Arial" w:cs="Arial"/>
          <w:color w:val="5E6175"/>
          <w:sz w:val="20"/>
          <w:szCs w:val="20"/>
          <w:lang w:val="lv-LV"/>
        </w:rPr>
        <w:t>pētes</w:t>
      </w:r>
      <w:r w:rsidR="00802D73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DA4A1C" w:rsidRPr="00B31C00">
        <w:rPr>
          <w:rFonts w:ascii="Arial" w:hAnsi="Arial" w:cs="Arial"/>
          <w:color w:val="5E6175"/>
          <w:sz w:val="20"/>
          <w:szCs w:val="20"/>
          <w:lang w:val="lv-LV"/>
        </w:rPr>
        <w:t>projekt</w:t>
      </w:r>
      <w:r w:rsidR="003E36CD" w:rsidRPr="00B31C00">
        <w:rPr>
          <w:rFonts w:ascii="Arial" w:hAnsi="Arial" w:cs="Arial"/>
          <w:color w:val="5E6175"/>
          <w:sz w:val="20"/>
          <w:szCs w:val="20"/>
          <w:lang w:val="lv-LV"/>
        </w:rPr>
        <w:t>os</w:t>
      </w:r>
      <w:r w:rsidR="00A95AE8" w:rsidRPr="00B31C00">
        <w:rPr>
          <w:rFonts w:ascii="Arial" w:hAnsi="Arial" w:cs="Arial"/>
          <w:color w:val="5E6175"/>
          <w:sz w:val="20"/>
          <w:szCs w:val="20"/>
          <w:lang w:val="lv-LV"/>
        </w:rPr>
        <w:t>)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. Salīdzinoši, Igaunijai tie ir 13 projekti </w:t>
      </w:r>
      <w:r w:rsidR="006776F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(t.sk. 3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Jūras maģistrāļu</w:t>
      </w:r>
      <w:r w:rsidR="006776F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projekti)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un Lietuvai – 14</w:t>
      </w:r>
      <w:r w:rsidR="00BD1AB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(</w:t>
      </w:r>
      <w:r w:rsidR="00C20869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t.sk. </w:t>
      </w:r>
      <w:r w:rsidR="00BD1AB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2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Jūras maģistrāļu</w:t>
      </w:r>
      <w:r w:rsidR="00BD1AB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projekti, </w:t>
      </w:r>
      <w:r w:rsidR="003947A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ieskaitot </w:t>
      </w:r>
      <w:r w:rsidR="00BD1ABD" w:rsidRPr="00B31C00">
        <w:rPr>
          <w:rFonts w:ascii="Arial" w:hAnsi="Arial" w:cs="Arial"/>
          <w:color w:val="5E6175"/>
          <w:sz w:val="20"/>
          <w:szCs w:val="20"/>
          <w:lang w:val="lv-LV"/>
        </w:rPr>
        <w:t>Klaipēdas ostas</w:t>
      </w:r>
      <w:r w:rsidR="00C20869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modernizācij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u</w:t>
      </w:r>
      <w:r w:rsidR="00C20869" w:rsidRPr="00B31C00">
        <w:rPr>
          <w:rFonts w:ascii="Arial" w:hAnsi="Arial" w:cs="Arial"/>
          <w:color w:val="5E6175"/>
          <w:sz w:val="20"/>
          <w:szCs w:val="20"/>
          <w:lang w:val="lv-LV"/>
        </w:rPr>
        <w:t>)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Pārskats par </w:t>
      </w:r>
      <w:r w:rsidR="003A1F8A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projektiem ar Latvijas dalību dots </w:t>
      </w:r>
      <w:r w:rsidR="00BE20E7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tabulā zemāk. </w:t>
      </w:r>
    </w:p>
    <w:p w14:paraId="7B22E8EE" w14:textId="1AD260CB" w:rsidR="005669F2" w:rsidRPr="00B31C00" w:rsidRDefault="00735358" w:rsidP="00A76FAE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Analīzē r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edzams, ka būtiskāko finansējumu saņēmuši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divi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ar Rail Baltica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īstenošanu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saistītie projekti. Kopumā projektu ar La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>tvijas ekskluzīvu dalību ir maz, t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ie ir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divi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VAS “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>Latvijas gaisa satiksme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”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un Rīgas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pašvaldības SIA “Rīgas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satiksme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”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projekti. Pārējie ir multinacionāli projekti, kur piedalās 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arī </w:t>
      </w:r>
      <w:r w:rsidR="005669F2" w:rsidRPr="00B31C00">
        <w:rPr>
          <w:rFonts w:ascii="Arial" w:hAnsi="Arial" w:cs="Arial"/>
          <w:color w:val="5E6175"/>
          <w:sz w:val="20"/>
          <w:szCs w:val="20"/>
          <w:lang w:val="lv-LV"/>
        </w:rPr>
        <w:t>citas dalībvalstis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, tai skaitā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divi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</w:t>
      </w:r>
      <w:r w:rsidR="00A923E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rojekti 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>dzelzceļ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 sfērā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,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četri projekti saistīti 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ar gaisa transportu,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trīs projekti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– ar jūras un tikai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viens</w:t>
      </w:r>
      <w:r w:rsidR="0050163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– ar sauszemes transportu (ūdeņraža degvielas transportlīdzekļi).</w:t>
      </w:r>
    </w:p>
    <w:p w14:paraId="054EF2D1" w14:textId="78C69505" w:rsidR="0054697F" w:rsidRPr="00B31C00" w:rsidRDefault="0054697F" w:rsidP="00CC6074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Attiecībā uz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u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ir grūti identificēt p</w:t>
      </w:r>
      <w:r w:rsidR="00CC6074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otenciālos projektus, kuros izvērtējuma tvēruma kontekstā Latvija nepiedalās, bet būtu bijis lietderīgi piedalīties,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jo INEA nepiedāvā publiski pieejamu datu bāzi par visiem esošajiem projektiem. Taču, izvērtējot pa transporta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jomām</w:t>
      </w:r>
      <w:r w:rsidRPr="00B31C00">
        <w:rPr>
          <w:color w:val="5E6175"/>
          <w:vertAlign w:val="superscript"/>
          <w:lang w:val="lv-LV"/>
        </w:rPr>
        <w:footnoteReference w:id="8"/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noteikti secināms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, ka Latvijas dalība ar sauszemes ceļiem (Road un ITS for Road) saistītajos projektu uzsaukumos būtu bijusi lietderīga, tāpat arī projektu uzsaukumos par </w:t>
      </w:r>
      <w:r w:rsidR="00C10E06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Eiropas dzelzceļa satiksmes vadības sistēmu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(ERTMS)</w:t>
      </w:r>
      <w:r w:rsidR="0035086F" w:rsidRPr="00B31C00">
        <w:rPr>
          <w:rFonts w:ascii="Arial" w:hAnsi="Arial" w:cs="Arial"/>
          <w:color w:val="5E6175"/>
          <w:sz w:val="20"/>
          <w:szCs w:val="20"/>
          <w:lang w:val="lv-LV"/>
        </w:rPr>
        <w:t>.</w:t>
      </w:r>
      <w:r w:rsidR="00335D11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</w:p>
    <w:p w14:paraId="4680A55A" w14:textId="319781ED" w:rsidR="003604B5" w:rsidRPr="00B31C00" w:rsidRDefault="00735358" w:rsidP="00735358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Izvērtējuma veikšanas brīdī noslēdzās divi EISI Transporta projektu konkursu uzsaukumi, kuru galvenās 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>jomas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bija Vienota Eiropas gaisa telpa un kopējas ieinteresētības projekti transporta nozarē:</w:t>
      </w:r>
    </w:p>
    <w:p w14:paraId="505449DB" w14:textId="0F39106F" w:rsidR="002008ED" w:rsidRPr="00B31C00" w:rsidRDefault="00735358" w:rsidP="0073535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b/>
          <w:color w:val="5E6175"/>
          <w:sz w:val="20"/>
          <w:szCs w:val="20"/>
          <w:lang w:val="lv-LV"/>
        </w:rPr>
        <w:t>Vienota Eiropas gaisa telpa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(</w:t>
      </w:r>
      <w:r w:rsidR="0054697F" w:rsidRPr="00B31C00">
        <w:rPr>
          <w:rFonts w:ascii="Arial" w:hAnsi="Arial" w:cs="Arial"/>
          <w:color w:val="5E6175"/>
          <w:sz w:val="20"/>
          <w:szCs w:val="20"/>
          <w:lang w:val="lv-LV"/>
        </w:rPr>
        <w:t>Single European Sky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- SESAR</w:t>
      </w:r>
      <w:r w:rsidR="0054697F" w:rsidRPr="00B31C00">
        <w:rPr>
          <w:rFonts w:ascii="Arial" w:hAnsi="Arial" w:cs="Arial"/>
          <w:color w:val="5E6175"/>
          <w:sz w:val="20"/>
          <w:szCs w:val="20"/>
          <w:lang w:val="lv-LV"/>
        </w:rPr>
        <w:t>) uzsaukum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ā pretendenti ti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k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aicināti iesniegt priekšlikumus par jaunu un pilnveidotu tehnoloģiju un prakšu ieviešanu, kas atbalsta saskaņotas Gaisa satiksmes pārvaldības (ATM) sistēmas un standartus Eiropā. Priekšlikumā, kas iesniegts saskaņā ar šo uzsaukumu,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bija jāplāno 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lastRenderedPageBreak/>
        <w:t>darbi vai p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ētījumi vai arī to apvienojums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. Arī izmēģ</w:t>
      </w:r>
      <w:r w:rsidR="008B33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inājuma aktivitātes var būt 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projekta sastāvdaļa.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</w:p>
    <w:p w14:paraId="4CA2406F" w14:textId="167BFA37" w:rsidR="00354DF5" w:rsidRPr="00B31C00" w:rsidRDefault="00354DF5" w:rsidP="00E15033">
      <w:pPr>
        <w:ind w:left="720"/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Projektu iesn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iegšanas termiņš šim uzsaukumam bija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12.04.2018. Ņemot vērā aktivitāti iepriekšējos </w:t>
      </w:r>
      <w:r w:rsidR="00B10B2F" w:rsidRPr="00B31C00">
        <w:rPr>
          <w:rFonts w:ascii="Arial" w:hAnsi="Arial" w:cs="Arial"/>
          <w:color w:val="5E6175"/>
          <w:sz w:val="20"/>
          <w:szCs w:val="20"/>
          <w:lang w:val="lv-LV"/>
        </w:rPr>
        <w:t>EISI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uzsaukumos, </w:t>
      </w:r>
      <w:r w:rsidR="00735358" w:rsidRPr="00B31C00">
        <w:rPr>
          <w:rFonts w:ascii="Arial" w:hAnsi="Arial" w:cs="Arial"/>
          <w:color w:val="5E6175"/>
          <w:sz w:val="20"/>
          <w:szCs w:val="20"/>
          <w:lang w:val="lv-LV"/>
        </w:rPr>
        <w:t>bija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vēlams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ar gaisa satiksmi saistītā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m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organizācij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ām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Latvijā iesnieg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t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savus projektus. </w:t>
      </w:r>
    </w:p>
    <w:p w14:paraId="078EAF0E" w14:textId="200F4524" w:rsidR="002008ED" w:rsidRPr="00B31C00" w:rsidRDefault="00C10E06" w:rsidP="0073535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Jauktais (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Blending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) 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uzsaukum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s paredzēts </w:t>
      </w:r>
      <w:r w:rsidR="00354DF5" w:rsidRPr="00B31C00">
        <w:rPr>
          <w:rFonts w:ascii="Arial" w:hAnsi="Arial" w:cs="Arial"/>
          <w:b/>
          <w:color w:val="5E6175"/>
          <w:sz w:val="20"/>
          <w:szCs w:val="20"/>
          <w:lang w:val="lv-LV"/>
        </w:rPr>
        <w:t>kopējas ieinteresētības projektiem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354DF5" w:rsidRPr="00B31C00">
        <w:rPr>
          <w:rFonts w:ascii="Arial" w:hAnsi="Arial" w:cs="Arial"/>
          <w:b/>
          <w:color w:val="5E6175"/>
          <w:sz w:val="20"/>
          <w:szCs w:val="20"/>
          <w:lang w:val="lv-LV"/>
        </w:rPr>
        <w:t>transporta nozarē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, lai maksimāli palielinātu privātā sektora iesaistīšanos 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>transporta projektu īstenošanā īstenojot sekojošus mērķus:</w:t>
      </w:r>
    </w:p>
    <w:p w14:paraId="07DE5F91" w14:textId="618A17B9" w:rsidR="002008ED" w:rsidRPr="00B31C00" w:rsidRDefault="00E15033" w:rsidP="00E1503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Likvidēt </w:t>
      </w:r>
      <w:r w:rsidRPr="00B31C00">
        <w:rPr>
          <w:rFonts w:ascii="Arial" w:hAnsi="Arial" w:cs="Arial"/>
          <w:i/>
          <w:color w:val="5E6175"/>
          <w:sz w:val="20"/>
          <w:szCs w:val="20"/>
          <w:lang w:val="lv-LV"/>
        </w:rPr>
        <w:t>“</w:t>
      </w:r>
      <w:r w:rsidR="002008ED" w:rsidRPr="00B31C00">
        <w:rPr>
          <w:rFonts w:ascii="Arial" w:hAnsi="Arial" w:cs="Arial"/>
          <w:i/>
          <w:color w:val="5E6175"/>
          <w:sz w:val="20"/>
          <w:szCs w:val="20"/>
          <w:lang w:val="lv-LV"/>
        </w:rPr>
        <w:t>vājās vietas</w:t>
      </w:r>
      <w:r w:rsidRPr="00B31C00">
        <w:rPr>
          <w:rFonts w:ascii="Arial" w:hAnsi="Arial" w:cs="Arial"/>
          <w:i/>
          <w:color w:val="5E6175"/>
          <w:sz w:val="20"/>
          <w:szCs w:val="20"/>
          <w:lang w:val="lv-LV"/>
        </w:rPr>
        <w:t>”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un savieno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t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trūkstošos posmus, uzlabot dzelzceļu savstarpēju izmantojamību, jo īpaši uzlabojot pārrobežu posmus.</w:t>
      </w:r>
    </w:p>
    <w:p w14:paraId="7904E8FB" w14:textId="71C38503" w:rsidR="002008ED" w:rsidRPr="00B31C00" w:rsidRDefault="008B33F5" w:rsidP="00E1503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Ilgtspējīgas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un efektīv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as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transporta sistēm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as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nodrošināšana ilgtermiņā, lai sagatavotos gaidāmajām nākotnes transporta plūsmām, ļauj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>ot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visiem transporta veidiem samazināt oglekļa dioksīda emisijas, pārejot uz novatoriskām tehnoloģijām ar zemu oglekļa emisiju līmeni un energoefektivitāti, vienlaikus optimizējot drošību.</w:t>
      </w:r>
    </w:p>
    <w:p w14:paraId="4C6AE4F0" w14:textId="77777777" w:rsidR="002008ED" w:rsidRPr="00B31C00" w:rsidRDefault="002008ED" w:rsidP="00E15033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Transporta veidu integrācijas un savstarpējās savienojamības optimizēšana un transporta pakalpojumu savietojamības uzlabošana, vienlaikus nodrošinot transporta infrastruktūras pieejamību.</w:t>
      </w:r>
    </w:p>
    <w:p w14:paraId="3BDD997D" w14:textId="445759FA" w:rsidR="002008ED" w:rsidRPr="00B31C00" w:rsidRDefault="00354DF5" w:rsidP="002008ED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Galvenās prioritātes 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>EISI projektu konkursā tika definētas sekojošas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:</w:t>
      </w:r>
    </w:p>
    <w:p w14:paraId="3F562322" w14:textId="77777777" w:rsidR="002008ED" w:rsidRPr="00B31C00" w:rsidRDefault="00354DF5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Transporta Pamattīkla 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>koridori</w:t>
      </w:r>
    </w:p>
    <w:p w14:paraId="668E9735" w14:textId="77777777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Citas tīkla sadaļas</w:t>
      </w:r>
    </w:p>
    <w:p w14:paraId="074BAD84" w14:textId="77777777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Dzelzceļa savstarpēja izmantojamība</w:t>
      </w:r>
    </w:p>
    <w:p w14:paraId="7D4C4B95" w14:textId="57834AD4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Eiropas dzelzceļa satiksmes vadības sistēma </w:t>
      </w:r>
    </w:p>
    <w:p w14:paraId="72FCA0E4" w14:textId="77777777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Jaunās tehnoloģijas un inovācijas</w:t>
      </w:r>
    </w:p>
    <w:p w14:paraId="60B53E24" w14:textId="33EE3246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Droša infrastruktūra</w:t>
      </w:r>
    </w:p>
    <w:p w14:paraId="241DD9E6" w14:textId="62DA8AAB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Vienota Eiropas gaisa telpa </w:t>
      </w:r>
    </w:p>
    <w:p w14:paraId="283D18D5" w14:textId="758AD17C" w:rsidR="002008ED" w:rsidRPr="00B31C00" w:rsidRDefault="001923E0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Inteliģentas ceļu transporta sistēmas </w:t>
      </w:r>
    </w:p>
    <w:p w14:paraId="4AEE79C5" w14:textId="69936B2B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Jūras maģistrāles </w:t>
      </w:r>
    </w:p>
    <w:p w14:paraId="39C264F7" w14:textId="77777777" w:rsidR="002008ED" w:rsidRPr="00B31C00" w:rsidRDefault="00354DF5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Transporta Pamattīkla</w:t>
      </w:r>
      <w:r w:rsidR="002008ED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mezgli</w:t>
      </w:r>
    </w:p>
    <w:p w14:paraId="71A82EDF" w14:textId="77777777" w:rsidR="002008ED" w:rsidRPr="00B31C00" w:rsidRDefault="002008ED" w:rsidP="00E1503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Multimodāl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>ās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loģistikas platformas</w:t>
      </w:r>
    </w:p>
    <w:p w14:paraId="5C1B045E" w14:textId="2225E944" w:rsidR="00E4112B" w:rsidRPr="00B31C00" w:rsidRDefault="00C10E06" w:rsidP="00E15033">
      <w:pPr>
        <w:jc w:val="both"/>
        <w:rPr>
          <w:rFonts w:ascii="Arial" w:hAnsi="Arial" w:cs="Arial"/>
          <w:color w:val="5E6175"/>
          <w:sz w:val="20"/>
          <w:szCs w:val="20"/>
          <w:lang w:val="lv-LV"/>
        </w:r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Jauktā uzsaukuma </w:t>
      </w:r>
      <w:r w:rsidR="009A450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projektu kopa ir ar </w:t>
      </w:r>
      <w:r w:rsidR="00354DF5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ievērojami </w:t>
      </w:r>
      <w:r w:rsidR="009A4508" w:rsidRPr="00B31C00">
        <w:rPr>
          <w:rFonts w:ascii="Arial" w:hAnsi="Arial" w:cs="Arial"/>
          <w:color w:val="5E6175"/>
          <w:sz w:val="20"/>
          <w:szCs w:val="20"/>
          <w:lang w:val="lv-LV"/>
        </w:rPr>
        <w:t>plašāku tvērumu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un </w:t>
      </w:r>
      <w:r w:rsidR="009A450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Latvijas </w:t>
      </w:r>
      <w:r w:rsidR="00E4112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organizācijām un 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>iestādēm viennozīmīgi izmantojama iespēja</w:t>
      </w:r>
      <w:r w:rsidR="009A4508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projektu pieteikumu 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>iesniegšana</w:t>
      </w:r>
      <w:r w:rsidR="00E15033" w:rsidRPr="00B31C00">
        <w:rPr>
          <w:rFonts w:ascii="Arial" w:hAnsi="Arial" w:cs="Arial"/>
          <w:color w:val="5E6175"/>
          <w:sz w:val="20"/>
          <w:szCs w:val="20"/>
          <w:lang w:val="lv-LV"/>
        </w:rPr>
        <w:t>i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.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Jāatzīmē, ka Jauktā uzsaukuma</w:t>
      </w:r>
      <w:r w:rsidR="002C5FDC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projektu kopa prasa granta un kredīta apvienojumu.</w:t>
      </w:r>
    </w:p>
    <w:p w14:paraId="2FC50F64" w14:textId="463EC5B7" w:rsidR="00FD7A6F" w:rsidRPr="00B31C00" w:rsidRDefault="00E15033" w:rsidP="00E15033">
      <w:pPr>
        <w:jc w:val="both"/>
        <w:rPr>
          <w:color w:val="5E6175"/>
          <w:lang w:val="lv-LV"/>
        </w:rPr>
        <w:sectPr w:rsidR="00FD7A6F" w:rsidRPr="00B31C00" w:rsidSect="003D3384">
          <w:headerReference w:type="default" r:id="rId14"/>
          <w:footerReference w:type="default" r:id="rId15"/>
          <w:pgSz w:w="11906" w:h="16838"/>
          <w:pgMar w:top="1440" w:right="1558" w:bottom="1440" w:left="1800" w:header="708" w:footer="708" w:gutter="0"/>
          <w:cols w:space="708"/>
          <w:docGrid w:linePitch="360"/>
        </w:sectPr>
      </w:pPr>
      <w:r w:rsidRPr="00B31C00">
        <w:rPr>
          <w:rFonts w:ascii="Arial" w:hAnsi="Arial" w:cs="Arial"/>
          <w:color w:val="5E6175"/>
          <w:sz w:val="20"/>
          <w:szCs w:val="20"/>
          <w:lang w:val="lv-LV"/>
        </w:rPr>
        <w:t>P</w:t>
      </w:r>
      <w:r w:rsidR="00E4112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ieteikšanās šī uzsaukuma finansējumam notiek 2 kārtās. Pirmā </w:t>
      </w:r>
      <w:r w:rsidR="001923E0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kārta </w:t>
      </w:r>
      <w:r w:rsidR="00E4112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ir beigusies 14.07.2017, un tajā no Latvijas iesniegts tikai viens pieteikums. Otrās kārtas </w:t>
      </w:r>
      <w:r w:rsidR="00A93B72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projektu iesniegšanas </w:t>
      </w:r>
      <w:r w:rsidR="00E4112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termiņš 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>bija</w:t>
      </w:r>
      <w:r w:rsidR="00E4112B"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 12.04.2018</w:t>
      </w:r>
      <w:r w:rsidRPr="00B31C00">
        <w:rPr>
          <w:rFonts w:ascii="Arial" w:hAnsi="Arial" w:cs="Arial"/>
          <w:color w:val="5E6175"/>
          <w:sz w:val="20"/>
          <w:szCs w:val="20"/>
          <w:lang w:val="lv-LV"/>
        </w:rPr>
        <w:t xml:space="preserve">., kur arī tika iesniegts vismaz viens projekta pieteikums no Latvijas. </w:t>
      </w:r>
    </w:p>
    <w:p w14:paraId="35EC48F1" w14:textId="6320CA17" w:rsidR="00FD7A6F" w:rsidRPr="00B31C00" w:rsidRDefault="00B10B2F" w:rsidP="00AF5449">
      <w:pPr>
        <w:pStyle w:val="Heading2"/>
        <w:rPr>
          <w:rFonts w:ascii="Arial" w:hAnsi="Arial" w:cs="Arial"/>
          <w:lang w:val="lv-LV"/>
        </w:rPr>
      </w:pPr>
      <w:r w:rsidRPr="00B31C00">
        <w:rPr>
          <w:rFonts w:ascii="Arial" w:hAnsi="Arial" w:cs="Arial"/>
          <w:lang w:val="lv-LV"/>
        </w:rPr>
        <w:lastRenderedPageBreak/>
        <w:t xml:space="preserve">EISI </w:t>
      </w:r>
      <w:r w:rsidR="00FD7A6F" w:rsidRPr="00B31C00">
        <w:rPr>
          <w:rFonts w:ascii="Arial" w:hAnsi="Arial" w:cs="Arial"/>
          <w:lang w:val="lv-LV"/>
        </w:rPr>
        <w:t>projekti ar Latvijas līdzdalību</w:t>
      </w:r>
    </w:p>
    <w:tbl>
      <w:tblPr>
        <w:tblStyle w:val="GridTable1Light-Accent1"/>
        <w:tblW w:w="13608" w:type="dxa"/>
        <w:tblLayout w:type="fixed"/>
        <w:tblLook w:val="04A0" w:firstRow="1" w:lastRow="0" w:firstColumn="1" w:lastColumn="0" w:noHBand="0" w:noVBand="1"/>
      </w:tblPr>
      <w:tblGrid>
        <w:gridCol w:w="1268"/>
        <w:gridCol w:w="2701"/>
        <w:gridCol w:w="1843"/>
        <w:gridCol w:w="1843"/>
        <w:gridCol w:w="1417"/>
        <w:gridCol w:w="1560"/>
        <w:gridCol w:w="1559"/>
        <w:gridCol w:w="1417"/>
      </w:tblGrid>
      <w:tr w:rsidR="00200DFB" w:rsidRPr="00B31C00" w14:paraId="7CEF1374" w14:textId="77777777" w:rsidTr="00200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44B728AE" w14:textId="77777777" w:rsidR="001E2450" w:rsidRPr="00B31C00" w:rsidRDefault="001E2450" w:rsidP="00161AE2">
            <w:pPr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ID un saite</w:t>
            </w:r>
          </w:p>
        </w:tc>
        <w:tc>
          <w:tcPr>
            <w:tcW w:w="2701" w:type="dxa"/>
            <w:hideMark/>
          </w:tcPr>
          <w:p w14:paraId="41A080F7" w14:textId="77777777" w:rsidR="001E2450" w:rsidRPr="00B31C00" w:rsidRDefault="001E2450" w:rsidP="00161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Nosaukums</w:t>
            </w:r>
          </w:p>
        </w:tc>
        <w:tc>
          <w:tcPr>
            <w:tcW w:w="1843" w:type="dxa"/>
            <w:hideMark/>
          </w:tcPr>
          <w:p w14:paraId="66A9D1B2" w14:textId="3DBD5F1A" w:rsidR="001E2450" w:rsidRPr="00B31C00" w:rsidRDefault="001E2450" w:rsidP="00200D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 xml:space="preserve">LV </w:t>
            </w:r>
            <w:r w:rsidR="00200DFB"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pārstāvis</w:t>
            </w:r>
          </w:p>
        </w:tc>
        <w:tc>
          <w:tcPr>
            <w:tcW w:w="1843" w:type="dxa"/>
            <w:hideMark/>
          </w:tcPr>
          <w:p w14:paraId="1BDE7D19" w14:textId="77777777" w:rsidR="001E2450" w:rsidRPr="00B31C00" w:rsidRDefault="001E2450" w:rsidP="00161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Citas dalībvalstis</w:t>
            </w:r>
          </w:p>
        </w:tc>
        <w:tc>
          <w:tcPr>
            <w:tcW w:w="1417" w:type="dxa"/>
            <w:hideMark/>
          </w:tcPr>
          <w:p w14:paraId="4171DCFB" w14:textId="69DE1A13" w:rsidR="001E2450" w:rsidRPr="00B31C00" w:rsidRDefault="00200DFB" w:rsidP="00200D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Projekta uzsākšana</w:t>
            </w:r>
          </w:p>
        </w:tc>
        <w:tc>
          <w:tcPr>
            <w:tcW w:w="1560" w:type="dxa"/>
            <w:hideMark/>
          </w:tcPr>
          <w:p w14:paraId="48376C2A" w14:textId="7796D7AA" w:rsidR="001E2450" w:rsidRPr="00B31C00" w:rsidRDefault="00200DFB" w:rsidP="00161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Projekta noslēgums</w:t>
            </w:r>
          </w:p>
        </w:tc>
        <w:tc>
          <w:tcPr>
            <w:tcW w:w="1559" w:type="dxa"/>
            <w:hideMark/>
          </w:tcPr>
          <w:p w14:paraId="113D5F14" w14:textId="77777777" w:rsidR="001E2450" w:rsidRPr="00B31C00" w:rsidRDefault="001E2450" w:rsidP="00161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ES finansējums (EUR)</w:t>
            </w:r>
          </w:p>
        </w:tc>
        <w:tc>
          <w:tcPr>
            <w:tcW w:w="1417" w:type="dxa"/>
            <w:hideMark/>
          </w:tcPr>
          <w:p w14:paraId="7A75313E" w14:textId="77777777" w:rsidR="001E2450" w:rsidRPr="00B31C00" w:rsidRDefault="001E2450" w:rsidP="00161A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ES finansējuma daļa</w:t>
            </w:r>
          </w:p>
        </w:tc>
      </w:tr>
      <w:tr w:rsidR="001E2450" w:rsidRPr="00B31C00" w14:paraId="1C2B7456" w14:textId="77777777" w:rsidTr="00200DFB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7ACA33C3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16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2015-LV-TM-0094-W</w:t>
              </w:r>
            </w:hyperlink>
          </w:p>
        </w:tc>
        <w:tc>
          <w:tcPr>
            <w:tcW w:w="2701" w:type="dxa"/>
            <w:hideMark/>
          </w:tcPr>
          <w:p w14:paraId="3A30ABF6" w14:textId="3BEAE886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Lidostas sadarbības lēmumu pieņemšana (A-CDM) Rīga</w:t>
            </w:r>
          </w:p>
        </w:tc>
        <w:tc>
          <w:tcPr>
            <w:tcW w:w="1843" w:type="dxa"/>
            <w:hideMark/>
          </w:tcPr>
          <w:p w14:paraId="116479B0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Latvijas gaisa satiksme</w:t>
            </w:r>
          </w:p>
        </w:tc>
        <w:tc>
          <w:tcPr>
            <w:tcW w:w="1843" w:type="dxa"/>
            <w:hideMark/>
          </w:tcPr>
          <w:p w14:paraId="569D0783" w14:textId="574A8964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 </w:t>
            </w:r>
            <w:r w:rsidR="00BA3AA6"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417" w:type="dxa"/>
            <w:hideMark/>
          </w:tcPr>
          <w:p w14:paraId="61361DBB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01.25.2016</w:t>
            </w:r>
          </w:p>
        </w:tc>
        <w:tc>
          <w:tcPr>
            <w:tcW w:w="1560" w:type="dxa"/>
            <w:hideMark/>
          </w:tcPr>
          <w:p w14:paraId="741F7369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30.12.2018</w:t>
            </w:r>
          </w:p>
        </w:tc>
        <w:tc>
          <w:tcPr>
            <w:tcW w:w="1559" w:type="dxa"/>
            <w:hideMark/>
          </w:tcPr>
          <w:p w14:paraId="759B733C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965 000</w:t>
            </w:r>
          </w:p>
        </w:tc>
        <w:tc>
          <w:tcPr>
            <w:tcW w:w="1417" w:type="dxa"/>
            <w:hideMark/>
          </w:tcPr>
          <w:p w14:paraId="67A0BACF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50%</w:t>
            </w:r>
          </w:p>
        </w:tc>
      </w:tr>
      <w:tr w:rsidR="001E2450" w:rsidRPr="00B31C00" w14:paraId="2E9D956F" w14:textId="77777777" w:rsidTr="00200DFB">
        <w:trPr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4A1AD89D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17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2015-EU-TM-0347-M</w:t>
              </w:r>
            </w:hyperlink>
          </w:p>
        </w:tc>
        <w:tc>
          <w:tcPr>
            <w:tcW w:w="2701" w:type="dxa"/>
            <w:hideMark/>
          </w:tcPr>
          <w:p w14:paraId="02F4E2EB" w14:textId="3DE723B6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Rail Baltica (RB) koridora cauri Igaunijai, Latvijai un Lietuvai (II daļa) izveide ar 1435 mm standarta dzelzceļa līniju</w:t>
            </w:r>
          </w:p>
        </w:tc>
        <w:tc>
          <w:tcPr>
            <w:tcW w:w="1843" w:type="dxa"/>
            <w:hideMark/>
          </w:tcPr>
          <w:p w14:paraId="542BA219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Rail Baltica</w:t>
            </w:r>
          </w:p>
        </w:tc>
        <w:tc>
          <w:tcPr>
            <w:tcW w:w="1843" w:type="dxa"/>
            <w:hideMark/>
          </w:tcPr>
          <w:p w14:paraId="28F68A24" w14:textId="6751DE72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Igaunija, Lietuva</w:t>
            </w:r>
          </w:p>
        </w:tc>
        <w:tc>
          <w:tcPr>
            <w:tcW w:w="1417" w:type="dxa"/>
            <w:hideMark/>
          </w:tcPr>
          <w:p w14:paraId="151E554E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01.02.2016</w:t>
            </w:r>
          </w:p>
        </w:tc>
        <w:tc>
          <w:tcPr>
            <w:tcW w:w="1560" w:type="dxa"/>
            <w:hideMark/>
          </w:tcPr>
          <w:p w14:paraId="47BB5D1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31.12.2020</w:t>
            </w:r>
          </w:p>
        </w:tc>
        <w:tc>
          <w:tcPr>
            <w:tcW w:w="1559" w:type="dxa"/>
            <w:hideMark/>
          </w:tcPr>
          <w:p w14:paraId="79EF0754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191 242 574</w:t>
            </w:r>
          </w:p>
        </w:tc>
        <w:tc>
          <w:tcPr>
            <w:tcW w:w="1417" w:type="dxa"/>
            <w:hideMark/>
          </w:tcPr>
          <w:p w14:paraId="61F928C2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85%</w:t>
            </w:r>
          </w:p>
        </w:tc>
      </w:tr>
      <w:tr w:rsidR="001E2450" w:rsidRPr="00B31C00" w14:paraId="5C84FCDA" w14:textId="77777777" w:rsidTr="00200DFB">
        <w:trPr>
          <w:trHeight w:val="2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6E7A9FEF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18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2015-EU-TM-0196-M</w:t>
              </w:r>
            </w:hyperlink>
          </w:p>
        </w:tc>
        <w:tc>
          <w:tcPr>
            <w:tcW w:w="2701" w:type="dxa"/>
            <w:hideMark/>
          </w:tcPr>
          <w:p w14:paraId="71568124" w14:textId="1E15914E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SESAR ieviešanas programmas realizācija 2015 - 2. grupa</w:t>
            </w:r>
          </w:p>
        </w:tc>
        <w:tc>
          <w:tcPr>
            <w:tcW w:w="1843" w:type="dxa"/>
            <w:hideMark/>
          </w:tcPr>
          <w:p w14:paraId="450394DE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3572EE67" w14:textId="1D4F9CA6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 xml:space="preserve">Austrija, Beļģija, Dānija, Somija, Francija, Vācija, Grieķija, Īrija, Itālija, Nīderlande, Portugāle, Slovēnija, Spānija, Zviedrija, Apvienotā Karaliste </w:t>
            </w:r>
          </w:p>
        </w:tc>
        <w:tc>
          <w:tcPr>
            <w:tcW w:w="1417" w:type="dxa"/>
            <w:hideMark/>
          </w:tcPr>
          <w:p w14:paraId="1530B286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01.02.2016</w:t>
            </w:r>
          </w:p>
        </w:tc>
        <w:tc>
          <w:tcPr>
            <w:tcW w:w="1560" w:type="dxa"/>
            <w:hideMark/>
          </w:tcPr>
          <w:p w14:paraId="083D6EA3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31.12.2020</w:t>
            </w:r>
          </w:p>
        </w:tc>
        <w:tc>
          <w:tcPr>
            <w:tcW w:w="1559" w:type="dxa"/>
            <w:hideMark/>
          </w:tcPr>
          <w:p w14:paraId="37CA204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367 146 178</w:t>
            </w:r>
          </w:p>
        </w:tc>
        <w:tc>
          <w:tcPr>
            <w:tcW w:w="1417" w:type="dxa"/>
            <w:hideMark/>
          </w:tcPr>
          <w:p w14:paraId="6045456B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43%</w:t>
            </w:r>
          </w:p>
        </w:tc>
      </w:tr>
      <w:tr w:rsidR="001E2450" w:rsidRPr="00B31C00" w14:paraId="617E4073" w14:textId="77777777" w:rsidTr="00200DFB">
        <w:trPr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74E50F02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19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2015-EU-TM-0132-M</w:t>
              </w:r>
            </w:hyperlink>
          </w:p>
        </w:tc>
        <w:tc>
          <w:tcPr>
            <w:tcW w:w="2701" w:type="dxa"/>
            <w:hideMark/>
          </w:tcPr>
          <w:p w14:paraId="127DBB70" w14:textId="1150C050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FAMOS Odin: Baltijas jūras maģistrāļu apsekojumu pabeigšana</w:t>
            </w:r>
          </w:p>
        </w:tc>
        <w:tc>
          <w:tcPr>
            <w:tcW w:w="1843" w:type="dxa"/>
            <w:hideMark/>
          </w:tcPr>
          <w:p w14:paraId="3157032C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7221891F" w14:textId="61EE7FF9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Zviedrija, Vācija, Dānija, Igaunija, Somija, Lietuva</w:t>
            </w:r>
          </w:p>
        </w:tc>
        <w:tc>
          <w:tcPr>
            <w:tcW w:w="1417" w:type="dxa"/>
            <w:hideMark/>
          </w:tcPr>
          <w:p w14:paraId="0B9657CF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01.02.2016</w:t>
            </w:r>
          </w:p>
        </w:tc>
        <w:tc>
          <w:tcPr>
            <w:tcW w:w="1560" w:type="dxa"/>
            <w:hideMark/>
          </w:tcPr>
          <w:p w14:paraId="21B36942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31.12.2018</w:t>
            </w:r>
          </w:p>
        </w:tc>
        <w:tc>
          <w:tcPr>
            <w:tcW w:w="1559" w:type="dxa"/>
            <w:hideMark/>
          </w:tcPr>
          <w:p w14:paraId="7AD9C045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10 789 590</w:t>
            </w:r>
          </w:p>
        </w:tc>
        <w:tc>
          <w:tcPr>
            <w:tcW w:w="1417" w:type="dxa"/>
            <w:hideMark/>
          </w:tcPr>
          <w:p w14:paraId="0EB2193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30-50%</w:t>
            </w:r>
          </w:p>
        </w:tc>
      </w:tr>
      <w:tr w:rsidR="001E2450" w:rsidRPr="00B31C00" w14:paraId="3C5CB52A" w14:textId="77777777" w:rsidTr="00200DFB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437B6414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0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2015-BE-TM-0040-W</w:t>
              </w:r>
            </w:hyperlink>
          </w:p>
        </w:tc>
        <w:tc>
          <w:tcPr>
            <w:tcW w:w="2701" w:type="dxa"/>
            <w:hideMark/>
          </w:tcPr>
          <w:p w14:paraId="6FBB271C" w14:textId="28C000B4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Uz veiktspēju bāzētas navigācijas (PBN) ieviešanas rīku komplekts</w:t>
            </w:r>
          </w:p>
        </w:tc>
        <w:tc>
          <w:tcPr>
            <w:tcW w:w="1843" w:type="dxa"/>
            <w:hideMark/>
          </w:tcPr>
          <w:p w14:paraId="783BCEF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297FE4B9" w14:textId="68E7C810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 xml:space="preserve"> visas</w:t>
            </w:r>
          </w:p>
        </w:tc>
        <w:tc>
          <w:tcPr>
            <w:tcW w:w="1417" w:type="dxa"/>
            <w:hideMark/>
          </w:tcPr>
          <w:p w14:paraId="2A7664F3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01.01.2017</w:t>
            </w:r>
          </w:p>
        </w:tc>
        <w:tc>
          <w:tcPr>
            <w:tcW w:w="1560" w:type="dxa"/>
            <w:hideMark/>
          </w:tcPr>
          <w:p w14:paraId="1B0B8CA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31.12.2019</w:t>
            </w:r>
          </w:p>
        </w:tc>
        <w:tc>
          <w:tcPr>
            <w:tcW w:w="1559" w:type="dxa"/>
            <w:hideMark/>
          </w:tcPr>
          <w:p w14:paraId="251FBC5C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2 456 000</w:t>
            </w:r>
          </w:p>
        </w:tc>
        <w:tc>
          <w:tcPr>
            <w:tcW w:w="1417" w:type="dxa"/>
            <w:hideMark/>
          </w:tcPr>
          <w:p w14:paraId="4D89D92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50%</w:t>
            </w:r>
          </w:p>
        </w:tc>
      </w:tr>
      <w:tr w:rsidR="001E2450" w:rsidRPr="00B31C00" w14:paraId="5D7BBC70" w14:textId="77777777" w:rsidTr="00200DFB">
        <w:trPr>
          <w:trHeight w:val="1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4B9ED9BC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1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2014-EU-TMC-0560-M</w:t>
              </w:r>
            </w:hyperlink>
          </w:p>
        </w:tc>
        <w:tc>
          <w:tcPr>
            <w:tcW w:w="2701" w:type="dxa"/>
            <w:hideMark/>
          </w:tcPr>
          <w:p w14:paraId="2813D418" w14:textId="6BD5537D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1435 mm standarta dzelzceļa līnijas izveide Rail Baltica koridorā caur Igauniju, Latviju un Lietuvu</w:t>
            </w:r>
          </w:p>
        </w:tc>
        <w:tc>
          <w:tcPr>
            <w:tcW w:w="1843" w:type="dxa"/>
            <w:hideMark/>
          </w:tcPr>
          <w:p w14:paraId="267690A2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Rail Baltica</w:t>
            </w: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br/>
              <w:t>Satiksmes ministrija</w:t>
            </w:r>
          </w:p>
        </w:tc>
        <w:tc>
          <w:tcPr>
            <w:tcW w:w="1843" w:type="dxa"/>
            <w:hideMark/>
          </w:tcPr>
          <w:p w14:paraId="2D97683A" w14:textId="12394B79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Igaunija, Lietuva</w:t>
            </w:r>
          </w:p>
        </w:tc>
        <w:tc>
          <w:tcPr>
            <w:tcW w:w="1417" w:type="dxa"/>
            <w:hideMark/>
          </w:tcPr>
          <w:p w14:paraId="2486369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01.03.2015</w:t>
            </w:r>
          </w:p>
        </w:tc>
        <w:tc>
          <w:tcPr>
            <w:tcW w:w="1560" w:type="dxa"/>
            <w:hideMark/>
          </w:tcPr>
          <w:p w14:paraId="4BE8F733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31.12.2020</w:t>
            </w:r>
          </w:p>
        </w:tc>
        <w:tc>
          <w:tcPr>
            <w:tcW w:w="1559" w:type="dxa"/>
            <w:hideMark/>
          </w:tcPr>
          <w:p w14:paraId="43605025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442 230 615</w:t>
            </w:r>
          </w:p>
        </w:tc>
        <w:tc>
          <w:tcPr>
            <w:tcW w:w="1417" w:type="dxa"/>
            <w:hideMark/>
          </w:tcPr>
          <w:p w14:paraId="60EF7581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81-85%</w:t>
            </w:r>
          </w:p>
        </w:tc>
      </w:tr>
      <w:tr w:rsidR="001E2450" w:rsidRPr="00B31C00" w14:paraId="6E2EFFB4" w14:textId="77777777" w:rsidTr="00200DFB">
        <w:trPr>
          <w:trHeight w:val="1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6EF90813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2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2014-EU-TM-0643-S</w:t>
              </w:r>
            </w:hyperlink>
          </w:p>
        </w:tc>
        <w:tc>
          <w:tcPr>
            <w:tcW w:w="2701" w:type="dxa"/>
            <w:hideMark/>
          </w:tcPr>
          <w:p w14:paraId="62B7B69D" w14:textId="3CD724F6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H2Nodes - Eiropas ūdeņraža degvielas uzpildes staciju tīklu attīstība, mobilizējot vietējo pieprasījumu un vērtību ķēdes</w:t>
            </w:r>
          </w:p>
        </w:tc>
        <w:tc>
          <w:tcPr>
            <w:tcW w:w="1843" w:type="dxa"/>
            <w:hideMark/>
          </w:tcPr>
          <w:p w14:paraId="4D521140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Rīgas Satiksme</w:t>
            </w:r>
          </w:p>
        </w:tc>
        <w:tc>
          <w:tcPr>
            <w:tcW w:w="1843" w:type="dxa"/>
            <w:hideMark/>
          </w:tcPr>
          <w:p w14:paraId="606CA6A1" w14:textId="24B1C583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Igaunija, Nīderlande</w:t>
            </w:r>
          </w:p>
        </w:tc>
        <w:tc>
          <w:tcPr>
            <w:tcW w:w="1417" w:type="dxa"/>
            <w:hideMark/>
          </w:tcPr>
          <w:p w14:paraId="43415B49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01.03.2014</w:t>
            </w:r>
          </w:p>
        </w:tc>
        <w:tc>
          <w:tcPr>
            <w:tcW w:w="1560" w:type="dxa"/>
            <w:hideMark/>
          </w:tcPr>
          <w:p w14:paraId="3D57CF7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31.12.2018</w:t>
            </w:r>
          </w:p>
        </w:tc>
        <w:tc>
          <w:tcPr>
            <w:tcW w:w="1559" w:type="dxa"/>
            <w:hideMark/>
          </w:tcPr>
          <w:p w14:paraId="6CBF012A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14 503 000</w:t>
            </w:r>
          </w:p>
        </w:tc>
        <w:tc>
          <w:tcPr>
            <w:tcW w:w="1417" w:type="dxa"/>
            <w:hideMark/>
          </w:tcPr>
          <w:p w14:paraId="769C888A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50%</w:t>
            </w:r>
          </w:p>
        </w:tc>
      </w:tr>
      <w:tr w:rsidR="001E2450" w:rsidRPr="00B31C00" w14:paraId="7ADCC886" w14:textId="77777777" w:rsidTr="00200DFB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1C149A0C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3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2014-EU-TM-0279-S</w:t>
              </w:r>
            </w:hyperlink>
          </w:p>
        </w:tc>
        <w:tc>
          <w:tcPr>
            <w:tcW w:w="2701" w:type="dxa"/>
            <w:hideMark/>
          </w:tcPr>
          <w:p w14:paraId="5D66895C" w14:textId="52F30BC1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Atbalsts ERTMS ieviešanai</w:t>
            </w:r>
          </w:p>
        </w:tc>
        <w:tc>
          <w:tcPr>
            <w:tcW w:w="1843" w:type="dxa"/>
            <w:hideMark/>
          </w:tcPr>
          <w:p w14:paraId="2C56CD91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19190474" w14:textId="5116CACC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visas</w:t>
            </w:r>
          </w:p>
        </w:tc>
        <w:tc>
          <w:tcPr>
            <w:tcW w:w="1417" w:type="dxa"/>
            <w:hideMark/>
          </w:tcPr>
          <w:p w14:paraId="6FCC8245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01.01.2015</w:t>
            </w:r>
          </w:p>
        </w:tc>
        <w:tc>
          <w:tcPr>
            <w:tcW w:w="1560" w:type="dxa"/>
            <w:hideMark/>
          </w:tcPr>
          <w:p w14:paraId="13AE90BF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31.12.2017</w:t>
            </w:r>
          </w:p>
        </w:tc>
        <w:tc>
          <w:tcPr>
            <w:tcW w:w="1559" w:type="dxa"/>
            <w:hideMark/>
          </w:tcPr>
          <w:p w14:paraId="2AF3B6A5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5 738 197</w:t>
            </w:r>
          </w:p>
        </w:tc>
        <w:tc>
          <w:tcPr>
            <w:tcW w:w="1417" w:type="dxa"/>
            <w:hideMark/>
          </w:tcPr>
          <w:p w14:paraId="62B2A7D0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50%</w:t>
            </w:r>
          </w:p>
        </w:tc>
      </w:tr>
      <w:tr w:rsidR="001E2450" w:rsidRPr="00B31C00" w14:paraId="09DAA4DA" w14:textId="77777777" w:rsidTr="00200DF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0305C773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4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2014-EU-TM-0152-M</w:t>
              </w:r>
            </w:hyperlink>
          </w:p>
        </w:tc>
        <w:tc>
          <w:tcPr>
            <w:tcW w:w="2701" w:type="dxa"/>
            <w:hideMark/>
          </w:tcPr>
          <w:p w14:paraId="0FC1498B" w14:textId="1F9D97ED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FAMOS Freja: Baltijas jūras maģistrāļu apsekojumu pabeigšana</w:t>
            </w:r>
          </w:p>
        </w:tc>
        <w:tc>
          <w:tcPr>
            <w:tcW w:w="1843" w:type="dxa"/>
            <w:hideMark/>
          </w:tcPr>
          <w:p w14:paraId="7828BF9B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4E4B8888" w14:textId="56890C4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Zviedrija, Vācija, Dānija, Igaunija, Somija</w:t>
            </w:r>
          </w:p>
        </w:tc>
        <w:tc>
          <w:tcPr>
            <w:tcW w:w="1417" w:type="dxa"/>
            <w:hideMark/>
          </w:tcPr>
          <w:p w14:paraId="42C1A08C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01.01.2014</w:t>
            </w:r>
          </w:p>
        </w:tc>
        <w:tc>
          <w:tcPr>
            <w:tcW w:w="1560" w:type="dxa"/>
            <w:hideMark/>
          </w:tcPr>
          <w:p w14:paraId="1938FE38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31.12.2016</w:t>
            </w:r>
          </w:p>
        </w:tc>
        <w:tc>
          <w:tcPr>
            <w:tcW w:w="1559" w:type="dxa"/>
            <w:hideMark/>
          </w:tcPr>
          <w:p w14:paraId="3A7D584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11 890 730</w:t>
            </w:r>
          </w:p>
        </w:tc>
        <w:tc>
          <w:tcPr>
            <w:tcW w:w="1417" w:type="dxa"/>
            <w:hideMark/>
          </w:tcPr>
          <w:p w14:paraId="75B05C8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30-50%</w:t>
            </w:r>
          </w:p>
        </w:tc>
      </w:tr>
      <w:tr w:rsidR="001E2450" w:rsidRPr="00B31C00" w14:paraId="07EB5CF6" w14:textId="77777777" w:rsidTr="00200DFB">
        <w:trPr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23F2F1C6" w14:textId="77777777" w:rsidR="001E2450" w:rsidRPr="00B31C00" w:rsidRDefault="00BA052A" w:rsidP="006B0A80">
            <w:pPr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lv-LV" w:eastAsia="lv-LV"/>
              </w:rPr>
            </w:pPr>
            <w:hyperlink r:id="rId25" w:history="1">
              <w:r w:rsidR="001E2450" w:rsidRPr="00B31C00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lv-LV" w:eastAsia="lv-LV"/>
                </w:rPr>
                <w:t>2014-EU-TM-0136-M</w:t>
              </w:r>
            </w:hyperlink>
          </w:p>
        </w:tc>
        <w:tc>
          <w:tcPr>
            <w:tcW w:w="2701" w:type="dxa"/>
            <w:hideMark/>
          </w:tcPr>
          <w:p w14:paraId="3A3203B5" w14:textId="6772EC1E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hAnsi="Arial" w:cs="Arial"/>
                <w:color w:val="5E6175"/>
                <w:sz w:val="20"/>
                <w:szCs w:val="20"/>
                <w:lang w:val="lv-LV"/>
              </w:rPr>
              <w:t>Darbības Programmas  ieviešana</w:t>
            </w:r>
          </w:p>
        </w:tc>
        <w:tc>
          <w:tcPr>
            <w:tcW w:w="1843" w:type="dxa"/>
            <w:hideMark/>
          </w:tcPr>
          <w:p w14:paraId="43B29687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n/a</w:t>
            </w:r>
          </w:p>
        </w:tc>
        <w:tc>
          <w:tcPr>
            <w:tcW w:w="1843" w:type="dxa"/>
            <w:hideMark/>
          </w:tcPr>
          <w:p w14:paraId="354588B1" w14:textId="775A47A3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 xml:space="preserve">Austrija, Beļģija, Horvātija, Čehijas Republika, Dānija, Igaunija, Somija, Francija, Vācija, Grieķija, Ungārija, Īrija, Itālija, Nīderlande, Polija, Portugāle, Rumānija, Slovākija, Slovēnija, Spānija, Zviedrija, Apvienotā Karaliste un Norvēģija un Bosnija - Hercegovina. </w:t>
            </w:r>
          </w:p>
        </w:tc>
        <w:tc>
          <w:tcPr>
            <w:tcW w:w="1417" w:type="dxa"/>
            <w:hideMark/>
          </w:tcPr>
          <w:p w14:paraId="4799CB5D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01.01.2014</w:t>
            </w:r>
          </w:p>
        </w:tc>
        <w:tc>
          <w:tcPr>
            <w:tcW w:w="1560" w:type="dxa"/>
            <w:hideMark/>
          </w:tcPr>
          <w:p w14:paraId="721B7930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31.12.2020</w:t>
            </w:r>
          </w:p>
        </w:tc>
        <w:tc>
          <w:tcPr>
            <w:tcW w:w="1559" w:type="dxa"/>
            <w:hideMark/>
          </w:tcPr>
          <w:p w14:paraId="23050E71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318 576 896</w:t>
            </w:r>
          </w:p>
        </w:tc>
        <w:tc>
          <w:tcPr>
            <w:tcW w:w="1417" w:type="dxa"/>
            <w:hideMark/>
          </w:tcPr>
          <w:p w14:paraId="1407BD06" w14:textId="77777777" w:rsidR="001E2450" w:rsidRPr="00B31C00" w:rsidRDefault="001E2450" w:rsidP="006B0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</w:pPr>
            <w:r w:rsidRPr="00B31C00">
              <w:rPr>
                <w:rFonts w:ascii="Arial" w:eastAsia="Times New Roman" w:hAnsi="Arial" w:cs="Arial"/>
                <w:color w:val="5E6175"/>
                <w:sz w:val="20"/>
                <w:szCs w:val="20"/>
                <w:lang w:val="lv-LV" w:eastAsia="lv-LV"/>
              </w:rPr>
              <w:t>49.50%</w:t>
            </w:r>
          </w:p>
        </w:tc>
      </w:tr>
    </w:tbl>
    <w:p w14:paraId="6B59EB4F" w14:textId="77777777" w:rsidR="00E8369D" w:rsidRPr="00B31C00" w:rsidRDefault="00E8369D" w:rsidP="00AF5449">
      <w:pPr>
        <w:pStyle w:val="Heading2"/>
        <w:rPr>
          <w:lang w:val="lv-LV"/>
        </w:rPr>
      </w:pPr>
    </w:p>
    <w:p w14:paraId="012EA8B9" w14:textId="77777777" w:rsidR="00200DFB" w:rsidRPr="00B31C00" w:rsidRDefault="00200DFB">
      <w:pPr>
        <w:pStyle w:val="Heading2"/>
        <w:rPr>
          <w:lang w:val="lv-LV"/>
        </w:rPr>
      </w:pPr>
    </w:p>
    <w:sectPr w:rsidR="00200DFB" w:rsidRPr="00B31C00" w:rsidSect="00E8369D">
      <w:pgSz w:w="16838" w:h="11906" w:orient="landscape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3D6A4" w14:textId="77777777" w:rsidR="00BA052A" w:rsidRDefault="00BA052A" w:rsidP="00905E05">
      <w:pPr>
        <w:spacing w:after="0" w:line="240" w:lineRule="auto"/>
      </w:pPr>
      <w:r>
        <w:separator/>
      </w:r>
    </w:p>
  </w:endnote>
  <w:endnote w:type="continuationSeparator" w:id="0">
    <w:p w14:paraId="48D395AA" w14:textId="77777777" w:rsidR="00BA052A" w:rsidRDefault="00BA052A" w:rsidP="0090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991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E24D7B" w14:textId="583EED94" w:rsidR="006B2871" w:rsidRDefault="006B28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1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C3583A" w14:textId="77777777" w:rsidR="006B2871" w:rsidRDefault="006B28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9C60D" w14:textId="77777777" w:rsidR="00BA052A" w:rsidRDefault="00BA052A" w:rsidP="00905E05">
      <w:pPr>
        <w:spacing w:after="0" w:line="240" w:lineRule="auto"/>
      </w:pPr>
      <w:r>
        <w:separator/>
      </w:r>
    </w:p>
  </w:footnote>
  <w:footnote w:type="continuationSeparator" w:id="0">
    <w:p w14:paraId="4774D2A0" w14:textId="77777777" w:rsidR="00BA052A" w:rsidRDefault="00BA052A" w:rsidP="00905E05">
      <w:pPr>
        <w:spacing w:after="0" w:line="240" w:lineRule="auto"/>
      </w:pPr>
      <w:r>
        <w:continuationSeparator/>
      </w:r>
    </w:p>
  </w:footnote>
  <w:footnote w:id="1">
    <w:p w14:paraId="62F320A7" w14:textId="77777777" w:rsidR="007A51B2" w:rsidRPr="00BA3AA6" w:rsidRDefault="007A51B2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</w:rPr>
        <w:t xml:space="preserve"> </w:t>
      </w:r>
      <w:hyperlink r:id="rId1" w:history="1">
        <w:r w:rsidRPr="00BA3AA6">
          <w:rPr>
            <w:rStyle w:val="Hyperlink"/>
            <w:rFonts w:ascii="Arial" w:hAnsi="Arial" w:cs="Arial"/>
            <w:sz w:val="18"/>
            <w:szCs w:val="18"/>
          </w:rPr>
          <w:t>https://ec.europa.eu/transport/themes/infrastructure/ten-t-guidelines/project-funding/cef_en</w:t>
        </w:r>
      </w:hyperlink>
      <w:r w:rsidRPr="00BA3AA6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24389FE7" w14:textId="77777777" w:rsidR="004500B5" w:rsidRPr="00BA3AA6" w:rsidRDefault="004500B5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2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https://ec.europa.eu/inea/en/connecting-europe-facility/cef-transport</w:t>
        </w:r>
      </w:hyperlink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</w:p>
  </w:footnote>
  <w:footnote w:id="3">
    <w:p w14:paraId="2B5B36B6" w14:textId="77777777" w:rsidR="00363B59" w:rsidRPr="00EA44AD" w:rsidRDefault="00363B59">
      <w:pPr>
        <w:pStyle w:val="FootnoteText"/>
        <w:rPr>
          <w:sz w:val="20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3" w:history="1">
        <w:r w:rsidR="00EA44AD"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https://ec.europa.eu/inea/en</w:t>
        </w:r>
      </w:hyperlink>
      <w:r w:rsidR="00EA44AD" w:rsidRPr="00EA44AD">
        <w:rPr>
          <w:sz w:val="20"/>
          <w:lang w:val="lv-LV"/>
        </w:rPr>
        <w:t xml:space="preserve"> </w:t>
      </w:r>
    </w:p>
  </w:footnote>
  <w:footnote w:id="4">
    <w:p w14:paraId="2BA4D6D1" w14:textId="3A21C665" w:rsidR="00A52755" w:rsidRPr="00BA3AA6" w:rsidRDefault="00A52755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4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https://ec.europa.eu/inea/sites/inea/files/dip_november_2016.pdf</w:t>
        </w:r>
      </w:hyperlink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</w:p>
  </w:footnote>
  <w:footnote w:id="5">
    <w:p w14:paraId="654EBD21" w14:textId="77777777" w:rsidR="003604B5" w:rsidRPr="00BA3AA6" w:rsidRDefault="003604B5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5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http://ec.europa.eu/transport/themes/infrastructure/ten-t-guidelines/legal-basis_en.htm</w:t>
        </w:r>
      </w:hyperlink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</w:p>
  </w:footnote>
  <w:footnote w:id="6">
    <w:p w14:paraId="18BA931A" w14:textId="77777777" w:rsidR="003604B5" w:rsidRPr="00BA3AA6" w:rsidRDefault="003604B5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6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http://ec.europa.eu/transport/themes/infrastructure/ten-t-guidelines/legal-basis_en.htm</w:t>
        </w:r>
      </w:hyperlink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</w:p>
  </w:footnote>
  <w:footnote w:id="7">
    <w:p w14:paraId="48AA0671" w14:textId="77777777" w:rsidR="00D9521C" w:rsidRPr="00BA3AA6" w:rsidRDefault="00D9521C">
      <w:pPr>
        <w:pStyle w:val="FootnoteText"/>
        <w:rPr>
          <w:rFonts w:ascii="Arial" w:hAnsi="Arial" w:cs="Arial"/>
          <w:sz w:val="18"/>
          <w:szCs w:val="18"/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7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https://ec.europa.eu/inea/en</w:t>
        </w:r>
      </w:hyperlink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</w:p>
  </w:footnote>
  <w:footnote w:id="8">
    <w:p w14:paraId="3DC5E728" w14:textId="77777777" w:rsidR="0054697F" w:rsidRPr="0054697F" w:rsidRDefault="0054697F">
      <w:pPr>
        <w:pStyle w:val="FootnoteText"/>
        <w:rPr>
          <w:lang w:val="lv-LV"/>
        </w:rPr>
      </w:pPr>
      <w:r w:rsidRPr="00BA3AA6">
        <w:rPr>
          <w:rStyle w:val="FootnoteReference"/>
          <w:rFonts w:ascii="Arial" w:hAnsi="Arial" w:cs="Arial"/>
          <w:sz w:val="18"/>
          <w:szCs w:val="18"/>
        </w:rPr>
        <w:footnoteRef/>
      </w:r>
      <w:r w:rsidRPr="00BA3AA6">
        <w:rPr>
          <w:rFonts w:ascii="Arial" w:hAnsi="Arial" w:cs="Arial"/>
          <w:sz w:val="18"/>
          <w:szCs w:val="18"/>
          <w:lang w:val="lv-LV"/>
        </w:rPr>
        <w:t xml:space="preserve"> </w:t>
      </w:r>
      <w:hyperlink r:id="rId8" w:history="1">
        <w:r w:rsidRPr="00BA3AA6">
          <w:rPr>
            <w:rStyle w:val="Hyperlink"/>
            <w:rFonts w:ascii="Arial" w:hAnsi="Arial" w:cs="Arial"/>
            <w:sz w:val="18"/>
            <w:szCs w:val="18"/>
            <w:lang w:val="lv-LV"/>
          </w:rPr>
          <w:t>https://ec.europa.eu/inea/connecting-europe-facility/cef-transport/projects-by-transport-mode</w:t>
        </w:r>
      </w:hyperlink>
      <w:r>
        <w:rPr>
          <w:lang w:val="lv-LV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10852" w14:textId="77777777" w:rsidR="00420522" w:rsidRPr="00591340" w:rsidRDefault="00420522" w:rsidP="00420522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F5496" w:themeColor="accent1" w:themeShade="BF"/>
        <w:sz w:val="18"/>
        <w:szCs w:val="18"/>
        <w:lang w:eastAsia="lv-LV"/>
      </w:rPr>
    </w:pPr>
    <w:r w:rsidRPr="00591340">
      <w:rPr>
        <w:i/>
        <w:noProof/>
        <w:color w:val="2F5496" w:themeColor="accent1" w:themeShade="BF"/>
        <w:sz w:val="18"/>
        <w:szCs w:val="18"/>
        <w:lang w:eastAsia="lv-LV"/>
      </w:rPr>
      <w:t>ES fondu ieguldījumu izvērtēšana transporta nozares attīstībā</w:t>
    </w:r>
  </w:p>
  <w:p w14:paraId="2488E664" w14:textId="77777777" w:rsidR="00420522" w:rsidRPr="00F81B5E" w:rsidRDefault="00420522" w:rsidP="00420522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2F5496" w:themeColor="accent1" w:themeShade="BF"/>
        <w:sz w:val="18"/>
        <w:szCs w:val="18"/>
        <w:lang w:eastAsia="lv-LV"/>
      </w:rPr>
    </w:pPr>
    <w:r w:rsidRPr="00591340">
      <w:rPr>
        <w:i/>
        <w:noProof/>
        <w:color w:val="2F5496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2F5496" w:themeColor="accent1" w:themeShade="BF"/>
        <w:sz w:val="18"/>
        <w:szCs w:val="18"/>
        <w:lang w:eastAsia="lv-LV"/>
      </w:rPr>
      <w:t xml:space="preserve"> </w:t>
    </w:r>
  </w:p>
  <w:p w14:paraId="35522E3B" w14:textId="77777777" w:rsidR="00420522" w:rsidRPr="00420522" w:rsidRDefault="00420522" w:rsidP="00420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1EA"/>
    <w:multiLevelType w:val="hybridMultilevel"/>
    <w:tmpl w:val="68BA05C0"/>
    <w:lvl w:ilvl="0" w:tplc="F16670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DCF"/>
    <w:multiLevelType w:val="hybridMultilevel"/>
    <w:tmpl w:val="5A748264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6ED2"/>
    <w:multiLevelType w:val="hybridMultilevel"/>
    <w:tmpl w:val="0B94811E"/>
    <w:lvl w:ilvl="0" w:tplc="F60491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F4FA4"/>
    <w:multiLevelType w:val="hybridMultilevel"/>
    <w:tmpl w:val="01E047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D7AA6"/>
    <w:multiLevelType w:val="hybridMultilevel"/>
    <w:tmpl w:val="D8221CE2"/>
    <w:lvl w:ilvl="0" w:tplc="7E16A1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E405A"/>
    <w:multiLevelType w:val="hybridMultilevel"/>
    <w:tmpl w:val="02E2D450"/>
    <w:lvl w:ilvl="0" w:tplc="7BB8DE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A5123"/>
    <w:multiLevelType w:val="hybridMultilevel"/>
    <w:tmpl w:val="DFAC58A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2451B"/>
    <w:multiLevelType w:val="hybridMultilevel"/>
    <w:tmpl w:val="411AF8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44546A" w:themeColor="text2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130149"/>
    <w:multiLevelType w:val="hybridMultilevel"/>
    <w:tmpl w:val="ED6011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3109E"/>
    <w:multiLevelType w:val="hybridMultilevel"/>
    <w:tmpl w:val="E9A2A748"/>
    <w:lvl w:ilvl="0" w:tplc="DFEA9D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44546A" w:themeColor="text2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755579"/>
    <w:multiLevelType w:val="hybridMultilevel"/>
    <w:tmpl w:val="A0F44A16"/>
    <w:lvl w:ilvl="0" w:tplc="F16670A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5F6D26"/>
    <w:multiLevelType w:val="hybridMultilevel"/>
    <w:tmpl w:val="0BFC1282"/>
    <w:lvl w:ilvl="0" w:tplc="7D8870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D136A0C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4472C4" w:themeColor="accent1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073CC"/>
    <w:multiLevelType w:val="hybridMultilevel"/>
    <w:tmpl w:val="553C76E0"/>
    <w:lvl w:ilvl="0" w:tplc="F95CD5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74C64"/>
    <w:multiLevelType w:val="hybridMultilevel"/>
    <w:tmpl w:val="9B601F90"/>
    <w:lvl w:ilvl="0" w:tplc="CE2E55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41FE6"/>
    <w:multiLevelType w:val="hybridMultilevel"/>
    <w:tmpl w:val="964682FA"/>
    <w:lvl w:ilvl="0" w:tplc="1DEA09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A70C1"/>
    <w:multiLevelType w:val="hybridMultilevel"/>
    <w:tmpl w:val="B8449644"/>
    <w:lvl w:ilvl="0" w:tplc="F16670A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4472C4" w:themeColor="accent1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6"/>
  </w:num>
  <w:num w:numId="6">
    <w:abstractNumId w:val="3"/>
  </w:num>
  <w:num w:numId="7">
    <w:abstractNumId w:val="12"/>
  </w:num>
  <w:num w:numId="8">
    <w:abstractNumId w:val="5"/>
  </w:num>
  <w:num w:numId="9">
    <w:abstractNumId w:val="2"/>
  </w:num>
  <w:num w:numId="10">
    <w:abstractNumId w:val="14"/>
  </w:num>
  <w:num w:numId="11">
    <w:abstractNumId w:val="7"/>
  </w:num>
  <w:num w:numId="12">
    <w:abstractNumId w:val="9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41"/>
    <w:rsid w:val="00011705"/>
    <w:rsid w:val="00016400"/>
    <w:rsid w:val="00075332"/>
    <w:rsid w:val="000C3FC4"/>
    <w:rsid w:val="0011469B"/>
    <w:rsid w:val="00154414"/>
    <w:rsid w:val="00161AE2"/>
    <w:rsid w:val="001740A6"/>
    <w:rsid w:val="00185B70"/>
    <w:rsid w:val="001923E0"/>
    <w:rsid w:val="00197644"/>
    <w:rsid w:val="001C0541"/>
    <w:rsid w:val="001C0A4B"/>
    <w:rsid w:val="001E2450"/>
    <w:rsid w:val="002008ED"/>
    <w:rsid w:val="00200DFB"/>
    <w:rsid w:val="0024181E"/>
    <w:rsid w:val="002815DC"/>
    <w:rsid w:val="00282B2B"/>
    <w:rsid w:val="00296224"/>
    <w:rsid w:val="002C0378"/>
    <w:rsid w:val="002C5FDC"/>
    <w:rsid w:val="002E11B0"/>
    <w:rsid w:val="00305408"/>
    <w:rsid w:val="00335D11"/>
    <w:rsid w:val="0034040E"/>
    <w:rsid w:val="00346CB0"/>
    <w:rsid w:val="0035086F"/>
    <w:rsid w:val="00354DF5"/>
    <w:rsid w:val="003604B5"/>
    <w:rsid w:val="00363B59"/>
    <w:rsid w:val="003769E0"/>
    <w:rsid w:val="00376DAB"/>
    <w:rsid w:val="003947AB"/>
    <w:rsid w:val="003954D3"/>
    <w:rsid w:val="003A1F8A"/>
    <w:rsid w:val="003B41CA"/>
    <w:rsid w:val="003D3384"/>
    <w:rsid w:val="003E20AE"/>
    <w:rsid w:val="003E36CD"/>
    <w:rsid w:val="003F2ADE"/>
    <w:rsid w:val="00404A38"/>
    <w:rsid w:val="004148CC"/>
    <w:rsid w:val="00416902"/>
    <w:rsid w:val="00420522"/>
    <w:rsid w:val="004500B5"/>
    <w:rsid w:val="004956C1"/>
    <w:rsid w:val="004A40CA"/>
    <w:rsid w:val="00501636"/>
    <w:rsid w:val="00510937"/>
    <w:rsid w:val="00525E02"/>
    <w:rsid w:val="0054697F"/>
    <w:rsid w:val="0056161B"/>
    <w:rsid w:val="005667C3"/>
    <w:rsid w:val="005669F2"/>
    <w:rsid w:val="00580124"/>
    <w:rsid w:val="0060700E"/>
    <w:rsid w:val="00626248"/>
    <w:rsid w:val="00647A34"/>
    <w:rsid w:val="00662720"/>
    <w:rsid w:val="006776FC"/>
    <w:rsid w:val="00694CE1"/>
    <w:rsid w:val="006B0A80"/>
    <w:rsid w:val="006B2871"/>
    <w:rsid w:val="006C25DE"/>
    <w:rsid w:val="006C5727"/>
    <w:rsid w:val="006C718D"/>
    <w:rsid w:val="007066E7"/>
    <w:rsid w:val="00713874"/>
    <w:rsid w:val="00716D44"/>
    <w:rsid w:val="00735358"/>
    <w:rsid w:val="00737AC8"/>
    <w:rsid w:val="00771304"/>
    <w:rsid w:val="007A1780"/>
    <w:rsid w:val="007A51B2"/>
    <w:rsid w:val="007D4526"/>
    <w:rsid w:val="007E254B"/>
    <w:rsid w:val="00802D73"/>
    <w:rsid w:val="00831C8B"/>
    <w:rsid w:val="00857E08"/>
    <w:rsid w:val="00882E41"/>
    <w:rsid w:val="00883D72"/>
    <w:rsid w:val="008847C8"/>
    <w:rsid w:val="008B33F5"/>
    <w:rsid w:val="008C0C4C"/>
    <w:rsid w:val="00905E05"/>
    <w:rsid w:val="009307B8"/>
    <w:rsid w:val="009610AC"/>
    <w:rsid w:val="00976AFB"/>
    <w:rsid w:val="00976F51"/>
    <w:rsid w:val="009A4508"/>
    <w:rsid w:val="009B24DB"/>
    <w:rsid w:val="009B6F0A"/>
    <w:rsid w:val="009D154B"/>
    <w:rsid w:val="009D3376"/>
    <w:rsid w:val="009E5DC9"/>
    <w:rsid w:val="009E6172"/>
    <w:rsid w:val="00A264FC"/>
    <w:rsid w:val="00A52755"/>
    <w:rsid w:val="00A54663"/>
    <w:rsid w:val="00A61D2F"/>
    <w:rsid w:val="00A76FAE"/>
    <w:rsid w:val="00A923E4"/>
    <w:rsid w:val="00A93B72"/>
    <w:rsid w:val="00A95AE8"/>
    <w:rsid w:val="00AB4285"/>
    <w:rsid w:val="00AD558F"/>
    <w:rsid w:val="00AF5449"/>
    <w:rsid w:val="00B10B2F"/>
    <w:rsid w:val="00B31C00"/>
    <w:rsid w:val="00B52B88"/>
    <w:rsid w:val="00BA052A"/>
    <w:rsid w:val="00BA19BC"/>
    <w:rsid w:val="00BA3AA6"/>
    <w:rsid w:val="00BD1ABD"/>
    <w:rsid w:val="00BE20E7"/>
    <w:rsid w:val="00BF268A"/>
    <w:rsid w:val="00C05FE8"/>
    <w:rsid w:val="00C10E06"/>
    <w:rsid w:val="00C1626B"/>
    <w:rsid w:val="00C20869"/>
    <w:rsid w:val="00C216ED"/>
    <w:rsid w:val="00C42B9B"/>
    <w:rsid w:val="00C71A9A"/>
    <w:rsid w:val="00CA1F1D"/>
    <w:rsid w:val="00CA28A2"/>
    <w:rsid w:val="00CC6074"/>
    <w:rsid w:val="00CC6925"/>
    <w:rsid w:val="00CD040E"/>
    <w:rsid w:val="00CF025F"/>
    <w:rsid w:val="00D2226B"/>
    <w:rsid w:val="00D6248E"/>
    <w:rsid w:val="00D662CB"/>
    <w:rsid w:val="00D713E4"/>
    <w:rsid w:val="00D714FE"/>
    <w:rsid w:val="00D74595"/>
    <w:rsid w:val="00D91B77"/>
    <w:rsid w:val="00D9521C"/>
    <w:rsid w:val="00DA4A1C"/>
    <w:rsid w:val="00DA4B91"/>
    <w:rsid w:val="00DB5750"/>
    <w:rsid w:val="00DB6408"/>
    <w:rsid w:val="00DE2B49"/>
    <w:rsid w:val="00DF5445"/>
    <w:rsid w:val="00E01154"/>
    <w:rsid w:val="00E01FD5"/>
    <w:rsid w:val="00E15033"/>
    <w:rsid w:val="00E25ACA"/>
    <w:rsid w:val="00E4112B"/>
    <w:rsid w:val="00E44B98"/>
    <w:rsid w:val="00E8369D"/>
    <w:rsid w:val="00EA44AD"/>
    <w:rsid w:val="00EC639C"/>
    <w:rsid w:val="00F244F0"/>
    <w:rsid w:val="00F30F49"/>
    <w:rsid w:val="00F31D4D"/>
    <w:rsid w:val="00F3555A"/>
    <w:rsid w:val="00F61200"/>
    <w:rsid w:val="00F95051"/>
    <w:rsid w:val="00FA2C6B"/>
    <w:rsid w:val="00FD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C145B"/>
  <w15:chartTrackingRefBased/>
  <w15:docId w15:val="{C51ABACE-6B25-4462-BFA4-B62D2AF1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44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4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4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408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1544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4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5466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5FE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E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E0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5E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E0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E0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E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E0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05E0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5E0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905E05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rsid w:val="00AF5449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rsid w:val="00976F51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B28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871"/>
  </w:style>
  <w:style w:type="paragraph" w:styleId="Footer">
    <w:name w:val="footer"/>
    <w:basedOn w:val="Normal"/>
    <w:link w:val="FooterChar"/>
    <w:uiPriority w:val="99"/>
    <w:unhideWhenUsed/>
    <w:rsid w:val="006B28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71"/>
  </w:style>
  <w:style w:type="character" w:customStyle="1" w:styleId="UnresolvedMention">
    <w:name w:val="Unresolved Mention"/>
    <w:basedOn w:val="DefaultParagraphFont"/>
    <w:uiPriority w:val="99"/>
    <w:rsid w:val="00A52755"/>
    <w:rPr>
      <w:color w:val="808080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200DF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ea/en/connecting-europe-facility/cef-transport/apply-funding/2016-cef-transport-calls-proposals" TargetMode="External"/><Relationship Id="rId13" Type="http://schemas.openxmlformats.org/officeDocument/2006/relationships/hyperlink" Target="https://ec.europa.eu/inea/en/connecting-europe-facility/cef-transport/apply-funding/2017-cef-transport-blending-map-call" TargetMode="External"/><Relationship Id="rId18" Type="http://schemas.openxmlformats.org/officeDocument/2006/relationships/hyperlink" Target="https://ec.europa.eu/inea/en/connecting-europe-facility/cef-transport/projects-by-country/multi-country/2015-eu-tm-0196-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c.europa.eu/inea/en/connecting-europe-facility/cef-transport/projects-by-country/multi-country/2014-eu-tmc-0560-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c.europa.eu/inea/en/connecting-europe-facility/cef-transport/apply-funding/2017-cef-transport-sesar-call-proposals" TargetMode="External"/><Relationship Id="rId17" Type="http://schemas.openxmlformats.org/officeDocument/2006/relationships/hyperlink" Target="https://ec.europa.eu/inea/en/connecting-europe-facility/cef-transport/projects-by-country/multi-country/2015-eu-tm-0347-m" TargetMode="External"/><Relationship Id="rId25" Type="http://schemas.openxmlformats.org/officeDocument/2006/relationships/hyperlink" Target="https://ec.europa.eu/inea/en/connecting-europe-facility/cef-transport/projects-by-country/multi-country/2014-eu-tm-0136-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ea/en/connecting-europe-facility/cef-transport/projects-by-country/latvia/2015-lv-tm-0094-w" TargetMode="External"/><Relationship Id="rId20" Type="http://schemas.openxmlformats.org/officeDocument/2006/relationships/hyperlink" Target="https://ec.europa.eu/inea/en/connecting-europe-facility/cef-transport/projects-by-country/multi-country/2015-be-tm-0040-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inea/en/connecting-europe-facility/cef-transport/apply-funding/2014-cef-transport-calls-proposals" TargetMode="External"/><Relationship Id="rId24" Type="http://schemas.openxmlformats.org/officeDocument/2006/relationships/hyperlink" Target="https://ec.europa.eu/inea/en/connecting-europe-facility/cef-transport/projects-by-country/multi-country/2014-eu-tm-0152-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ec.europa.eu/inea/en/connecting-europe-facility/cef-transport/projects-by-country/multi-country/2014-eu-tm-0279-s" TargetMode="External"/><Relationship Id="rId10" Type="http://schemas.openxmlformats.org/officeDocument/2006/relationships/hyperlink" Target="https://ec.europa.eu/inea/en/connecting-europe-facility/cef-transport/apply-funding/2015-cef-transport-calls-proposals" TargetMode="External"/><Relationship Id="rId19" Type="http://schemas.openxmlformats.org/officeDocument/2006/relationships/hyperlink" Target="https://ec.europa.eu/inea/en/connecting-europe-facility/cef-transport/projects-by-country/multi-country/2015-eu-tm-0132-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inea/en/connecting-europe-facility/2016-cef-synergy-call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ec.europa.eu/inea/en/connecting-europe-facility/cef-transport/projects-by-country/multi-country/2014-eu-tm-0643-s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ea/connecting-europe-facility/cef-transport/projects-by-transport-mode" TargetMode="External"/><Relationship Id="rId3" Type="http://schemas.openxmlformats.org/officeDocument/2006/relationships/hyperlink" Target="https://ec.europa.eu/inea/en" TargetMode="External"/><Relationship Id="rId7" Type="http://schemas.openxmlformats.org/officeDocument/2006/relationships/hyperlink" Target="https://ec.europa.eu/inea/en" TargetMode="External"/><Relationship Id="rId2" Type="http://schemas.openxmlformats.org/officeDocument/2006/relationships/hyperlink" Target="https://ec.europa.eu/inea/en/connecting-europe-facility/cef-transport" TargetMode="External"/><Relationship Id="rId1" Type="http://schemas.openxmlformats.org/officeDocument/2006/relationships/hyperlink" Target="https://ec.europa.eu/transport/themes/infrastructure/ten-t-guidelines/project-funding/cef_en" TargetMode="External"/><Relationship Id="rId6" Type="http://schemas.openxmlformats.org/officeDocument/2006/relationships/hyperlink" Target="http://ec.europa.eu/transport/themes/infrastructure/ten-t-guidelines/legal-basis_en.htm" TargetMode="External"/><Relationship Id="rId5" Type="http://schemas.openxmlformats.org/officeDocument/2006/relationships/hyperlink" Target="http://ec.europa.eu/transport/themes/infrastructure/ten-t-guidelines/legal-basis_en.htm" TargetMode="External"/><Relationship Id="rId4" Type="http://schemas.openxmlformats.org/officeDocument/2006/relationships/hyperlink" Target="https://ec.europa.eu/inea/sites/inea/files/dip_november_201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84ABD1-5745-421B-BF28-7F72B0F7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7800</Words>
  <Characters>4446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Alvils Švēde</dc:creator>
  <cp:keywords/>
  <dc:description/>
  <cp:lastModifiedBy>Dace Krupenko</cp:lastModifiedBy>
  <cp:revision>15</cp:revision>
  <dcterms:created xsi:type="dcterms:W3CDTF">2018-02-12T08:05:00Z</dcterms:created>
  <dcterms:modified xsi:type="dcterms:W3CDTF">2018-04-26T12:34:00Z</dcterms:modified>
</cp:coreProperties>
</file>