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B6001" w14:textId="430484F2" w:rsidR="00130B02" w:rsidRPr="00A05CD5" w:rsidRDefault="00130B02" w:rsidP="00130B02">
      <w:pPr>
        <w:rPr>
          <w:rFonts w:ascii="Times New Roman" w:hAnsi="Times New Roman"/>
          <w:b/>
          <w:sz w:val="24"/>
          <w:szCs w:val="24"/>
          <w:lang w:val="lv-LV"/>
        </w:rPr>
      </w:pPr>
      <w:bookmarkStart w:id="0" w:name="_Hlk503446454"/>
      <w:bookmarkStart w:id="1" w:name="_GoBack"/>
      <w:bookmarkEnd w:id="1"/>
      <w:r w:rsidRPr="00A05CD5">
        <w:rPr>
          <w:rFonts w:ascii="Times New Roman" w:hAnsi="Times New Roman"/>
          <w:b/>
          <w:sz w:val="24"/>
          <w:szCs w:val="24"/>
          <w:lang w:val="lv-LV"/>
        </w:rPr>
        <w:t xml:space="preserve">Ekosistēmu pakalpojuma (EP) </w:t>
      </w:r>
      <w:r w:rsidR="00B01EE2">
        <w:rPr>
          <w:rFonts w:ascii="Times New Roman" w:hAnsi="Times New Roman"/>
          <w:b/>
          <w:sz w:val="24"/>
          <w:szCs w:val="24"/>
          <w:lang w:val="lv-LV"/>
        </w:rPr>
        <w:t>rādītāj</w:t>
      </w:r>
      <w:r w:rsidRPr="00A05CD5">
        <w:rPr>
          <w:rFonts w:ascii="Times New Roman" w:hAnsi="Times New Roman"/>
          <w:b/>
          <w:sz w:val="24"/>
          <w:szCs w:val="24"/>
          <w:lang w:val="lv-LV"/>
        </w:rPr>
        <w:t>a datu lapa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5466"/>
      </w:tblGrid>
      <w:tr w:rsidR="008B6BDB" w:rsidRPr="00A05CD5" w14:paraId="58D83674" w14:textId="77777777" w:rsidTr="00782510">
        <w:tc>
          <w:tcPr>
            <w:tcW w:w="2830" w:type="dxa"/>
          </w:tcPr>
          <w:p w14:paraId="56B372F0" w14:textId="77777777" w:rsidR="008B6BDB" w:rsidRPr="00A05CD5" w:rsidRDefault="008B6BDB" w:rsidP="007825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EP kategorija</w:t>
            </w:r>
          </w:p>
        </w:tc>
        <w:tc>
          <w:tcPr>
            <w:tcW w:w="5466" w:type="dxa"/>
          </w:tcPr>
          <w:p w14:paraId="3D4D4837" w14:textId="1E27CD27" w:rsidR="008B6BDB" w:rsidRPr="00A05CD5" w:rsidRDefault="00130B02" w:rsidP="0078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Apgādes pakalpojums</w:t>
            </w:r>
          </w:p>
        </w:tc>
      </w:tr>
      <w:tr w:rsidR="008B6BDB" w:rsidRPr="00A05CD5" w14:paraId="5A15615B" w14:textId="77777777" w:rsidTr="00782510">
        <w:tc>
          <w:tcPr>
            <w:tcW w:w="2830" w:type="dxa"/>
          </w:tcPr>
          <w:p w14:paraId="79ADDD20" w14:textId="77777777" w:rsidR="008B6BDB" w:rsidRPr="00A05CD5" w:rsidRDefault="008B6BDB" w:rsidP="007825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EP klase</w:t>
            </w:r>
          </w:p>
        </w:tc>
        <w:tc>
          <w:tcPr>
            <w:tcW w:w="5466" w:type="dxa"/>
          </w:tcPr>
          <w:p w14:paraId="1E08FE6D" w14:textId="78B81F11" w:rsidR="008B6BDB" w:rsidRPr="00A05CD5" w:rsidRDefault="009D47D5" w:rsidP="00A8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Savvaļas augi, dzīvnieki un to produkti</w:t>
            </w:r>
          </w:p>
        </w:tc>
      </w:tr>
      <w:tr w:rsidR="008B6BDB" w:rsidRPr="00A05CD5" w14:paraId="73C41072" w14:textId="77777777" w:rsidTr="00782510">
        <w:tc>
          <w:tcPr>
            <w:tcW w:w="2830" w:type="dxa"/>
          </w:tcPr>
          <w:p w14:paraId="0144BE06" w14:textId="350CF945" w:rsidR="008B6BDB" w:rsidRPr="00A05CD5" w:rsidRDefault="00B01EE2" w:rsidP="007825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Rādītāj</w:t>
            </w:r>
            <w:r w:rsidR="008B6BDB"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a nosaukums</w:t>
            </w:r>
          </w:p>
        </w:tc>
        <w:tc>
          <w:tcPr>
            <w:tcW w:w="5466" w:type="dxa"/>
          </w:tcPr>
          <w:p w14:paraId="453A971D" w14:textId="68095405" w:rsidR="008B6BDB" w:rsidRPr="00A05CD5" w:rsidRDefault="00B40792" w:rsidP="00FD3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Z</w:t>
            </w:r>
            <w:r w:rsidR="009D47D5" w:rsidRPr="00A05CD5">
              <w:rPr>
                <w:rFonts w:ascii="Times New Roman" w:hAnsi="Times New Roman"/>
                <w:sz w:val="24"/>
                <w:szCs w:val="24"/>
                <w:lang w:val="lv-LV"/>
              </w:rPr>
              <w:t>ivis</w:t>
            </w:r>
          </w:p>
        </w:tc>
      </w:tr>
      <w:tr w:rsidR="008B6BDB" w:rsidRPr="00B01EE2" w14:paraId="38E2A010" w14:textId="77777777" w:rsidTr="00782510">
        <w:tc>
          <w:tcPr>
            <w:tcW w:w="2830" w:type="dxa"/>
          </w:tcPr>
          <w:p w14:paraId="43B7D3B5" w14:textId="65DD45A8" w:rsidR="008B6BDB" w:rsidRPr="00A05CD5" w:rsidRDefault="00B01EE2" w:rsidP="007825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Rādītāj</w:t>
            </w:r>
            <w:r w:rsidR="008B6BDB"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a definīcija</w:t>
            </w:r>
          </w:p>
        </w:tc>
        <w:tc>
          <w:tcPr>
            <w:tcW w:w="5466" w:type="dxa"/>
          </w:tcPr>
          <w:p w14:paraId="7E41AEFA" w14:textId="77777777" w:rsidR="008B6BDB" w:rsidRPr="00A05CD5" w:rsidRDefault="00FD3CA9" w:rsidP="00D17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Potenciāli iegūstamo </w:t>
            </w:r>
            <w:r w:rsidR="00D17336" w:rsidRPr="00A05CD5">
              <w:rPr>
                <w:rFonts w:ascii="Times New Roman" w:hAnsi="Times New Roman"/>
                <w:sz w:val="24"/>
                <w:szCs w:val="24"/>
                <w:lang w:val="lv-LV"/>
              </w:rPr>
              <w:t>pārtikā patērējamo</w:t>
            </w: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zi</w:t>
            </w:r>
            <w:r w:rsidR="00DC0340" w:rsidRPr="00A05CD5">
              <w:rPr>
                <w:rFonts w:ascii="Times New Roman" w:hAnsi="Times New Roman"/>
                <w:sz w:val="24"/>
                <w:szCs w:val="24"/>
                <w:lang w:val="lv-LV"/>
              </w:rPr>
              <w:t>vj</w:t>
            </w: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u daudzums</w:t>
            </w:r>
          </w:p>
        </w:tc>
      </w:tr>
      <w:tr w:rsidR="008B6BDB" w:rsidRPr="00A05CD5" w14:paraId="0FB3ED6C" w14:textId="77777777" w:rsidTr="00782510">
        <w:tc>
          <w:tcPr>
            <w:tcW w:w="2830" w:type="dxa"/>
          </w:tcPr>
          <w:p w14:paraId="6923475F" w14:textId="77777777" w:rsidR="008B6BDB" w:rsidRPr="00A05CD5" w:rsidRDefault="008B6BDB" w:rsidP="007825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Mērvienība</w:t>
            </w:r>
          </w:p>
        </w:tc>
        <w:tc>
          <w:tcPr>
            <w:tcW w:w="5466" w:type="dxa"/>
          </w:tcPr>
          <w:p w14:paraId="0976053F" w14:textId="2E01D3C5" w:rsidR="008B6BDB" w:rsidRPr="00A05CD5" w:rsidRDefault="00130B02" w:rsidP="0078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kg/ha </w:t>
            </w:r>
            <w:r w:rsidRPr="00A05CD5">
              <w:rPr>
                <w:rFonts w:ascii="Times New Roman" w:hAnsi="Times New Roman"/>
                <w:sz w:val="24"/>
                <w:szCs w:val="24"/>
                <w:vertAlign w:val="superscript"/>
                <w:lang w:val="lv-LV"/>
              </w:rPr>
              <w:t>-1</w:t>
            </w:r>
          </w:p>
        </w:tc>
      </w:tr>
      <w:tr w:rsidR="008B6BDB" w:rsidRPr="00A05CD5" w14:paraId="766F78EC" w14:textId="77777777" w:rsidTr="00782510">
        <w:tc>
          <w:tcPr>
            <w:tcW w:w="2830" w:type="dxa"/>
          </w:tcPr>
          <w:p w14:paraId="04A8102B" w14:textId="77777777" w:rsidR="008B6BDB" w:rsidRPr="00A05CD5" w:rsidRDefault="008B6BDB" w:rsidP="007825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Datu lapas autors/i:</w:t>
            </w:r>
          </w:p>
        </w:tc>
        <w:tc>
          <w:tcPr>
            <w:tcW w:w="5466" w:type="dxa"/>
          </w:tcPr>
          <w:p w14:paraId="3E81037C" w14:textId="77777777" w:rsidR="008B6BDB" w:rsidRPr="00A05CD5" w:rsidRDefault="00A337DB" w:rsidP="0078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Laura Grīnberga</w:t>
            </w:r>
          </w:p>
        </w:tc>
      </w:tr>
    </w:tbl>
    <w:p w14:paraId="2D7EDD83" w14:textId="77777777" w:rsidR="008B6BDB" w:rsidRPr="00A05CD5" w:rsidRDefault="008B6BDB" w:rsidP="007A0289">
      <w:pPr>
        <w:spacing w:after="0"/>
        <w:rPr>
          <w:rFonts w:ascii="Times New Roman" w:hAnsi="Times New Roman"/>
          <w:sz w:val="24"/>
          <w:szCs w:val="24"/>
          <w:lang w:val="lv-LV"/>
        </w:rPr>
      </w:pPr>
    </w:p>
    <w:p w14:paraId="7704B417" w14:textId="0A3A798B" w:rsidR="006D28F3" w:rsidRPr="00A05CD5" w:rsidRDefault="007066BA" w:rsidP="00D83A7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A05CD5">
        <w:rPr>
          <w:rFonts w:ascii="Times New Roman" w:hAnsi="Times New Roman"/>
          <w:sz w:val="24"/>
          <w:szCs w:val="24"/>
          <w:lang w:val="lv-LV"/>
        </w:rPr>
        <w:t xml:space="preserve">Latvijas iekšējos ūdeņos sastopamas 42 zivju un 2 nēģu sugas, no kurām lielākā daļa – 32 – ir saldūdens zivis, bet 10 – </w:t>
      </w:r>
      <w:proofErr w:type="spellStart"/>
      <w:r w:rsidRPr="00A05CD5">
        <w:rPr>
          <w:rFonts w:ascii="Times New Roman" w:hAnsi="Times New Roman"/>
          <w:sz w:val="24"/>
          <w:szCs w:val="24"/>
          <w:lang w:val="lv-LV"/>
        </w:rPr>
        <w:t>ceļotājzivis</w:t>
      </w:r>
      <w:proofErr w:type="spellEnd"/>
      <w:r w:rsidRPr="00A05CD5">
        <w:rPr>
          <w:rFonts w:ascii="Times New Roman" w:hAnsi="Times New Roman"/>
          <w:sz w:val="24"/>
          <w:szCs w:val="24"/>
          <w:lang w:val="lv-LV"/>
        </w:rPr>
        <w:t xml:space="preserve">. Cilvēka darbības rezultātā iekšējos ūdeņos aklimatizējušās tādas zivju sugas kā karpa, sudrabkarūsa, </w:t>
      </w:r>
      <w:proofErr w:type="spellStart"/>
      <w:r w:rsidRPr="00A05CD5">
        <w:rPr>
          <w:rFonts w:ascii="Times New Roman" w:hAnsi="Times New Roman"/>
          <w:sz w:val="24"/>
          <w:szCs w:val="24"/>
          <w:lang w:val="lv-LV"/>
        </w:rPr>
        <w:t>rotans</w:t>
      </w:r>
      <w:proofErr w:type="spellEnd"/>
      <w:r w:rsidRPr="00A05CD5">
        <w:rPr>
          <w:rFonts w:ascii="Times New Roman" w:hAnsi="Times New Roman"/>
          <w:sz w:val="24"/>
          <w:szCs w:val="24"/>
          <w:lang w:val="lv-LV"/>
        </w:rPr>
        <w:t xml:space="preserve"> un sīgas ezeru forma. Visas ūdenstilpē dzīvojošās zivis sauc par zivju krājumu, bet to masas pieaugumu laika vienībā – par produkciju. Parasti to izsaka kā zivju kilogramus uz 1 ha gadā. To zivju daudzumu, ko ūdenstilpē iegūst dažāda veida zvejā, sauc par tās zivsaimniecisko produktivitāti. Runa ir par to zivju krājumu daļu, ko katru gadu var iegūt, neizjaucot ūdenstilpē pastāvošo zivju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dabiskās atražošanās līdzsvaru.</w:t>
      </w:r>
    </w:p>
    <w:p w14:paraId="0A7DDDD4" w14:textId="45154E3C" w:rsidR="006D28F3" w:rsidRPr="00A05CD5" w:rsidRDefault="007066BA" w:rsidP="00D83A7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A05CD5">
        <w:rPr>
          <w:rFonts w:ascii="Times New Roman" w:hAnsi="Times New Roman"/>
          <w:sz w:val="24"/>
          <w:szCs w:val="24"/>
          <w:lang w:val="lv-LV"/>
        </w:rPr>
        <w:t xml:space="preserve">Latvijas apstākļos </w:t>
      </w:r>
      <w:proofErr w:type="spellStart"/>
      <w:r w:rsidRPr="00A05CD5">
        <w:rPr>
          <w:rFonts w:ascii="Times New Roman" w:hAnsi="Times New Roman"/>
          <w:sz w:val="24"/>
          <w:szCs w:val="24"/>
          <w:lang w:val="lv-LV"/>
        </w:rPr>
        <w:t>eitrofos</w:t>
      </w:r>
      <w:proofErr w:type="spellEnd"/>
      <w:r w:rsidRPr="00A05CD5">
        <w:rPr>
          <w:rFonts w:ascii="Times New Roman" w:hAnsi="Times New Roman"/>
          <w:sz w:val="24"/>
          <w:szCs w:val="24"/>
          <w:lang w:val="lv-LV"/>
        </w:rPr>
        <w:t xml:space="preserve"> ezeros vidēji ir ap 200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-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250 kg zivju uz hektāra, bet </w:t>
      </w:r>
      <w:proofErr w:type="spellStart"/>
      <w:r w:rsidRPr="00A05CD5">
        <w:rPr>
          <w:rFonts w:ascii="Times New Roman" w:hAnsi="Times New Roman"/>
          <w:sz w:val="24"/>
          <w:szCs w:val="24"/>
          <w:lang w:val="lv-LV"/>
        </w:rPr>
        <w:t>mezotrofos</w:t>
      </w:r>
      <w:proofErr w:type="spellEnd"/>
      <w:r w:rsidRPr="00A05CD5">
        <w:rPr>
          <w:rFonts w:ascii="Times New Roman" w:hAnsi="Times New Roman"/>
          <w:sz w:val="24"/>
          <w:szCs w:val="24"/>
          <w:lang w:val="lv-LV"/>
        </w:rPr>
        <w:t xml:space="preserve"> – 80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-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150 kg/ha. Šie rādītāji ietver kopējo </w:t>
      </w:r>
      <w:proofErr w:type="spellStart"/>
      <w:r w:rsidRPr="00A05CD5">
        <w:rPr>
          <w:rFonts w:ascii="Times New Roman" w:hAnsi="Times New Roman"/>
          <w:sz w:val="24"/>
          <w:szCs w:val="24"/>
          <w:lang w:val="lv-LV"/>
        </w:rPr>
        <w:t>ihtiomasu</w:t>
      </w:r>
      <w:proofErr w:type="spellEnd"/>
      <w:r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 xml:space="preserve">jeb 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zivju biomasu. </w:t>
      </w:r>
      <w:r w:rsidR="00D83A71" w:rsidRPr="00A05CD5">
        <w:rPr>
          <w:rFonts w:ascii="Times New Roman" w:hAnsi="Times New Roman"/>
          <w:sz w:val="24"/>
          <w:szCs w:val="24"/>
          <w:lang w:val="lv-LV"/>
        </w:rPr>
        <w:t>Latvijas ezeru zivsaimnieciskā produktivitāte, t. i., tā zivju biomasas daļa, ko var izmantot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,</w:t>
      </w:r>
      <w:r w:rsidR="00D83A71" w:rsidRPr="00A05CD5">
        <w:rPr>
          <w:rFonts w:ascii="Times New Roman" w:hAnsi="Times New Roman"/>
          <w:sz w:val="24"/>
          <w:szCs w:val="24"/>
          <w:lang w:val="lv-LV"/>
        </w:rPr>
        <w:t xml:space="preserve"> zvejojot vai makšķerējot, vidēji ir ap 50 kg/ha gadā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(</w:t>
      </w:r>
      <w:proofErr w:type="spellStart"/>
      <w:r w:rsidR="00A05CD5" w:rsidRPr="00A05CD5">
        <w:rPr>
          <w:rFonts w:ascii="Times New Roman" w:hAnsi="Times New Roman"/>
          <w:sz w:val="24"/>
          <w:szCs w:val="24"/>
          <w:lang w:val="lv-LV"/>
        </w:rPr>
        <w:t>J.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>Birzak</w:t>
      </w:r>
      <w:r w:rsidR="00130B02" w:rsidRPr="00A05CD5">
        <w:rPr>
          <w:rFonts w:ascii="Times New Roman" w:hAnsi="Times New Roman"/>
          <w:sz w:val="24"/>
          <w:szCs w:val="24"/>
          <w:lang w:val="lv-LV"/>
        </w:rPr>
        <w:t>s</w:t>
      </w:r>
      <w:proofErr w:type="spellEnd"/>
      <w:r w:rsidR="00A05CD5" w:rsidRPr="00A05CD5">
        <w:rPr>
          <w:rFonts w:ascii="Times New Roman" w:hAnsi="Times New Roman"/>
          <w:sz w:val="24"/>
          <w:szCs w:val="24"/>
          <w:lang w:val="lv-LV"/>
        </w:rPr>
        <w:t>).</w:t>
      </w:r>
    </w:p>
    <w:p w14:paraId="19B3D114" w14:textId="6A87DFB8" w:rsidR="006D28F3" w:rsidRPr="00A05CD5" w:rsidRDefault="00D83A71" w:rsidP="00D83A7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A05CD5">
        <w:rPr>
          <w:rFonts w:ascii="Times New Roman" w:hAnsi="Times New Roman"/>
          <w:sz w:val="24"/>
          <w:szCs w:val="24"/>
          <w:lang w:val="lv-LV"/>
        </w:rPr>
        <w:t>Latvijas upju zivsaimnieciskā produktivitāte straujteču posmos ir mazāka, bet lēnajos posmos un ūdenskrātuvēs tā parasti ir lielāka nekā ezeros. Daudzās upēs atšķirībā no ezeriem daļu zivju krājum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u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 veido </w:t>
      </w:r>
      <w:proofErr w:type="spellStart"/>
      <w:r w:rsidRPr="00A05CD5">
        <w:rPr>
          <w:rFonts w:ascii="Times New Roman" w:hAnsi="Times New Roman"/>
          <w:sz w:val="24"/>
          <w:szCs w:val="24"/>
          <w:lang w:val="lv-LV"/>
        </w:rPr>
        <w:t>ceļotājzivju</w:t>
      </w:r>
      <w:proofErr w:type="spellEnd"/>
      <w:r w:rsidRPr="00A05CD5">
        <w:rPr>
          <w:rFonts w:ascii="Times New Roman" w:hAnsi="Times New Roman"/>
          <w:sz w:val="24"/>
          <w:szCs w:val="24"/>
          <w:lang w:val="lv-LV"/>
        </w:rPr>
        <w:t xml:space="preserve"> sugas, kas uzturas upēs kā mazuļi, bet tad migrē uz jūru, lai pēc vairākiem gadiem atgrieztos nārstot. Kopumā Latvijas upju zivsaimnieciskā produktivitāte ir 25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-</w:t>
      </w:r>
      <w:r w:rsidRPr="00A05CD5">
        <w:rPr>
          <w:rFonts w:ascii="Times New Roman" w:hAnsi="Times New Roman"/>
          <w:sz w:val="24"/>
          <w:szCs w:val="24"/>
          <w:lang w:val="lv-LV"/>
        </w:rPr>
        <w:t>65 kg/ha, vidēji ap 50 kg/ha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(</w:t>
      </w:r>
      <w:proofErr w:type="spellStart"/>
      <w:r w:rsidR="00A05CD5" w:rsidRPr="00A05CD5">
        <w:rPr>
          <w:rFonts w:ascii="Times New Roman" w:hAnsi="Times New Roman"/>
          <w:sz w:val="24"/>
          <w:szCs w:val="24"/>
          <w:lang w:val="lv-LV"/>
        </w:rPr>
        <w:t>J.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>Birzaks</w:t>
      </w:r>
      <w:proofErr w:type="spellEnd"/>
      <w:r w:rsidR="00662DCB" w:rsidRPr="00A05CD5">
        <w:rPr>
          <w:rFonts w:ascii="Times New Roman" w:hAnsi="Times New Roman"/>
          <w:sz w:val="24"/>
          <w:szCs w:val="24"/>
          <w:lang w:val="lv-LV"/>
        </w:rPr>
        <w:t>)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. </w:t>
      </w:r>
    </w:p>
    <w:p w14:paraId="2268B58C" w14:textId="7D00EEF9" w:rsidR="006D28F3" w:rsidRPr="00A05CD5" w:rsidRDefault="00D83A71" w:rsidP="002E580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A05CD5">
        <w:rPr>
          <w:rFonts w:ascii="Times New Roman" w:hAnsi="Times New Roman"/>
          <w:sz w:val="24"/>
          <w:szCs w:val="24"/>
          <w:lang w:val="lv-LV"/>
        </w:rPr>
        <w:t>Ap divām trešdaļām zivju resurs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u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 Latvijas ūdenstilpēs ir saimnieciski mazvērtīgās sugas. Savukārt rūpnieciskās zvejas lomu sastāvā vidēji 60% sastāda karpu dzimtas zivis (</w:t>
      </w:r>
      <w:proofErr w:type="spellStart"/>
      <w:r w:rsidR="00A05CD5" w:rsidRPr="00A05CD5">
        <w:rPr>
          <w:rFonts w:ascii="Times New Roman" w:hAnsi="Times New Roman"/>
          <w:sz w:val="24"/>
          <w:szCs w:val="24"/>
          <w:lang w:val="lv-LV"/>
        </w:rPr>
        <w:t>J.</w:t>
      </w:r>
      <w:r w:rsidRPr="00A05CD5">
        <w:rPr>
          <w:rFonts w:ascii="Times New Roman" w:hAnsi="Times New Roman"/>
          <w:sz w:val="24"/>
          <w:szCs w:val="24"/>
          <w:lang w:val="lv-LV"/>
        </w:rPr>
        <w:t>Birzaks</w:t>
      </w:r>
      <w:proofErr w:type="spellEnd"/>
      <w:r w:rsidR="00A05CD5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proofErr w:type="spellStart"/>
      <w:r w:rsidR="00A05CD5" w:rsidRPr="00A05CD5">
        <w:rPr>
          <w:rFonts w:ascii="Times New Roman" w:hAnsi="Times New Roman"/>
          <w:sz w:val="24"/>
          <w:szCs w:val="24"/>
          <w:lang w:val="lv-LV"/>
        </w:rPr>
        <w:t>et</w:t>
      </w:r>
      <w:proofErr w:type="spellEnd"/>
      <w:r w:rsidR="00A05CD5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proofErr w:type="spellStart"/>
      <w:r w:rsidR="00A05CD5" w:rsidRPr="00A05CD5">
        <w:rPr>
          <w:rFonts w:ascii="Times New Roman" w:hAnsi="Times New Roman"/>
          <w:sz w:val="24"/>
          <w:szCs w:val="24"/>
          <w:lang w:val="lv-LV"/>
        </w:rPr>
        <w:t>al</w:t>
      </w:r>
      <w:proofErr w:type="spellEnd"/>
      <w:r w:rsidR="00A05CD5" w:rsidRPr="00A05CD5">
        <w:rPr>
          <w:rFonts w:ascii="Times New Roman" w:hAnsi="Times New Roman"/>
          <w:sz w:val="24"/>
          <w:szCs w:val="24"/>
          <w:lang w:val="lv-LV"/>
        </w:rPr>
        <w:t>.</w:t>
      </w:r>
      <w:r w:rsidRPr="00A05CD5">
        <w:rPr>
          <w:rFonts w:ascii="Times New Roman" w:hAnsi="Times New Roman"/>
          <w:sz w:val="24"/>
          <w:szCs w:val="24"/>
          <w:lang w:val="lv-LV"/>
        </w:rPr>
        <w:t>).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FC3887" w:rsidRPr="00A05CD5">
        <w:rPr>
          <w:rFonts w:ascii="Times New Roman" w:hAnsi="Times New Roman"/>
          <w:sz w:val="24"/>
          <w:szCs w:val="24"/>
          <w:u w:val="single"/>
          <w:lang w:val="lv-LV"/>
        </w:rPr>
        <w:t xml:space="preserve">Ir jāņem vērā, ka, pieaugot barības vielu daudzumam ūdenī, </w:t>
      </w:r>
      <w:r w:rsidR="0000047E" w:rsidRPr="00A05CD5">
        <w:rPr>
          <w:rFonts w:ascii="Times New Roman" w:hAnsi="Times New Roman"/>
          <w:sz w:val="24"/>
          <w:szCs w:val="24"/>
          <w:u w:val="single"/>
          <w:lang w:val="lv-LV"/>
        </w:rPr>
        <w:t xml:space="preserve">palielinās ūdeņu eitrofikācija </w:t>
      </w:r>
      <w:r w:rsidR="00616836" w:rsidRPr="00A05CD5">
        <w:rPr>
          <w:rFonts w:ascii="Times New Roman" w:hAnsi="Times New Roman"/>
          <w:sz w:val="24"/>
          <w:szCs w:val="24"/>
          <w:u w:val="single"/>
          <w:lang w:val="lv-LV"/>
        </w:rPr>
        <w:t xml:space="preserve">un samazinās ūdeņu ekosistēmu kvalitāte, bet </w:t>
      </w:r>
      <w:r w:rsidR="00FC3887" w:rsidRPr="00A05CD5">
        <w:rPr>
          <w:rFonts w:ascii="Times New Roman" w:hAnsi="Times New Roman"/>
          <w:sz w:val="24"/>
          <w:szCs w:val="24"/>
          <w:u w:val="single"/>
          <w:lang w:val="lv-LV"/>
        </w:rPr>
        <w:t xml:space="preserve">palielinās kopējā visu sugu zivju biomasa un potenciāli iegūstamo zivju produkcija. </w:t>
      </w:r>
      <w:r w:rsidR="00616836" w:rsidRPr="00A05CD5">
        <w:rPr>
          <w:rFonts w:ascii="Times New Roman" w:hAnsi="Times New Roman"/>
          <w:sz w:val="24"/>
          <w:szCs w:val="24"/>
          <w:u w:val="single"/>
          <w:lang w:val="lv-LV"/>
        </w:rPr>
        <w:t>T</w:t>
      </w:r>
      <w:r w:rsidR="00FC3887" w:rsidRPr="00A05CD5">
        <w:rPr>
          <w:rFonts w:ascii="Times New Roman" w:hAnsi="Times New Roman"/>
          <w:sz w:val="24"/>
          <w:szCs w:val="24"/>
          <w:u w:val="single"/>
          <w:lang w:val="lv-LV"/>
        </w:rPr>
        <w:t xml:space="preserve">āpēc kopējais zivju biomasas pieaugums nav </w:t>
      </w:r>
      <w:r w:rsidR="00A05CD5" w:rsidRPr="00A05CD5">
        <w:rPr>
          <w:rFonts w:ascii="Times New Roman" w:hAnsi="Times New Roman"/>
          <w:sz w:val="24"/>
          <w:szCs w:val="24"/>
          <w:u w:val="single"/>
          <w:lang w:val="lv-LV"/>
        </w:rPr>
        <w:t xml:space="preserve">rādītājs </w:t>
      </w:r>
      <w:r w:rsidR="00FC3887" w:rsidRPr="00A05CD5">
        <w:rPr>
          <w:rFonts w:ascii="Times New Roman" w:hAnsi="Times New Roman"/>
          <w:sz w:val="24"/>
          <w:szCs w:val="24"/>
          <w:u w:val="single"/>
          <w:lang w:val="lv-LV"/>
        </w:rPr>
        <w:t>ūdens biotopu ekosistēmu kvalitātes novērtēšanai.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 xml:space="preserve"> Ū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deņos ar augstāku ekosistēmu kvalitāti palielinās saimnieciski nozīmīg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o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 xml:space="preserve"> ziv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ju skaits, kuras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 xml:space="preserve"> ir uzskaitītas Biotopu direktīvā (</w:t>
      </w:r>
      <w:r w:rsidR="00130B02" w:rsidRPr="00A05CD5">
        <w:rPr>
          <w:rFonts w:ascii="Times New Roman" w:hAnsi="Times New Roman"/>
          <w:bCs/>
          <w:sz w:val="24"/>
          <w:szCs w:val="24"/>
          <w:lang w:val="lv-LV"/>
        </w:rPr>
        <w:t>Padomes 1992. gada 21. maija Direktīva 92/43/EEK par dabisko dzīvotņu, savvaļas faunas un floras aizsardzību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 xml:space="preserve">) un MK noteikumos Nr. </w:t>
      </w:r>
      <w:r w:rsidR="00130B02" w:rsidRPr="00A05CD5">
        <w:rPr>
          <w:rFonts w:ascii="Times New Roman" w:hAnsi="Times New Roman"/>
          <w:sz w:val="24"/>
          <w:szCs w:val="24"/>
          <w:lang w:val="lv-LV"/>
        </w:rPr>
        <w:t>3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96 (</w:t>
      </w:r>
      <w:r w:rsidR="00130B02" w:rsidRPr="00A05CD5">
        <w:rPr>
          <w:rFonts w:ascii="Times New Roman" w:hAnsi="Times New Roman"/>
          <w:sz w:val="24"/>
          <w:szCs w:val="24"/>
          <w:lang w:val="lv-LV"/>
        </w:rPr>
        <w:t>MK 2000. gada 14. novembra noteikumi Nr. 396 „Noteikumi par īpaši aizsargājamo sugu un ierobežoti izmantojamo īpaši aizsargājamo sugu sarakstu”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)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: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 xml:space="preserve"> alata, lasis, upes nēģis, repsis, salate, taimiņš.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Z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>ivīm, kas liecina par ekosistēmas kvalitāti, š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ajā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rādītāj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ā </w:t>
      </w:r>
      <w:r w:rsidR="0094740B" w:rsidRPr="00A05CD5">
        <w:rPr>
          <w:rFonts w:ascii="Times New Roman" w:hAnsi="Times New Roman"/>
          <w:sz w:val="24"/>
          <w:szCs w:val="24"/>
          <w:lang w:val="lv-LV"/>
        </w:rPr>
        <w:t xml:space="preserve">papildus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ieskaitīta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arī plēsīgās zivis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: asari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(</w:t>
      </w:r>
      <w:proofErr w:type="spellStart"/>
      <w:r w:rsidR="00662DCB" w:rsidRPr="00A05CD5">
        <w:rPr>
          <w:rFonts w:ascii="Times New Roman" w:hAnsi="Times New Roman"/>
          <w:sz w:val="24"/>
          <w:szCs w:val="24"/>
          <w:lang w:val="lv-LV"/>
        </w:rPr>
        <w:t>gk</w:t>
      </w:r>
      <w:proofErr w:type="spellEnd"/>
      <w:r w:rsidR="00662DCB" w:rsidRPr="00A05CD5">
        <w:rPr>
          <w:rFonts w:ascii="Times New Roman" w:hAnsi="Times New Roman"/>
          <w:sz w:val="24"/>
          <w:szCs w:val="24"/>
          <w:lang w:val="lv-LV"/>
        </w:rPr>
        <w:t>. ezeros) un līdak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u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>.</w:t>
      </w:r>
    </w:p>
    <w:p w14:paraId="26098810" w14:textId="22515B74" w:rsidR="00616836" w:rsidRPr="00A05CD5" w:rsidRDefault="00616836" w:rsidP="002E580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A05CD5">
        <w:rPr>
          <w:rFonts w:ascii="Times New Roman" w:hAnsi="Times New Roman"/>
          <w:sz w:val="24"/>
          <w:szCs w:val="24"/>
          <w:lang w:val="lv-LV"/>
        </w:rPr>
        <w:t>Latvijas upes un ezeri nodrošina iedzīvotāju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 xml:space="preserve"> apgādi ar ziv</w:t>
      </w:r>
      <w:r w:rsidR="00D33285" w:rsidRPr="00A05CD5">
        <w:rPr>
          <w:rFonts w:ascii="Times New Roman" w:hAnsi="Times New Roman"/>
          <w:sz w:val="24"/>
          <w:szCs w:val="24"/>
          <w:lang w:val="lv-LV"/>
        </w:rPr>
        <w:t>īm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 pārtikā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 xml:space="preserve"> gan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 xml:space="preserve">ar 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saimnieciski nozīmīga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jām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, gan pārējām</w:t>
      </w:r>
      <w:r w:rsidRPr="00A05CD5">
        <w:rPr>
          <w:rFonts w:ascii="Times New Roman" w:hAnsi="Times New Roman"/>
          <w:sz w:val="24"/>
          <w:szCs w:val="24"/>
          <w:lang w:val="lv-LV"/>
        </w:rPr>
        <w:t>. Tāpēc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,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 novērtējot apgādes pakalpojumus</w:t>
      </w:r>
      <w:r w:rsidR="00BB632B" w:rsidRPr="00A05CD5">
        <w:rPr>
          <w:rFonts w:ascii="Times New Roman" w:hAnsi="Times New Roman"/>
          <w:sz w:val="24"/>
          <w:szCs w:val="24"/>
          <w:lang w:val="lv-LV"/>
        </w:rPr>
        <w:t>,</w:t>
      </w:r>
      <w:r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vērtē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 xml:space="preserve"> potenciāli iegūstam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o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visu</w:t>
      </w:r>
      <w:r w:rsidR="006D28F3" w:rsidRPr="00A05CD5">
        <w:rPr>
          <w:rFonts w:ascii="Times New Roman" w:hAnsi="Times New Roman"/>
          <w:sz w:val="24"/>
          <w:szCs w:val="24"/>
          <w:lang w:val="lv-LV"/>
        </w:rPr>
        <w:t xml:space="preserve"> zivju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 xml:space="preserve"> daudzum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u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>, kas veidojas gan no</w:t>
      </w:r>
      <w:r w:rsidR="006D28F3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>saimnieciski nozīmīg</w:t>
      </w:r>
      <w:r w:rsidR="00A05CD5" w:rsidRPr="00A05CD5">
        <w:rPr>
          <w:rFonts w:ascii="Times New Roman" w:hAnsi="Times New Roman"/>
          <w:sz w:val="24"/>
          <w:szCs w:val="24"/>
          <w:lang w:val="lv-LV"/>
        </w:rPr>
        <w:t>u</w:t>
      </w:r>
      <w:r w:rsidR="00FC3887" w:rsidRPr="00A05CD5">
        <w:rPr>
          <w:rFonts w:ascii="Times New Roman" w:hAnsi="Times New Roman"/>
          <w:sz w:val="24"/>
          <w:szCs w:val="24"/>
          <w:lang w:val="lv-LV"/>
        </w:rPr>
        <w:t xml:space="preserve"> sugu zivīm</w:t>
      </w:r>
      <w:r w:rsidR="006D28F3" w:rsidRPr="00A05CD5">
        <w:rPr>
          <w:rFonts w:ascii="Times New Roman" w:hAnsi="Times New Roman"/>
          <w:sz w:val="24"/>
          <w:szCs w:val="24"/>
          <w:lang w:val="lv-LV"/>
        </w:rPr>
        <w:t xml:space="preserve">, </w:t>
      </w:r>
      <w:r w:rsidR="00D33285" w:rsidRPr="00A05CD5">
        <w:rPr>
          <w:rFonts w:ascii="Times New Roman" w:hAnsi="Times New Roman"/>
          <w:sz w:val="24"/>
          <w:szCs w:val="24"/>
          <w:lang w:val="lv-LV"/>
        </w:rPr>
        <w:t>gan no pā</w:t>
      </w:r>
      <w:r w:rsidR="00BB632B" w:rsidRPr="00A05CD5">
        <w:rPr>
          <w:rFonts w:ascii="Times New Roman" w:hAnsi="Times New Roman"/>
          <w:sz w:val="24"/>
          <w:szCs w:val="24"/>
          <w:lang w:val="lv-LV"/>
        </w:rPr>
        <w:t>rējās pārtikā izmantotās zivju</w:t>
      </w:r>
      <w:r w:rsidR="00D33285" w:rsidRPr="00A05CD5">
        <w:rPr>
          <w:rFonts w:ascii="Times New Roman" w:hAnsi="Times New Roman"/>
          <w:sz w:val="24"/>
          <w:szCs w:val="24"/>
          <w:lang w:val="lv-LV"/>
        </w:rPr>
        <w:t xml:space="preserve"> produkcijas masas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 xml:space="preserve"> (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karpu dzimtas zivis, 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zandarti, sami</w:t>
      </w:r>
      <w:r w:rsidR="00662DCB" w:rsidRPr="00A05CD5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7233E0" w:rsidRPr="00A05CD5">
        <w:rPr>
          <w:rFonts w:ascii="Times New Roman" w:hAnsi="Times New Roman"/>
          <w:sz w:val="24"/>
          <w:szCs w:val="24"/>
          <w:lang w:val="lv-LV"/>
        </w:rPr>
        <w:t>u.c.)</w:t>
      </w:r>
      <w:r w:rsidR="006D28F3" w:rsidRPr="00A05CD5">
        <w:rPr>
          <w:rFonts w:ascii="Times New Roman" w:hAnsi="Times New Roman"/>
          <w:sz w:val="24"/>
          <w:szCs w:val="24"/>
          <w:lang w:val="lv-LV"/>
        </w:rPr>
        <w:t xml:space="preserve">. </w:t>
      </w:r>
    </w:p>
    <w:p w14:paraId="56B59D3C" w14:textId="77777777" w:rsidR="00BB632B" w:rsidRPr="00A05CD5" w:rsidRDefault="00BB632B" w:rsidP="002E580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105DF552" w14:textId="77777777" w:rsidR="00D33285" w:rsidRPr="00A05CD5" w:rsidRDefault="00D33285" w:rsidP="002E5801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7F98FB30" w14:textId="73CFDB28" w:rsidR="008B6BDB" w:rsidRPr="00A05CD5" w:rsidRDefault="00D33285" w:rsidP="00A05CD5">
      <w:pPr>
        <w:spacing w:after="0" w:line="240" w:lineRule="auto"/>
        <w:rPr>
          <w:rFonts w:ascii="Times New Roman" w:hAnsi="Times New Roman"/>
          <w:b/>
          <w:sz w:val="24"/>
          <w:szCs w:val="24"/>
          <w:lang w:val="lv-LV"/>
        </w:rPr>
      </w:pPr>
      <w:r w:rsidRPr="00A05CD5">
        <w:rPr>
          <w:rFonts w:ascii="Times New Roman" w:hAnsi="Times New Roman"/>
          <w:b/>
          <w:sz w:val="24"/>
          <w:szCs w:val="24"/>
          <w:lang w:val="lv-LV"/>
        </w:rPr>
        <w:t>Tabula 1</w:t>
      </w:r>
      <w:r w:rsidR="008B6BDB" w:rsidRPr="00A05CD5">
        <w:rPr>
          <w:rFonts w:ascii="Times New Roman" w:hAnsi="Times New Roman"/>
          <w:b/>
          <w:sz w:val="24"/>
          <w:szCs w:val="24"/>
          <w:lang w:val="lv-LV"/>
        </w:rPr>
        <w:t xml:space="preserve">. EP novērtējuma </w:t>
      </w:r>
      <w:r w:rsidR="00B01EE2">
        <w:rPr>
          <w:rFonts w:ascii="Times New Roman" w:hAnsi="Times New Roman"/>
          <w:b/>
          <w:sz w:val="24"/>
          <w:szCs w:val="24"/>
          <w:lang w:val="lv-LV"/>
        </w:rPr>
        <w:t>rādītāj</w:t>
      </w:r>
      <w:r w:rsidR="008B6BDB" w:rsidRPr="00A05CD5">
        <w:rPr>
          <w:rFonts w:ascii="Times New Roman" w:hAnsi="Times New Roman"/>
          <w:b/>
          <w:sz w:val="24"/>
          <w:szCs w:val="24"/>
          <w:lang w:val="lv-LV"/>
        </w:rPr>
        <w:t>u skalas kvalifikācija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282"/>
        <w:gridCol w:w="2283"/>
      </w:tblGrid>
      <w:tr w:rsidR="007233E0" w:rsidRPr="00B01EE2" w14:paraId="59DCE2FF" w14:textId="77777777" w:rsidTr="00842DC8">
        <w:trPr>
          <w:trHeight w:val="710"/>
        </w:trPr>
        <w:tc>
          <w:tcPr>
            <w:tcW w:w="3652" w:type="dxa"/>
            <w:tcBorders>
              <w:tr2bl w:val="single" w:sz="4" w:space="0" w:color="auto"/>
            </w:tcBorders>
          </w:tcPr>
          <w:p w14:paraId="2AE96DAE" w14:textId="77777777" w:rsidR="007233E0" w:rsidRPr="00A05CD5" w:rsidRDefault="007233E0" w:rsidP="005852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EP novērtējums</w:t>
            </w:r>
          </w:p>
          <w:p w14:paraId="58216ED2" w14:textId="77777777" w:rsidR="007233E0" w:rsidRPr="00A05CD5" w:rsidRDefault="007233E0" w:rsidP="005852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2282" w:type="dxa"/>
          </w:tcPr>
          <w:p w14:paraId="15A55A7D" w14:textId="77777777" w:rsidR="007233E0" w:rsidRPr="00A05CD5" w:rsidRDefault="007233E0" w:rsidP="006E1B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 xml:space="preserve">Kopējā zivju </w:t>
            </w:r>
            <w:r w:rsidR="006E1B80"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 xml:space="preserve">produkcija </w:t>
            </w:r>
          </w:p>
        </w:tc>
        <w:tc>
          <w:tcPr>
            <w:tcW w:w="2283" w:type="dxa"/>
          </w:tcPr>
          <w:p w14:paraId="038D2BFB" w14:textId="77777777" w:rsidR="007233E0" w:rsidRPr="00A05CD5" w:rsidRDefault="007233E0" w:rsidP="00723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t.sk. saimnieciski nozīm</w:t>
            </w:r>
            <w:r w:rsidR="006E1B80"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īgo zivju sugu produkcija</w:t>
            </w:r>
          </w:p>
        </w:tc>
      </w:tr>
      <w:tr w:rsidR="007233E0" w:rsidRPr="00A05CD5" w14:paraId="2392C950" w14:textId="77777777" w:rsidTr="007233E0">
        <w:trPr>
          <w:trHeight w:val="70"/>
        </w:trPr>
        <w:tc>
          <w:tcPr>
            <w:tcW w:w="3652" w:type="dxa"/>
          </w:tcPr>
          <w:p w14:paraId="09FD2DED" w14:textId="77777777" w:rsidR="007233E0" w:rsidRPr="00A05CD5" w:rsidRDefault="007233E0" w:rsidP="00585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0 - EP netiek sniegts</w:t>
            </w:r>
          </w:p>
        </w:tc>
        <w:tc>
          <w:tcPr>
            <w:tcW w:w="2282" w:type="dxa"/>
            <w:vAlign w:val="bottom"/>
          </w:tcPr>
          <w:p w14:paraId="50D7960B" w14:textId="77777777" w:rsidR="007233E0" w:rsidRPr="00A05CD5" w:rsidRDefault="007233E0" w:rsidP="005852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2283" w:type="dxa"/>
          </w:tcPr>
          <w:p w14:paraId="79A3FFA1" w14:textId="77777777" w:rsidR="007233E0" w:rsidRPr="00A05CD5" w:rsidRDefault="007233E0" w:rsidP="005852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</w:p>
        </w:tc>
      </w:tr>
      <w:tr w:rsidR="00A337DB" w:rsidRPr="00A05CD5" w14:paraId="163A0249" w14:textId="77777777" w:rsidTr="0074324B">
        <w:tc>
          <w:tcPr>
            <w:tcW w:w="3652" w:type="dxa"/>
          </w:tcPr>
          <w:p w14:paraId="5141C56C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1 - EP ļoti zema vērtība</w:t>
            </w:r>
          </w:p>
        </w:tc>
        <w:tc>
          <w:tcPr>
            <w:tcW w:w="2282" w:type="dxa"/>
            <w:vAlign w:val="bottom"/>
          </w:tcPr>
          <w:p w14:paraId="633FA563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&lt;10 kg/ha gadā</w:t>
            </w:r>
          </w:p>
        </w:tc>
        <w:tc>
          <w:tcPr>
            <w:tcW w:w="2283" w:type="dxa"/>
            <w:vAlign w:val="bottom"/>
          </w:tcPr>
          <w:p w14:paraId="1BB8A90C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&lt;1 kg/ha gadā</w:t>
            </w:r>
          </w:p>
        </w:tc>
      </w:tr>
      <w:tr w:rsidR="00A337DB" w:rsidRPr="00A05CD5" w14:paraId="5354DB6C" w14:textId="77777777" w:rsidTr="0074324B">
        <w:tc>
          <w:tcPr>
            <w:tcW w:w="3652" w:type="dxa"/>
          </w:tcPr>
          <w:p w14:paraId="4A766497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2 - EP zema vērtība</w:t>
            </w:r>
          </w:p>
        </w:tc>
        <w:tc>
          <w:tcPr>
            <w:tcW w:w="2282" w:type="dxa"/>
            <w:vAlign w:val="bottom"/>
          </w:tcPr>
          <w:p w14:paraId="3AFDC5EE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10 – 30 kg/ha gadā</w:t>
            </w:r>
          </w:p>
        </w:tc>
        <w:tc>
          <w:tcPr>
            <w:tcW w:w="2283" w:type="dxa"/>
            <w:vAlign w:val="bottom"/>
          </w:tcPr>
          <w:p w14:paraId="349F0378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1 – 3 kg/ha gadā</w:t>
            </w:r>
          </w:p>
        </w:tc>
      </w:tr>
      <w:tr w:rsidR="00A337DB" w:rsidRPr="00A05CD5" w14:paraId="2090C54D" w14:textId="77777777" w:rsidTr="0074324B">
        <w:tc>
          <w:tcPr>
            <w:tcW w:w="3652" w:type="dxa"/>
          </w:tcPr>
          <w:p w14:paraId="7972AD5A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3 - EP vidēja vērtība</w:t>
            </w:r>
          </w:p>
        </w:tc>
        <w:tc>
          <w:tcPr>
            <w:tcW w:w="2282" w:type="dxa"/>
            <w:vAlign w:val="bottom"/>
          </w:tcPr>
          <w:p w14:paraId="3F713DD9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30 – 50 kg/ha gadā</w:t>
            </w:r>
          </w:p>
        </w:tc>
        <w:tc>
          <w:tcPr>
            <w:tcW w:w="2283" w:type="dxa"/>
            <w:vAlign w:val="bottom"/>
          </w:tcPr>
          <w:p w14:paraId="765E73E3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3 – 5 kg/ha gadā</w:t>
            </w:r>
          </w:p>
        </w:tc>
      </w:tr>
      <w:tr w:rsidR="00A337DB" w:rsidRPr="00A05CD5" w14:paraId="1E93402A" w14:textId="77777777" w:rsidTr="0074324B">
        <w:tc>
          <w:tcPr>
            <w:tcW w:w="3652" w:type="dxa"/>
          </w:tcPr>
          <w:p w14:paraId="6CEDDBEF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4 - EP augsta vērtība</w:t>
            </w:r>
          </w:p>
        </w:tc>
        <w:tc>
          <w:tcPr>
            <w:tcW w:w="2282" w:type="dxa"/>
            <w:vAlign w:val="bottom"/>
          </w:tcPr>
          <w:p w14:paraId="7C1B4C2B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10 – 30 kg/ha gadā</w:t>
            </w:r>
          </w:p>
        </w:tc>
        <w:tc>
          <w:tcPr>
            <w:tcW w:w="2283" w:type="dxa"/>
            <w:vAlign w:val="bottom"/>
          </w:tcPr>
          <w:p w14:paraId="3E4600A3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5 – 7 kg/ha gadā</w:t>
            </w:r>
          </w:p>
        </w:tc>
      </w:tr>
      <w:tr w:rsidR="00A337DB" w:rsidRPr="00A05CD5" w14:paraId="2F1A8D2E" w14:textId="77777777" w:rsidTr="0074324B">
        <w:tc>
          <w:tcPr>
            <w:tcW w:w="3652" w:type="dxa"/>
          </w:tcPr>
          <w:p w14:paraId="121141A9" w14:textId="77777777" w:rsidR="00A337DB" w:rsidRPr="00A05CD5" w:rsidRDefault="00A337DB" w:rsidP="00A337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sz w:val="24"/>
                <w:szCs w:val="24"/>
                <w:lang w:val="lv-LV"/>
              </w:rPr>
              <w:t>- EP ļoti augsta vērtība</w:t>
            </w:r>
          </w:p>
        </w:tc>
        <w:tc>
          <w:tcPr>
            <w:tcW w:w="2282" w:type="dxa"/>
            <w:vAlign w:val="bottom"/>
          </w:tcPr>
          <w:p w14:paraId="3B109EED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&lt;10 kg/ha gadā</w:t>
            </w:r>
          </w:p>
        </w:tc>
        <w:tc>
          <w:tcPr>
            <w:tcW w:w="2283" w:type="dxa"/>
            <w:vAlign w:val="bottom"/>
          </w:tcPr>
          <w:p w14:paraId="07ADBC39" w14:textId="77777777" w:rsidR="00A337DB" w:rsidRPr="00A05CD5" w:rsidRDefault="00A337DB" w:rsidP="00A337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  <w:t>&gt; 7 kg/ha gadā</w:t>
            </w:r>
          </w:p>
        </w:tc>
      </w:tr>
    </w:tbl>
    <w:p w14:paraId="28A6F993" w14:textId="77777777" w:rsidR="008B6BDB" w:rsidRPr="00A05CD5" w:rsidRDefault="008B6BDB" w:rsidP="007A0289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665"/>
      </w:tblGrid>
      <w:tr w:rsidR="008B6BDB" w:rsidRPr="00A05CD5" w14:paraId="1119AED5" w14:textId="77777777" w:rsidTr="007A0289">
        <w:tc>
          <w:tcPr>
            <w:tcW w:w="2263" w:type="dxa"/>
          </w:tcPr>
          <w:p w14:paraId="28C14A68" w14:textId="77777777" w:rsidR="008B6BDB" w:rsidRPr="00A05CD5" w:rsidRDefault="008B6BDB" w:rsidP="005852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Datu avots</w:t>
            </w:r>
          </w:p>
        </w:tc>
        <w:tc>
          <w:tcPr>
            <w:tcW w:w="6665" w:type="dxa"/>
          </w:tcPr>
          <w:p w14:paraId="1A502EA2" w14:textId="77777777" w:rsidR="008B6BDB" w:rsidRPr="00A05CD5" w:rsidRDefault="008B6BDB" w:rsidP="00585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8B6BDB" w:rsidRPr="00B01EE2" w14:paraId="249E7D83" w14:textId="77777777" w:rsidTr="007A0289">
        <w:tc>
          <w:tcPr>
            <w:tcW w:w="2263" w:type="dxa"/>
          </w:tcPr>
          <w:p w14:paraId="2154DAC7" w14:textId="77777777" w:rsidR="008B6BDB" w:rsidRPr="00A05CD5" w:rsidRDefault="008B6BDB" w:rsidP="005852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Izmantotā literatūra</w:t>
            </w:r>
          </w:p>
        </w:tc>
        <w:tc>
          <w:tcPr>
            <w:tcW w:w="6665" w:type="dxa"/>
          </w:tcPr>
          <w:p w14:paraId="4F59BD03" w14:textId="77777777" w:rsidR="00964C32" w:rsidRPr="00A05CD5" w:rsidRDefault="00964C32" w:rsidP="002E580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lv-LV"/>
              </w:rPr>
            </w:pPr>
            <w:proofErr w:type="spellStart"/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Abersons</w:t>
            </w:r>
            <w:proofErr w:type="spellEnd"/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 xml:space="preserve"> K. Personīga kom</w:t>
            </w:r>
            <w:r w:rsidR="005521A5"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u</w:t>
            </w:r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nikācija. 24.07.2019.</w:t>
            </w:r>
          </w:p>
          <w:p w14:paraId="40B50930" w14:textId="50604BDD" w:rsidR="007066BA" w:rsidRPr="00A05CD5" w:rsidRDefault="007066BA" w:rsidP="002E580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lv-LV"/>
              </w:rPr>
            </w:pPr>
            <w:proofErr w:type="spellStart"/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Birzaks</w:t>
            </w:r>
            <w:proofErr w:type="spellEnd"/>
            <w:r w:rsidR="004107A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 </w:t>
            </w:r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 xml:space="preserve">J. Latvijas iekšējo ūdeņu zivju resursi un to izmantošana. Latvijas Zivju resursu aģentūra. </w:t>
            </w:r>
            <w:hyperlink r:id="rId8" w:history="1">
              <w:r w:rsidR="005521A5" w:rsidRPr="00A05CD5">
                <w:rPr>
                  <w:rStyle w:val="Hyperlink"/>
                  <w:rFonts w:ascii="Times New Roman" w:hAnsi="Times New Roman"/>
                  <w:bCs/>
                  <w:sz w:val="24"/>
                  <w:szCs w:val="24"/>
                  <w:lang w:val="lv-LV"/>
                </w:rPr>
                <w:t>www.fishing.lv</w:t>
              </w:r>
            </w:hyperlink>
            <w:r w:rsidR="005521A5"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 xml:space="preserve"> </w:t>
            </w:r>
          </w:p>
          <w:p w14:paraId="7C2E3BE5" w14:textId="77777777" w:rsidR="002E5801" w:rsidRPr="00A05CD5" w:rsidRDefault="002E5801" w:rsidP="002E580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MK 2000. gada 14. novembra noteikumi Nr. 396 „Noteikumi par īpaši aizsargājamo sugu un ierobežoti izmantojamo īpaši aizsargājamo sugu sarakstu”;</w:t>
            </w:r>
          </w:p>
          <w:p w14:paraId="14BCA8A5" w14:textId="77777777" w:rsidR="008B6BDB" w:rsidRPr="00A05CD5" w:rsidRDefault="002E5801" w:rsidP="0058529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lv-LV"/>
              </w:rPr>
            </w:pPr>
            <w:r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Padomes 1992. gada 21. maija Direktīva 92/43/EEK par dabisko dzīvotņu, savvaļas faunas un floras aizsardzību</w:t>
            </w:r>
            <w:r w:rsidR="00812C85" w:rsidRPr="00A05CD5">
              <w:rPr>
                <w:rFonts w:ascii="Times New Roman" w:hAnsi="Times New Roman"/>
                <w:bCs/>
                <w:sz w:val="24"/>
                <w:szCs w:val="24"/>
                <w:lang w:val="lv-LV"/>
              </w:rPr>
              <w:t>.</w:t>
            </w:r>
          </w:p>
        </w:tc>
      </w:tr>
    </w:tbl>
    <w:p w14:paraId="6F41CD93" w14:textId="77777777" w:rsidR="008B6BDB" w:rsidRPr="00A05CD5" w:rsidRDefault="008B6BDB" w:rsidP="007A0289">
      <w:pPr>
        <w:jc w:val="both"/>
        <w:rPr>
          <w:rFonts w:ascii="Times New Roman" w:hAnsi="Times New Roman"/>
          <w:sz w:val="24"/>
          <w:szCs w:val="24"/>
          <w:lang w:val="lv-LV"/>
        </w:rPr>
      </w:pPr>
    </w:p>
    <w:sectPr w:rsidR="008B6BDB" w:rsidRPr="00A05CD5" w:rsidSect="00C21451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7D0A8" w14:textId="77777777" w:rsidR="001F3F9E" w:rsidRDefault="001F3F9E" w:rsidP="00820C30">
      <w:pPr>
        <w:spacing w:after="0" w:line="240" w:lineRule="auto"/>
      </w:pPr>
      <w:r>
        <w:separator/>
      </w:r>
    </w:p>
  </w:endnote>
  <w:endnote w:type="continuationSeparator" w:id="0">
    <w:p w14:paraId="6DD583AD" w14:textId="77777777" w:rsidR="001F3F9E" w:rsidRDefault="001F3F9E" w:rsidP="0082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15AD" w14:textId="77777777" w:rsidR="008B6BDB" w:rsidRDefault="00037266">
    <w:pPr>
      <w:pStyle w:val="Footer"/>
      <w:jc w:val="right"/>
    </w:pPr>
    <w:r>
      <w:fldChar w:fldCharType="begin"/>
    </w:r>
    <w:r w:rsidR="00B22A64">
      <w:instrText xml:space="preserve"> PAGE   \* MERGEFORMAT </w:instrText>
    </w:r>
    <w:r>
      <w:fldChar w:fldCharType="separate"/>
    </w:r>
    <w:r w:rsidR="00B01EE2">
      <w:rPr>
        <w:noProof/>
      </w:rPr>
      <w:t>2</w:t>
    </w:r>
    <w:r>
      <w:rPr>
        <w:noProof/>
      </w:rPr>
      <w:fldChar w:fldCharType="end"/>
    </w:r>
  </w:p>
  <w:p w14:paraId="7A6483C8" w14:textId="77777777" w:rsidR="008B6BDB" w:rsidRDefault="008B6B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6914" w14:textId="77777777" w:rsidR="001F3F9E" w:rsidRDefault="001F3F9E" w:rsidP="00820C30">
      <w:pPr>
        <w:spacing w:after="0" w:line="240" w:lineRule="auto"/>
      </w:pPr>
      <w:r>
        <w:separator/>
      </w:r>
    </w:p>
  </w:footnote>
  <w:footnote w:type="continuationSeparator" w:id="0">
    <w:p w14:paraId="7DADF3C6" w14:textId="77777777" w:rsidR="001F3F9E" w:rsidRDefault="001F3F9E" w:rsidP="00820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7844"/>
    <w:multiLevelType w:val="hybridMultilevel"/>
    <w:tmpl w:val="2E501330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A274DA"/>
    <w:multiLevelType w:val="multilevel"/>
    <w:tmpl w:val="579ECB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6CB620D"/>
    <w:multiLevelType w:val="hybridMultilevel"/>
    <w:tmpl w:val="0E7C0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348FB"/>
    <w:multiLevelType w:val="hybridMultilevel"/>
    <w:tmpl w:val="75885426"/>
    <w:lvl w:ilvl="0" w:tplc="ABEE51F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B51B7"/>
    <w:multiLevelType w:val="hybridMultilevel"/>
    <w:tmpl w:val="4F4A532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B07C3A"/>
    <w:multiLevelType w:val="hybridMultilevel"/>
    <w:tmpl w:val="C9F07D9E"/>
    <w:lvl w:ilvl="0" w:tplc="793A4A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90CDB"/>
    <w:multiLevelType w:val="hybridMultilevel"/>
    <w:tmpl w:val="44D40960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59C"/>
    <w:rsid w:val="0000047E"/>
    <w:rsid w:val="00003221"/>
    <w:rsid w:val="0000338C"/>
    <w:rsid w:val="00003791"/>
    <w:rsid w:val="000229F9"/>
    <w:rsid w:val="00027FDB"/>
    <w:rsid w:val="00031397"/>
    <w:rsid w:val="00031D91"/>
    <w:rsid w:val="00037266"/>
    <w:rsid w:val="000510F7"/>
    <w:rsid w:val="00061356"/>
    <w:rsid w:val="00092ADB"/>
    <w:rsid w:val="00094135"/>
    <w:rsid w:val="000B3F37"/>
    <w:rsid w:val="000C0B59"/>
    <w:rsid w:val="000E3000"/>
    <w:rsid w:val="0012002D"/>
    <w:rsid w:val="00124A0E"/>
    <w:rsid w:val="00130B02"/>
    <w:rsid w:val="00142EDF"/>
    <w:rsid w:val="00162059"/>
    <w:rsid w:val="00162F16"/>
    <w:rsid w:val="00167650"/>
    <w:rsid w:val="00170FCE"/>
    <w:rsid w:val="00175C8C"/>
    <w:rsid w:val="001802AF"/>
    <w:rsid w:val="00196366"/>
    <w:rsid w:val="001973E8"/>
    <w:rsid w:val="001A12D4"/>
    <w:rsid w:val="001C181B"/>
    <w:rsid w:val="001C26D2"/>
    <w:rsid w:val="001C50CC"/>
    <w:rsid w:val="001C6534"/>
    <w:rsid w:val="001D03A2"/>
    <w:rsid w:val="001D11A9"/>
    <w:rsid w:val="001D7C43"/>
    <w:rsid w:val="001E020D"/>
    <w:rsid w:val="001E3558"/>
    <w:rsid w:val="001F3F9E"/>
    <w:rsid w:val="00225923"/>
    <w:rsid w:val="00234869"/>
    <w:rsid w:val="00234D51"/>
    <w:rsid w:val="002437AA"/>
    <w:rsid w:val="00267867"/>
    <w:rsid w:val="002D02DA"/>
    <w:rsid w:val="002D032B"/>
    <w:rsid w:val="002E5801"/>
    <w:rsid w:val="003012B8"/>
    <w:rsid w:val="00316A49"/>
    <w:rsid w:val="00327FA6"/>
    <w:rsid w:val="00352F25"/>
    <w:rsid w:val="0036059C"/>
    <w:rsid w:val="00364FAB"/>
    <w:rsid w:val="003725D7"/>
    <w:rsid w:val="0037575E"/>
    <w:rsid w:val="00383787"/>
    <w:rsid w:val="003C43FE"/>
    <w:rsid w:val="003D1318"/>
    <w:rsid w:val="003F6CFA"/>
    <w:rsid w:val="004107A5"/>
    <w:rsid w:val="0043135F"/>
    <w:rsid w:val="00441649"/>
    <w:rsid w:val="00455615"/>
    <w:rsid w:val="00463FED"/>
    <w:rsid w:val="004A3587"/>
    <w:rsid w:val="004B7AA6"/>
    <w:rsid w:val="004C66E9"/>
    <w:rsid w:val="004E0928"/>
    <w:rsid w:val="005179A8"/>
    <w:rsid w:val="00525A64"/>
    <w:rsid w:val="00537BE0"/>
    <w:rsid w:val="005521A5"/>
    <w:rsid w:val="00552522"/>
    <w:rsid w:val="005753E1"/>
    <w:rsid w:val="00585291"/>
    <w:rsid w:val="005E3984"/>
    <w:rsid w:val="005F313D"/>
    <w:rsid w:val="005F3974"/>
    <w:rsid w:val="00600252"/>
    <w:rsid w:val="0060254D"/>
    <w:rsid w:val="00607F56"/>
    <w:rsid w:val="0061579C"/>
    <w:rsid w:val="00615C34"/>
    <w:rsid w:val="00616836"/>
    <w:rsid w:val="00616F9F"/>
    <w:rsid w:val="00617D31"/>
    <w:rsid w:val="0063746D"/>
    <w:rsid w:val="0064469A"/>
    <w:rsid w:val="006457BA"/>
    <w:rsid w:val="00645F91"/>
    <w:rsid w:val="00655262"/>
    <w:rsid w:val="00657C90"/>
    <w:rsid w:val="00662DCB"/>
    <w:rsid w:val="00675A91"/>
    <w:rsid w:val="006761C5"/>
    <w:rsid w:val="0068479D"/>
    <w:rsid w:val="006A3C8F"/>
    <w:rsid w:val="006B59D2"/>
    <w:rsid w:val="006C561F"/>
    <w:rsid w:val="006C5AED"/>
    <w:rsid w:val="006D28F3"/>
    <w:rsid w:val="006E1B80"/>
    <w:rsid w:val="006E1E6F"/>
    <w:rsid w:val="006F3A0C"/>
    <w:rsid w:val="007066BA"/>
    <w:rsid w:val="007169F8"/>
    <w:rsid w:val="007177EF"/>
    <w:rsid w:val="007233E0"/>
    <w:rsid w:val="00724A75"/>
    <w:rsid w:val="0072540E"/>
    <w:rsid w:val="0075202D"/>
    <w:rsid w:val="0077504A"/>
    <w:rsid w:val="00782510"/>
    <w:rsid w:val="0079454A"/>
    <w:rsid w:val="007A0289"/>
    <w:rsid w:val="007A0BDC"/>
    <w:rsid w:val="007A1E9A"/>
    <w:rsid w:val="007B185C"/>
    <w:rsid w:val="007B71C6"/>
    <w:rsid w:val="007C540A"/>
    <w:rsid w:val="007C5AC7"/>
    <w:rsid w:val="007D662F"/>
    <w:rsid w:val="007E00E4"/>
    <w:rsid w:val="00803EFA"/>
    <w:rsid w:val="00812C85"/>
    <w:rsid w:val="00820C30"/>
    <w:rsid w:val="008278A0"/>
    <w:rsid w:val="00832C61"/>
    <w:rsid w:val="00852608"/>
    <w:rsid w:val="008538AA"/>
    <w:rsid w:val="00870D8B"/>
    <w:rsid w:val="00873C12"/>
    <w:rsid w:val="00875C56"/>
    <w:rsid w:val="008870F0"/>
    <w:rsid w:val="008952FD"/>
    <w:rsid w:val="008B4263"/>
    <w:rsid w:val="008B6BDB"/>
    <w:rsid w:val="008C0DFA"/>
    <w:rsid w:val="008F2C0B"/>
    <w:rsid w:val="008F4A37"/>
    <w:rsid w:val="0092289C"/>
    <w:rsid w:val="0093430C"/>
    <w:rsid w:val="009374B1"/>
    <w:rsid w:val="0094740B"/>
    <w:rsid w:val="0096385E"/>
    <w:rsid w:val="009638EC"/>
    <w:rsid w:val="00964C32"/>
    <w:rsid w:val="00967CD7"/>
    <w:rsid w:val="009714A7"/>
    <w:rsid w:val="00975D82"/>
    <w:rsid w:val="00993AC7"/>
    <w:rsid w:val="009A4940"/>
    <w:rsid w:val="009B71BE"/>
    <w:rsid w:val="009C28FF"/>
    <w:rsid w:val="009D2218"/>
    <w:rsid w:val="009D47D5"/>
    <w:rsid w:val="00A05CD5"/>
    <w:rsid w:val="00A129DE"/>
    <w:rsid w:val="00A17BAF"/>
    <w:rsid w:val="00A261FC"/>
    <w:rsid w:val="00A326AF"/>
    <w:rsid w:val="00A337DB"/>
    <w:rsid w:val="00A340C7"/>
    <w:rsid w:val="00A478B9"/>
    <w:rsid w:val="00A727E1"/>
    <w:rsid w:val="00A87EA8"/>
    <w:rsid w:val="00AA7F76"/>
    <w:rsid w:val="00AB1AE3"/>
    <w:rsid w:val="00AB1D5D"/>
    <w:rsid w:val="00AF04E1"/>
    <w:rsid w:val="00B01EE2"/>
    <w:rsid w:val="00B0729E"/>
    <w:rsid w:val="00B21A50"/>
    <w:rsid w:val="00B22A64"/>
    <w:rsid w:val="00B40792"/>
    <w:rsid w:val="00B5358D"/>
    <w:rsid w:val="00B733CF"/>
    <w:rsid w:val="00BA7572"/>
    <w:rsid w:val="00BB632B"/>
    <w:rsid w:val="00BB71CE"/>
    <w:rsid w:val="00BD1563"/>
    <w:rsid w:val="00BD240D"/>
    <w:rsid w:val="00BD6567"/>
    <w:rsid w:val="00BD79B6"/>
    <w:rsid w:val="00BE1981"/>
    <w:rsid w:val="00C13FCD"/>
    <w:rsid w:val="00C1726A"/>
    <w:rsid w:val="00C203CF"/>
    <w:rsid w:val="00C21451"/>
    <w:rsid w:val="00C23B0A"/>
    <w:rsid w:val="00C30425"/>
    <w:rsid w:val="00C45FA9"/>
    <w:rsid w:val="00C92D6D"/>
    <w:rsid w:val="00C972B0"/>
    <w:rsid w:val="00CA764A"/>
    <w:rsid w:val="00CC1897"/>
    <w:rsid w:val="00CC45C4"/>
    <w:rsid w:val="00CC49C7"/>
    <w:rsid w:val="00CC5FFF"/>
    <w:rsid w:val="00CD12FB"/>
    <w:rsid w:val="00CE2163"/>
    <w:rsid w:val="00CF73A7"/>
    <w:rsid w:val="00D1637C"/>
    <w:rsid w:val="00D17336"/>
    <w:rsid w:val="00D21D68"/>
    <w:rsid w:val="00D33285"/>
    <w:rsid w:val="00D3762C"/>
    <w:rsid w:val="00D635F0"/>
    <w:rsid w:val="00D72491"/>
    <w:rsid w:val="00D74551"/>
    <w:rsid w:val="00D83A71"/>
    <w:rsid w:val="00D843EF"/>
    <w:rsid w:val="00D85F91"/>
    <w:rsid w:val="00DB74FB"/>
    <w:rsid w:val="00DC0340"/>
    <w:rsid w:val="00DC2D45"/>
    <w:rsid w:val="00DC3A33"/>
    <w:rsid w:val="00DC4B7B"/>
    <w:rsid w:val="00DE3C94"/>
    <w:rsid w:val="00DE5CF2"/>
    <w:rsid w:val="00E05084"/>
    <w:rsid w:val="00E05616"/>
    <w:rsid w:val="00E11BF5"/>
    <w:rsid w:val="00E20D9B"/>
    <w:rsid w:val="00E24F28"/>
    <w:rsid w:val="00E30F23"/>
    <w:rsid w:val="00E43A82"/>
    <w:rsid w:val="00E549CF"/>
    <w:rsid w:val="00E926FC"/>
    <w:rsid w:val="00E93829"/>
    <w:rsid w:val="00EB066C"/>
    <w:rsid w:val="00ED7CFE"/>
    <w:rsid w:val="00F02682"/>
    <w:rsid w:val="00F06E47"/>
    <w:rsid w:val="00F5227E"/>
    <w:rsid w:val="00F80751"/>
    <w:rsid w:val="00F93AE4"/>
    <w:rsid w:val="00FA4562"/>
    <w:rsid w:val="00FC3887"/>
    <w:rsid w:val="00FC790A"/>
    <w:rsid w:val="00FD022D"/>
    <w:rsid w:val="00FD3CA9"/>
    <w:rsid w:val="00FD4E24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schemas-tilde-lv/tildestengine"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98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51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71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0C3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0C30"/>
    <w:rPr>
      <w:rFonts w:cs="Times New Roman"/>
    </w:rPr>
  </w:style>
  <w:style w:type="paragraph" w:styleId="ListParagraph">
    <w:name w:val="List Paragraph"/>
    <w:basedOn w:val="Normal"/>
    <w:uiPriority w:val="99"/>
    <w:qFormat/>
    <w:rsid w:val="00027F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92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6F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1A5"/>
    <w:rPr>
      <w:color w:val="0000FF" w:themeColor="hyperlink"/>
      <w:u w:val="single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5521A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51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71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0C3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0C30"/>
    <w:rPr>
      <w:rFonts w:cs="Times New Roman"/>
    </w:rPr>
  </w:style>
  <w:style w:type="paragraph" w:styleId="ListParagraph">
    <w:name w:val="List Paragraph"/>
    <w:basedOn w:val="Normal"/>
    <w:uiPriority w:val="99"/>
    <w:qFormat/>
    <w:rsid w:val="00027F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92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6F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1A5"/>
    <w:rPr>
      <w:color w:val="0000FF" w:themeColor="hyperlink"/>
      <w:u w:val="single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552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8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hing.l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584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Indikatora datu lapa</vt:lpstr>
      <vt:lpstr>Indikatora datu lapa</vt:lpstr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Indikatora datu lapa</dc:title>
  <dc:subject/>
  <dc:creator>Kristina Veidemane</dc:creator>
  <cp:keywords/>
  <dc:description/>
  <cp:lastModifiedBy>VALDIS</cp:lastModifiedBy>
  <cp:revision>7</cp:revision>
  <cp:lastPrinted>2016-05-25T10:34:00Z</cp:lastPrinted>
  <dcterms:created xsi:type="dcterms:W3CDTF">2019-08-05T12:40:00Z</dcterms:created>
  <dcterms:modified xsi:type="dcterms:W3CDTF">2019-11-24T11:34:00Z</dcterms:modified>
</cp:coreProperties>
</file>