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7F569" w14:textId="75FF75DF" w:rsidR="00886DF0" w:rsidRPr="00886DF0" w:rsidRDefault="00886DF0" w:rsidP="00886DF0">
      <w:pPr>
        <w:rPr>
          <w:sz w:val="24"/>
          <w:szCs w:val="24"/>
        </w:rPr>
      </w:pPr>
      <w:bookmarkStart w:id="0" w:name="_GoBack"/>
      <w:bookmarkEnd w:id="0"/>
      <w:r w:rsidRPr="00886DF0">
        <w:rPr>
          <w:rFonts w:ascii="Times New Roman" w:hAnsi="Times New Roman"/>
          <w:b/>
          <w:sz w:val="24"/>
          <w:szCs w:val="24"/>
          <w:lang w:val="lv-LV"/>
        </w:rPr>
        <w:t xml:space="preserve">Ekosistēmu pakalpojuma (EP) </w:t>
      </w:r>
      <w:r w:rsidR="004D685F">
        <w:rPr>
          <w:rFonts w:ascii="Times New Roman" w:hAnsi="Times New Roman"/>
          <w:b/>
          <w:sz w:val="24"/>
          <w:szCs w:val="24"/>
          <w:lang w:val="lv-LV"/>
        </w:rPr>
        <w:t>rādītāj</w:t>
      </w:r>
      <w:r w:rsidRPr="00886DF0">
        <w:rPr>
          <w:rFonts w:ascii="Times New Roman" w:hAnsi="Times New Roman"/>
          <w:b/>
          <w:sz w:val="24"/>
          <w:szCs w:val="24"/>
          <w:lang w:val="lv-LV"/>
        </w:rPr>
        <w:t>a datu lapa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6889"/>
      </w:tblGrid>
      <w:tr w:rsidR="001F55D3" w:rsidRPr="00886DF0" w14:paraId="236506AA" w14:textId="77777777" w:rsidTr="00D64D1B">
        <w:tc>
          <w:tcPr>
            <w:tcW w:w="1413" w:type="dxa"/>
          </w:tcPr>
          <w:p w14:paraId="6169946C" w14:textId="77777777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kategorija</w:t>
            </w:r>
          </w:p>
        </w:tc>
        <w:tc>
          <w:tcPr>
            <w:tcW w:w="6889" w:type="dxa"/>
          </w:tcPr>
          <w:p w14:paraId="2A6FF05E" w14:textId="4164956D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Kultūras pakalpojumi</w:t>
            </w:r>
          </w:p>
        </w:tc>
      </w:tr>
      <w:tr w:rsidR="001F55D3" w:rsidRPr="004D685F" w14:paraId="66E99F14" w14:textId="77777777" w:rsidTr="00D64D1B">
        <w:tc>
          <w:tcPr>
            <w:tcW w:w="1413" w:type="dxa"/>
          </w:tcPr>
          <w:p w14:paraId="75BD6A4B" w14:textId="77A18309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klase</w:t>
            </w:r>
            <w:r w:rsid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s</w:t>
            </w:r>
          </w:p>
        </w:tc>
        <w:tc>
          <w:tcPr>
            <w:tcW w:w="6889" w:type="dxa"/>
          </w:tcPr>
          <w:p w14:paraId="4582D1F3" w14:textId="77777777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Rekreācijas iespējas</w:t>
            </w:r>
          </w:p>
          <w:p w14:paraId="74BDF511" w14:textId="77777777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Vides izziņas iespējas</w:t>
            </w:r>
          </w:p>
          <w:p w14:paraId="7EA3A479" w14:textId="68DF8897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Ar ekosistēmu saistītais kultūras mantojums</w:t>
            </w:r>
          </w:p>
        </w:tc>
      </w:tr>
      <w:tr w:rsidR="001F55D3" w:rsidRPr="00886DF0" w14:paraId="754EBDD6" w14:textId="77777777" w:rsidTr="00D64D1B">
        <w:tc>
          <w:tcPr>
            <w:tcW w:w="1413" w:type="dxa"/>
          </w:tcPr>
          <w:p w14:paraId="2B88BC7A" w14:textId="66D6822C" w:rsidR="001F55D3" w:rsidRPr="00886DF0" w:rsidRDefault="004D685F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u</w:t>
            </w:r>
            <w:r w:rsidR="001F55D3"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nosaukum</w:t>
            </w:r>
            <w:r w:rsidR="00D64D1B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i</w:t>
            </w:r>
          </w:p>
        </w:tc>
        <w:tc>
          <w:tcPr>
            <w:tcW w:w="6889" w:type="dxa"/>
          </w:tcPr>
          <w:p w14:paraId="598AA9CD" w14:textId="77777777" w:rsidR="00886DF0" w:rsidRPr="00886DF0" w:rsidRDefault="00886DF0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Pasīvā un aktīvā atpūta</w:t>
            </w:r>
          </w:p>
          <w:p w14:paraId="37A0FF54" w14:textId="77777777" w:rsidR="00886DF0" w:rsidRPr="00886DF0" w:rsidRDefault="00886DF0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Izglītojoša darbība, izmantojot ekosistēmu</w:t>
            </w:r>
          </w:p>
          <w:p w14:paraId="37B3519D" w14:textId="36701BE6" w:rsidR="001F55D3" w:rsidRPr="00886DF0" w:rsidRDefault="00886DF0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Kultūras mantojums, kas saistīts ar ekosistēmu</w:t>
            </w:r>
          </w:p>
        </w:tc>
      </w:tr>
      <w:tr w:rsidR="001F55D3" w:rsidRPr="004D685F" w14:paraId="1F633596" w14:textId="77777777" w:rsidTr="00D64D1B">
        <w:tc>
          <w:tcPr>
            <w:tcW w:w="1413" w:type="dxa"/>
          </w:tcPr>
          <w:p w14:paraId="68D5B7B8" w14:textId="314BBF74" w:rsidR="001F55D3" w:rsidRPr="00886DF0" w:rsidRDefault="004D685F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Rādītāju</w:t>
            </w:r>
            <w:r w:rsidR="001F55D3"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definīcija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s</w:t>
            </w:r>
          </w:p>
        </w:tc>
        <w:tc>
          <w:tcPr>
            <w:tcW w:w="6889" w:type="dxa"/>
          </w:tcPr>
          <w:p w14:paraId="52F09535" w14:textId="77777777" w:rsidR="001F55D3" w:rsidRDefault="00EB16DF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865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>Pasīvā atpūta</w:t>
            </w:r>
            <w:r w:rsidRPr="00EB16D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saistāma ar</w:t>
            </w:r>
            <w:r w:rsidRPr="00EB16D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aktivitātēm, kurām nav vajadzīg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 speciāla iekārtota vide</w:t>
            </w:r>
            <w:r w:rsidRPr="00EB16D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, piemēram, sporta laukumi vai paviljoni. Pasīvās atpūtas aktivitātes rada minimālu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ietekmi videi. </w:t>
            </w:r>
          </w:p>
          <w:p w14:paraId="77CCAFF9" w14:textId="77777777" w:rsidR="00EB16DF" w:rsidRDefault="00EB16DF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865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>Aktīvā atpūta</w:t>
            </w:r>
            <w:r w:rsidRPr="00EB16D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saistīta ar</w:t>
            </w:r>
            <w:r w:rsidRPr="00EB16D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strukturētu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un mērķtiecīgu </w:t>
            </w:r>
            <w:r w:rsidRPr="00EB16D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individuālu vai komandas darbību, 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kas saistīta ar fiziskām aktivitātēm</w:t>
            </w:r>
            <w:r w:rsidR="0032013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  <w:p w14:paraId="712E296B" w14:textId="6FC04CD1" w:rsidR="00320133" w:rsidRDefault="000865FF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865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>Izglītojoša darbība</w:t>
            </w:r>
            <w:r w:rsidRPr="00D64D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>, izmantojot ekosistēmu</w:t>
            </w: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- </w:t>
            </w:r>
            <w:r w:rsidRPr="000865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Āra vidē individuāls vai kolektīvs, organizēts vai spontāns</w:t>
            </w:r>
            <w:r w:rsidR="004D685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0865F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intelektuālās izziņas process, kas saistīts ar ekosistēmas resursu un tā interpretācijas iespējām. </w:t>
            </w:r>
          </w:p>
          <w:p w14:paraId="69F60D25" w14:textId="4D9C3296" w:rsidR="000865FF" w:rsidRPr="00886DF0" w:rsidRDefault="007B735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B73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Kultūras </w:t>
            </w:r>
            <w:r w:rsidRPr="00D64D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>mantojums</w:t>
            </w:r>
            <w:r w:rsidR="00D64D1B" w:rsidRPr="00D64D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-LV"/>
              </w:rPr>
              <w:t>, kas saistīts ar ekosistēmu</w:t>
            </w:r>
            <w:r w:rsidR="00D64D1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7B735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ir definēts kā taustām</w:t>
            </w:r>
            <w:r w:rsidR="00D64D1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s vai </w:t>
            </w:r>
            <w:r w:rsidRPr="007B735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nemateriāl</w:t>
            </w:r>
            <w:r w:rsidR="00D64D1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</w:t>
            </w:r>
            <w:r w:rsidRPr="007B735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ieguvum</w:t>
            </w:r>
            <w:r w:rsidR="00D64D1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</w:t>
            </w:r>
            <w:r w:rsidRPr="007B7353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no ekosistēmas, galvenokārt kā ainava</w:t>
            </w:r>
            <w:r w:rsidR="00D64D1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, kā arī taustāmas vai nemateriālas </w:t>
            </w:r>
            <w:r w:rsidR="00D64D1B" w:rsidRPr="00D64D1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cilvēku radītas pagātnes paliekas, piemēram, arheoloģiskās vietas</w:t>
            </w:r>
            <w:r w:rsidR="00D64D1B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</w:tr>
      <w:tr w:rsidR="001F55D3" w:rsidRPr="00886DF0" w14:paraId="39D28211" w14:textId="77777777" w:rsidTr="00D64D1B">
        <w:tc>
          <w:tcPr>
            <w:tcW w:w="1413" w:type="dxa"/>
          </w:tcPr>
          <w:p w14:paraId="3C0B799C" w14:textId="77777777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Mērvienība</w:t>
            </w:r>
          </w:p>
        </w:tc>
        <w:tc>
          <w:tcPr>
            <w:tcW w:w="6889" w:type="dxa"/>
          </w:tcPr>
          <w:p w14:paraId="1F451F67" w14:textId="24384724" w:rsidR="001F55D3" w:rsidRPr="00886DF0" w:rsidRDefault="00D56BE1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lv-LV"/>
              </w:rPr>
            </w:pPr>
            <w:r w:rsidRPr="00D56BE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Ekspertu vērtējums ballēs</w:t>
            </w:r>
          </w:p>
        </w:tc>
      </w:tr>
      <w:tr w:rsidR="001F55D3" w:rsidRPr="00886DF0" w14:paraId="66B8ED50" w14:textId="77777777" w:rsidTr="00D64D1B">
        <w:tc>
          <w:tcPr>
            <w:tcW w:w="1413" w:type="dxa"/>
          </w:tcPr>
          <w:p w14:paraId="5BD4A33C" w14:textId="77777777" w:rsidR="001F55D3" w:rsidRPr="00886DF0" w:rsidRDefault="001F55D3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Datu lapas autors/i:</w:t>
            </w:r>
          </w:p>
        </w:tc>
        <w:tc>
          <w:tcPr>
            <w:tcW w:w="6889" w:type="dxa"/>
          </w:tcPr>
          <w:p w14:paraId="07872591" w14:textId="2B1C59DA" w:rsidR="001F55D3" w:rsidRPr="00886DF0" w:rsidRDefault="00886DF0" w:rsidP="008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Aija Peršēvica</w:t>
            </w:r>
          </w:p>
        </w:tc>
      </w:tr>
    </w:tbl>
    <w:p w14:paraId="502EF168" w14:textId="59340C70" w:rsidR="00DE16EE" w:rsidRPr="00886DF0" w:rsidRDefault="00DE16EE" w:rsidP="00886DF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8DAADFC" w14:textId="1F261EB5" w:rsidR="00C27094" w:rsidRPr="00886DF0" w:rsidRDefault="00886DF0" w:rsidP="00886DF0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b/>
          <w:sz w:val="24"/>
          <w:szCs w:val="24"/>
          <w:lang w:val="lv-LV"/>
        </w:rPr>
        <w:t>Kultūras pakalpojumi</w:t>
      </w:r>
      <w:r w:rsidR="004D685F">
        <w:rPr>
          <w:rFonts w:ascii="Times New Roman" w:hAnsi="Times New Roman" w:cs="Times New Roman"/>
          <w:b/>
          <w:sz w:val="24"/>
          <w:szCs w:val="24"/>
          <w:lang w:val="lv-LV"/>
        </w:rPr>
        <w:t>:</w:t>
      </w:r>
      <w:r w:rsidRPr="00886DF0">
        <w:rPr>
          <w:rFonts w:ascii="Times New Roman" w:hAnsi="Times New Roman" w:cs="Times New Roman"/>
          <w:b/>
          <w:sz w:val="24"/>
          <w:szCs w:val="24"/>
          <w:lang w:val="lv-LV"/>
        </w:rPr>
        <w:t xml:space="preserve"> 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n</w:t>
      </w:r>
      <w:r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emateriālie ieguvumi no ekosistēmām, izmantojot garīgo bagātināšanos, izziņas attīstību, atpūtu un estētisko pieredzi </w:t>
      </w:r>
      <w:r w:rsidRPr="004D685F">
        <w:rPr>
          <w:rFonts w:ascii="Times New Roman" w:hAnsi="Times New Roman" w:cs="Times New Roman"/>
          <w:bCs/>
          <w:i/>
          <w:sz w:val="24"/>
          <w:szCs w:val="24"/>
          <w:lang w:val="lv-LV"/>
        </w:rPr>
        <w:t>(</w:t>
      </w:r>
      <w:proofErr w:type="spellStart"/>
      <w:r w:rsidRPr="004D685F">
        <w:rPr>
          <w:rFonts w:ascii="Times New Roman" w:hAnsi="Times New Roman" w:cs="Times New Roman"/>
          <w:bCs/>
          <w:i/>
          <w:sz w:val="24"/>
          <w:szCs w:val="24"/>
          <w:lang w:val="lv-LV"/>
        </w:rPr>
        <w:t>Millennium</w:t>
      </w:r>
      <w:proofErr w:type="spellEnd"/>
      <w:r w:rsidRPr="004D685F">
        <w:rPr>
          <w:rFonts w:ascii="Times New Roman" w:hAnsi="Times New Roman" w:cs="Times New Roman"/>
          <w:bCs/>
          <w:i/>
          <w:sz w:val="24"/>
          <w:szCs w:val="24"/>
          <w:lang w:val="lv-LV"/>
        </w:rPr>
        <w:t xml:space="preserve"> </w:t>
      </w:r>
      <w:proofErr w:type="spellStart"/>
      <w:r w:rsidRPr="004D685F">
        <w:rPr>
          <w:rFonts w:ascii="Times New Roman" w:hAnsi="Times New Roman" w:cs="Times New Roman"/>
          <w:bCs/>
          <w:i/>
          <w:sz w:val="24"/>
          <w:szCs w:val="24"/>
          <w:lang w:val="lv-LV"/>
        </w:rPr>
        <w:t>Ecosystem</w:t>
      </w:r>
      <w:proofErr w:type="spellEnd"/>
      <w:r w:rsidRPr="004D685F">
        <w:rPr>
          <w:rFonts w:ascii="Times New Roman" w:hAnsi="Times New Roman" w:cs="Times New Roman"/>
          <w:bCs/>
          <w:i/>
          <w:sz w:val="24"/>
          <w:szCs w:val="24"/>
          <w:lang w:val="lv-LV"/>
        </w:rPr>
        <w:t xml:space="preserve"> </w:t>
      </w:r>
      <w:proofErr w:type="spellStart"/>
      <w:r w:rsidRPr="004D685F">
        <w:rPr>
          <w:rFonts w:ascii="Times New Roman" w:hAnsi="Times New Roman" w:cs="Times New Roman"/>
          <w:bCs/>
          <w:i/>
          <w:sz w:val="24"/>
          <w:szCs w:val="24"/>
          <w:lang w:val="lv-LV"/>
        </w:rPr>
        <w:t>Assessment</w:t>
      </w:r>
      <w:proofErr w:type="spellEnd"/>
      <w:r w:rsidRPr="004D685F">
        <w:rPr>
          <w:rFonts w:ascii="Times New Roman" w:hAnsi="Times New Roman" w:cs="Times New Roman"/>
          <w:bCs/>
          <w:i/>
          <w:sz w:val="24"/>
          <w:szCs w:val="24"/>
          <w:lang w:val="lv-LV"/>
        </w:rPr>
        <w:t xml:space="preserve"> 2005)</w:t>
      </w:r>
      <w:r w:rsidRPr="00886DF0">
        <w:rPr>
          <w:rFonts w:ascii="Times New Roman" w:hAnsi="Times New Roman" w:cs="Times New Roman"/>
          <w:bCs/>
          <w:sz w:val="24"/>
          <w:szCs w:val="24"/>
          <w:lang w:val="lv-LV"/>
        </w:rPr>
        <w:t>.</w:t>
      </w:r>
      <w:r w:rsidR="00EB16DF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Kultūras pakalpojumi ietver estētisko baudījumu un iedvesmu, kultūras identitāti, piederības sajūtu un garīgo pieredzi, kas saistīta ar dabisko vidi. 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K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>ultūras pakalpojum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os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ieskaita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rekreācij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u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>, garīg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o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un fizi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s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>k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o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veselīb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u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>, tūrism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u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>, estētisk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o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baudījum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u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un iedvesm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u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kultūras un mākslas radīšanai, garīg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o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pieredz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i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un piederības sajūt</w:t>
      </w:r>
      <w:r w:rsidR="004D685F">
        <w:rPr>
          <w:rFonts w:ascii="Times New Roman" w:hAnsi="Times New Roman" w:cs="Times New Roman"/>
          <w:bCs/>
          <w:sz w:val="24"/>
          <w:szCs w:val="24"/>
          <w:lang w:val="lv-LV"/>
        </w:rPr>
        <w:t>u</w:t>
      </w:r>
      <w:r w:rsidR="00C27094" w:rsidRPr="00886DF0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</w:p>
    <w:p w14:paraId="085188D2" w14:textId="4818CEEE" w:rsidR="00C27094" w:rsidRPr="00886DF0" w:rsidRDefault="00C27094" w:rsidP="00886DF0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b/>
          <w:sz w:val="24"/>
          <w:szCs w:val="24"/>
          <w:lang w:val="lv-LV"/>
        </w:rPr>
        <w:t xml:space="preserve">Rekreācija 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>ir indivīda fizisko, garīgo un emocionālo spēju atjaunošana brīvajā laikā. Rekreācijas galvenās funkcijas ir dziednieciskā (cilvēka veselības atjaunošana), izglītojošā (garīgā potenciāla attīstība – EP kontekstā tiek vērtēta atsevišķi) un sporta funkcija (fizisko spēju attīstība).</w:t>
      </w:r>
    </w:p>
    <w:p w14:paraId="4F6C2AB5" w14:textId="417080C3" w:rsidR="00BF72AE" w:rsidRPr="00886DF0" w:rsidRDefault="00521FBC" w:rsidP="00886DF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sz w:val="24"/>
          <w:szCs w:val="24"/>
          <w:lang w:val="lv-LV"/>
        </w:rPr>
        <w:t>Kultūras pakalpojumi ir nozīmīgi, jo t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 xml:space="preserve">os uzskata par 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>cilvēka labklājības pamatnosacījum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>u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. Vienlaikus 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 xml:space="preserve">šis 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>ekosistēmu pakalpojums pastāv jeb funkcionē tikai saistībā ar cilvēku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>, tāpēc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uzskat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>a,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ka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 xml:space="preserve"> kultūras ekosistēmu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pakalpojums tiek nodrošināts tikai 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 xml:space="preserve">ar 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>nosacījum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>u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>k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>a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 xml:space="preserve"> ir cilvēki, kuru 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>labklājību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4D685F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tas </w:t>
      </w:r>
      <w:r w:rsidR="004D685F">
        <w:rPr>
          <w:rFonts w:ascii="Times New Roman" w:hAnsi="Times New Roman" w:cs="Times New Roman"/>
          <w:sz w:val="24"/>
          <w:szCs w:val="24"/>
          <w:lang w:val="lv-LV"/>
        </w:rPr>
        <w:t>sekmē</w:t>
      </w:r>
      <w:r w:rsidR="00BF72AE" w:rsidRPr="00886DF0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5F91EC9E" w14:textId="70E3C6DA" w:rsidR="000C2C5A" w:rsidRDefault="00521FBC" w:rsidP="000C2C5A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sz w:val="24"/>
          <w:szCs w:val="24"/>
          <w:lang w:val="lv-LV"/>
        </w:rPr>
        <w:t>Kultūras pakalpojumu novērtēšana tiek uzskatīta par komplicētu un sarežģītu procesu, jo kultūras paka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lpojumu vērtības ir subjektīvas: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tās “nepastāv” konkrētā teritorijā, bet gan tiek sociāli konstruētas. </w:t>
      </w:r>
    </w:p>
    <w:p w14:paraId="18EB4EFD" w14:textId="0B375A69" w:rsidR="00521FBC" w:rsidRPr="00886DF0" w:rsidRDefault="000C2C5A" w:rsidP="00886DF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Grūtības kultūras </w:t>
      </w:r>
      <w:r w:rsidR="00C05B5A" w:rsidRPr="00886DF0">
        <w:rPr>
          <w:rFonts w:ascii="Times New Roman" w:hAnsi="Times New Roman" w:cs="Times New Roman"/>
          <w:sz w:val="24"/>
          <w:szCs w:val="24"/>
          <w:lang w:val="lv-LV"/>
        </w:rPr>
        <w:t>pakalpojumu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novērtēšanā 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skaidro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ar pakalpojuma nemateriālo raksturu un grūtībām kvantificēt šos nemateriālos ieguvumus. Vēl viens būtisks </w:t>
      </w:r>
      <w:r w:rsidR="00C05B5A" w:rsidRPr="00886DF0">
        <w:rPr>
          <w:rFonts w:ascii="Times New Roman" w:hAnsi="Times New Roman" w:cs="Times New Roman"/>
          <w:sz w:val="24"/>
          <w:szCs w:val="24"/>
          <w:lang w:val="lv-LV"/>
        </w:rPr>
        <w:lastRenderedPageBreak/>
        <w:t>šķērslis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ir šo pakalpojumu piesaiste </w:t>
      </w:r>
      <w:r w:rsidR="00C05B5A" w:rsidRPr="00886DF0">
        <w:rPr>
          <w:rFonts w:ascii="Times New Roman" w:hAnsi="Times New Roman" w:cs="Times New Roman"/>
          <w:sz w:val="24"/>
          <w:szCs w:val="24"/>
          <w:lang w:val="lv-LV"/>
        </w:rPr>
        <w:t>telpiskajai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vienībai, kas papildus 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sarežģī uzdevumu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(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Bryce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et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al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. 2016,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Fish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et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al.2016,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Kopperoinen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et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al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>. 2017).</w:t>
      </w:r>
    </w:p>
    <w:p w14:paraId="34C340DF" w14:textId="158E3676" w:rsidR="00483DEB" w:rsidRDefault="000B383D" w:rsidP="00886DF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sz w:val="24"/>
          <w:szCs w:val="24"/>
          <w:lang w:val="lv-LV"/>
        </w:rPr>
        <w:t>Lai novērtē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 xml:space="preserve">tu </w:t>
      </w:r>
      <w:r w:rsidR="00EB595E" w:rsidRPr="00886DF0">
        <w:rPr>
          <w:rFonts w:ascii="Times New Roman" w:hAnsi="Times New Roman" w:cs="Times New Roman"/>
          <w:sz w:val="24"/>
          <w:szCs w:val="24"/>
          <w:lang w:val="lv-LV"/>
        </w:rPr>
        <w:t>kultūras pakalpojumu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s,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respondent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us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aicina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886DF0" w:rsidRPr="00886DF0">
        <w:rPr>
          <w:rFonts w:ascii="Times New Roman" w:hAnsi="Times New Roman" w:cs="Times New Roman"/>
          <w:sz w:val="24"/>
          <w:szCs w:val="24"/>
          <w:lang w:val="lv-LV"/>
        </w:rPr>
        <w:t>subjektīvi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izvērtēt kultūras pakalpojumu vērtību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0C2C5A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Kultūras pakalpojumu novērtēšana 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 xml:space="preserve">ir </w:t>
      </w:r>
      <w:r w:rsidR="000C2C5A" w:rsidRPr="00886DF0">
        <w:rPr>
          <w:rFonts w:ascii="Times New Roman" w:hAnsi="Times New Roman" w:cs="Times New Roman"/>
          <w:sz w:val="24"/>
          <w:szCs w:val="24"/>
          <w:lang w:val="lv-LV"/>
        </w:rPr>
        <w:t>konceptuāli un tehniski sarežģīta.</w:t>
      </w:r>
      <w:r w:rsidR="000C2C5A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 xml:space="preserve">Vēl 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>sarežģītāk kultūras pakalpojumu novērtējumu ir veikt, ja tas nesaist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ā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 xml:space="preserve">s ar konkrēto teritoriju, bet gan tiek veikts vispārīgs pakalpojuma vērtējums. </w:t>
      </w:r>
    </w:p>
    <w:p w14:paraId="322A3D07" w14:textId="2EFEE192" w:rsidR="000B383D" w:rsidRPr="00886DF0" w:rsidRDefault="00483DEB" w:rsidP="00886DF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Kultūras pakalpojuma novērtējumu iespējams veikt veicot respondentu aptaujāšanu,</w:t>
      </w:r>
      <w:r w:rsidR="000B383D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izmantojot, piemēram, </w:t>
      </w:r>
      <w:proofErr w:type="spellStart"/>
      <w:r w:rsidR="000B383D" w:rsidRPr="00886DF0">
        <w:rPr>
          <w:rFonts w:ascii="Times New Roman" w:hAnsi="Times New Roman" w:cs="Times New Roman"/>
          <w:sz w:val="24"/>
          <w:szCs w:val="24"/>
          <w:lang w:val="lv-LV"/>
        </w:rPr>
        <w:t>Likerta</w:t>
      </w:r>
      <w:proofErr w:type="spellEnd"/>
      <w:r w:rsidR="000B383D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skalu (piecu punktu skalā: skalā: “ļoti labi”, “labi”, “neitrāli”, “slikti” un “ļoti </w:t>
      </w:r>
      <w:r w:rsidR="00C05B5A">
        <w:rPr>
          <w:rFonts w:ascii="Times New Roman" w:hAnsi="Times New Roman" w:cs="Times New Roman"/>
          <w:sz w:val="24"/>
          <w:szCs w:val="24"/>
          <w:lang w:val="lv-LV"/>
        </w:rPr>
        <w:t>slikti</w:t>
      </w:r>
      <w:r w:rsidR="000B383D" w:rsidRPr="00886DF0">
        <w:rPr>
          <w:rFonts w:ascii="Times New Roman" w:hAnsi="Times New Roman" w:cs="Times New Roman"/>
          <w:sz w:val="24"/>
          <w:szCs w:val="24"/>
          <w:lang w:val="lv-LV"/>
        </w:rPr>
        <w:t>”) vai izmantojot vienkāršas skaitliskas skalas no 0 līdz 5. Šāda vērtēšanas sistēma ir elastīga un izmantojama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0B383D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iekļaujot 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 xml:space="preserve">to </w:t>
      </w:r>
      <w:r w:rsidR="000B383D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kopējā ekosistēmu pakalpojumu novērtēšanas matricā. </w:t>
      </w:r>
    </w:p>
    <w:p w14:paraId="7DCAEBA8" w14:textId="07B08047" w:rsidR="000B383D" w:rsidRPr="00886DF0" w:rsidRDefault="000B383D" w:rsidP="00886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Vēl viena kultūras pakalpojumu novērtēšanas iespēja ir lūgt respondentiem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prioritizēt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pakalpojumus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: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no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teik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>t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, kurš pakalpojum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>s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,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viņuprāt</w:t>
      </w:r>
      <w:r w:rsidR="00EB595E">
        <w:rPr>
          <w:rFonts w:ascii="Times New Roman" w:hAnsi="Times New Roman" w:cs="Times New Roman"/>
          <w:sz w:val="24"/>
          <w:szCs w:val="24"/>
          <w:lang w:val="lv-LV"/>
        </w:rPr>
        <w:t>,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ir ar augstāku vērtību. 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>Izmantojot minēto pieeju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respondentam var 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piedāvāt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gan vizualizēt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us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>, gan aprakstīt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us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pakalpojumu veid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us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>, k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 xml:space="preserve">o 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pēc 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 xml:space="preserve">to </w:t>
      </w:r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nepieciešamības 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 xml:space="preserve">respondentam </w:t>
      </w:r>
      <w:proofErr w:type="spellStart"/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>ranžēt</w:t>
      </w:r>
      <w:proofErr w:type="spellEnd"/>
      <w:r w:rsidR="007F4AF2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prioritārā secībā.</w:t>
      </w:r>
      <w:r w:rsidR="00C27094"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>Tomēr, izmantojot šāda veida pieeju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,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 xml:space="preserve"> jārēķinās, ka </w:t>
      </w:r>
      <w:r w:rsidR="000C2C5A">
        <w:rPr>
          <w:rFonts w:ascii="Times New Roman" w:hAnsi="Times New Roman" w:cs="Times New Roman"/>
          <w:sz w:val="24"/>
          <w:szCs w:val="24"/>
          <w:lang w:val="lv-LV"/>
        </w:rPr>
        <w:t xml:space="preserve">nevis 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 xml:space="preserve">tiek novērtēta 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 xml:space="preserve">pakalpojuma vērtība, bet 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 xml:space="preserve">gan </w:t>
      </w:r>
      <w:r w:rsidR="00483DEB">
        <w:rPr>
          <w:rFonts w:ascii="Times New Roman" w:hAnsi="Times New Roman" w:cs="Times New Roman"/>
          <w:sz w:val="24"/>
          <w:szCs w:val="24"/>
          <w:lang w:val="lv-LV"/>
        </w:rPr>
        <w:t xml:space="preserve">veikts ekosistēmu pakalpojumu </w:t>
      </w:r>
      <w:proofErr w:type="spellStart"/>
      <w:r w:rsidR="000C2C5A">
        <w:rPr>
          <w:rFonts w:ascii="Times New Roman" w:hAnsi="Times New Roman" w:cs="Times New Roman"/>
          <w:sz w:val="24"/>
          <w:szCs w:val="24"/>
          <w:lang w:val="lv-LV"/>
        </w:rPr>
        <w:t>ranžējums</w:t>
      </w:r>
      <w:proofErr w:type="spellEnd"/>
      <w:r w:rsidR="000C2C5A">
        <w:rPr>
          <w:rFonts w:ascii="Times New Roman" w:hAnsi="Times New Roman" w:cs="Times New Roman"/>
          <w:sz w:val="24"/>
          <w:szCs w:val="24"/>
          <w:lang w:val="lv-LV"/>
        </w:rPr>
        <w:t>, kas š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ā</w:t>
      </w:r>
      <w:r w:rsidR="000C2C5A">
        <w:rPr>
          <w:rFonts w:ascii="Times New Roman" w:hAnsi="Times New Roman" w:cs="Times New Roman"/>
          <w:sz w:val="24"/>
          <w:szCs w:val="24"/>
          <w:lang w:val="lv-LV"/>
        </w:rPr>
        <w:t xml:space="preserve"> darba ietvaros nebūtu atbilstošs.</w:t>
      </w:r>
    </w:p>
    <w:p w14:paraId="7DAF7147" w14:textId="77777777" w:rsidR="00521FBC" w:rsidRPr="00886DF0" w:rsidRDefault="00521FBC" w:rsidP="00886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56B4748" w14:textId="5BEFB8D5" w:rsidR="00DE16EE" w:rsidRDefault="00483DEB" w:rsidP="00886DF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483DEB">
        <w:rPr>
          <w:rFonts w:ascii="Times New Roman" w:hAnsi="Times New Roman" w:cs="Times New Roman"/>
          <w:sz w:val="24"/>
          <w:szCs w:val="24"/>
          <w:lang w:val="lv-LV"/>
        </w:rPr>
        <w:t>Vis</w:t>
      </w:r>
      <w:r>
        <w:rPr>
          <w:rFonts w:ascii="Times New Roman" w:hAnsi="Times New Roman" w:cs="Times New Roman"/>
          <w:sz w:val="24"/>
          <w:szCs w:val="24"/>
          <w:lang w:val="lv-LV"/>
        </w:rPr>
        <w:t>u ekosistēmu pakalpojumu novērtējum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i ir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saistīt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i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ar </w:t>
      </w:r>
      <w:r w:rsidRPr="00483DEB">
        <w:rPr>
          <w:rFonts w:ascii="Times New Roman" w:hAnsi="Times New Roman" w:cs="Times New Roman"/>
          <w:sz w:val="24"/>
          <w:szCs w:val="24"/>
          <w:lang w:val="lv-LV"/>
        </w:rPr>
        <w:t>sociāl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ajām</w:t>
      </w:r>
      <w:r w:rsidRPr="00483DEB">
        <w:rPr>
          <w:rFonts w:ascii="Times New Roman" w:hAnsi="Times New Roman" w:cs="Times New Roman"/>
          <w:sz w:val="24"/>
          <w:szCs w:val="24"/>
          <w:lang w:val="lv-LV"/>
        </w:rPr>
        <w:t xml:space="preserve"> konstrukcij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ām</w:t>
      </w:r>
      <w:r w:rsidRPr="00483DEB">
        <w:rPr>
          <w:rFonts w:ascii="Times New Roman" w:hAnsi="Times New Roman" w:cs="Times New Roman"/>
          <w:sz w:val="24"/>
          <w:szCs w:val="24"/>
          <w:lang w:val="lv-LV"/>
        </w:rPr>
        <w:t xml:space="preserve">, bet </w:t>
      </w:r>
      <w:r>
        <w:rPr>
          <w:rFonts w:ascii="Times New Roman" w:hAnsi="Times New Roman" w:cs="Times New Roman"/>
          <w:sz w:val="24"/>
          <w:szCs w:val="24"/>
          <w:lang w:val="lv-LV"/>
        </w:rPr>
        <w:t>kultūras ekosistēmu pakalpojums</w:t>
      </w:r>
      <w:r w:rsidRPr="00483DEB">
        <w:rPr>
          <w:rFonts w:ascii="Times New Roman" w:hAnsi="Times New Roman" w:cs="Times New Roman"/>
          <w:sz w:val="24"/>
          <w:szCs w:val="24"/>
          <w:lang w:val="lv-LV"/>
        </w:rPr>
        <w:t xml:space="preserve">, iespējams, ir </w:t>
      </w:r>
      <w:r>
        <w:rPr>
          <w:rFonts w:ascii="Times New Roman" w:hAnsi="Times New Roman" w:cs="Times New Roman"/>
          <w:sz w:val="24"/>
          <w:szCs w:val="24"/>
          <w:lang w:val="lv-LV"/>
        </w:rPr>
        <w:t>vis</w:t>
      </w:r>
      <w:r w:rsidR="006C277B">
        <w:rPr>
          <w:rFonts w:ascii="Times New Roman" w:hAnsi="Times New Roman" w:cs="Times New Roman"/>
          <w:sz w:val="24"/>
          <w:szCs w:val="24"/>
          <w:lang w:val="lv-LV"/>
        </w:rPr>
        <w:t>vairāk atkarīg</w:t>
      </w:r>
      <w:r w:rsidRPr="00483DEB">
        <w:rPr>
          <w:rFonts w:ascii="Times New Roman" w:hAnsi="Times New Roman" w:cs="Times New Roman"/>
          <w:sz w:val="24"/>
          <w:szCs w:val="24"/>
          <w:lang w:val="lv-LV"/>
        </w:rPr>
        <w:t>s no sociālajām konstrukcijām</w:t>
      </w:r>
      <w:r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79039DBE" w14:textId="729C7FD8" w:rsidR="000C2C5A" w:rsidRPr="0063026E" w:rsidRDefault="000C2C5A" w:rsidP="000C2C5A">
      <w:pPr>
        <w:rPr>
          <w:rFonts w:ascii="Times New Roman" w:hAnsi="Times New Roman" w:cs="Times New Roman"/>
          <w:b/>
          <w:lang w:val="lv-LV"/>
        </w:rPr>
      </w:pPr>
      <w:r w:rsidRPr="0063026E">
        <w:rPr>
          <w:rFonts w:ascii="Times New Roman" w:hAnsi="Times New Roman" w:cs="Times New Roman"/>
          <w:b/>
          <w:lang w:val="lv-LV"/>
        </w:rPr>
        <w:t xml:space="preserve">Tabula </w:t>
      </w:r>
      <w:r>
        <w:rPr>
          <w:rFonts w:ascii="Times New Roman" w:hAnsi="Times New Roman" w:cs="Times New Roman"/>
          <w:b/>
          <w:lang w:val="lv-LV"/>
        </w:rPr>
        <w:t>1</w:t>
      </w:r>
      <w:r w:rsidRPr="0063026E">
        <w:rPr>
          <w:rFonts w:ascii="Times New Roman" w:hAnsi="Times New Roman" w:cs="Times New Roman"/>
          <w:b/>
          <w:lang w:val="lv-LV"/>
        </w:rPr>
        <w:t xml:space="preserve">. EP novērtējuma </w:t>
      </w:r>
      <w:r w:rsidR="004D685F">
        <w:rPr>
          <w:rFonts w:ascii="Times New Roman" w:hAnsi="Times New Roman" w:cs="Times New Roman"/>
          <w:b/>
          <w:lang w:val="lv-LV"/>
        </w:rPr>
        <w:t>rādītāj</w:t>
      </w:r>
      <w:r w:rsidRPr="0063026E">
        <w:rPr>
          <w:rFonts w:ascii="Times New Roman" w:hAnsi="Times New Roman" w:cs="Times New Roman"/>
          <w:b/>
          <w:lang w:val="lv-LV"/>
        </w:rPr>
        <w:t>u skalas kvalifikācija</w:t>
      </w:r>
    </w:p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2660"/>
        <w:gridCol w:w="5953"/>
      </w:tblGrid>
      <w:tr w:rsidR="00DE16EE" w:rsidRPr="00886DF0" w14:paraId="4C3BF945" w14:textId="77777777" w:rsidTr="00DE16EE">
        <w:trPr>
          <w:trHeight w:val="431"/>
        </w:trPr>
        <w:tc>
          <w:tcPr>
            <w:tcW w:w="2660" w:type="dxa"/>
            <w:vMerge w:val="restart"/>
            <w:tcBorders>
              <w:tr2bl w:val="single" w:sz="4" w:space="0" w:color="auto"/>
            </w:tcBorders>
          </w:tcPr>
          <w:p w14:paraId="3F9A6135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EP novērtējums</w:t>
            </w:r>
          </w:p>
          <w:p w14:paraId="2090161B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5953" w:type="dxa"/>
            <w:vMerge w:val="restart"/>
          </w:tcPr>
          <w:p w14:paraId="52ACDA35" w14:textId="7C472BAD" w:rsidR="00DE16EE" w:rsidRPr="00886DF0" w:rsidRDefault="004D685F" w:rsidP="00886DF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lv-LV"/>
              </w:rPr>
              <w:t>Rādītāj</w:t>
            </w:r>
            <w:r w:rsidR="00DE16EE" w:rsidRPr="00886DF0">
              <w:rPr>
                <w:rFonts w:ascii="Times New Roman" w:hAnsi="Times New Roman" w:cs="Times New Roman"/>
                <w:i/>
                <w:sz w:val="24"/>
                <w:szCs w:val="24"/>
                <w:lang w:val="lv-LV"/>
              </w:rPr>
              <w:t>s</w:t>
            </w:r>
          </w:p>
        </w:tc>
      </w:tr>
      <w:tr w:rsidR="00DE16EE" w:rsidRPr="00886DF0" w14:paraId="43A7F2BA" w14:textId="77777777" w:rsidTr="00DE16EE">
        <w:trPr>
          <w:trHeight w:val="276"/>
        </w:trPr>
        <w:tc>
          <w:tcPr>
            <w:tcW w:w="2660" w:type="dxa"/>
            <w:vMerge/>
            <w:tcBorders>
              <w:tr2bl w:val="single" w:sz="4" w:space="0" w:color="auto"/>
            </w:tcBorders>
          </w:tcPr>
          <w:p w14:paraId="33D6B9FD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5953" w:type="dxa"/>
            <w:vMerge/>
          </w:tcPr>
          <w:p w14:paraId="4FA9E44B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DE16EE" w:rsidRPr="00886DF0" w14:paraId="0DD6E54D" w14:textId="77777777" w:rsidTr="00DE16EE">
        <w:tc>
          <w:tcPr>
            <w:tcW w:w="2660" w:type="dxa"/>
          </w:tcPr>
          <w:p w14:paraId="1D17AF7A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0 - EP netiek sniegts</w:t>
            </w:r>
          </w:p>
        </w:tc>
        <w:tc>
          <w:tcPr>
            <w:tcW w:w="5953" w:type="dxa"/>
          </w:tcPr>
          <w:p w14:paraId="73A7F7B6" w14:textId="4DBF11A8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</w:tr>
      <w:tr w:rsidR="00DE16EE" w:rsidRPr="004D685F" w14:paraId="45F60CEB" w14:textId="77777777" w:rsidTr="00DE16EE">
        <w:tc>
          <w:tcPr>
            <w:tcW w:w="2660" w:type="dxa"/>
          </w:tcPr>
          <w:p w14:paraId="082768E8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1 - EP ļoti zema vērtība</w:t>
            </w:r>
          </w:p>
        </w:tc>
        <w:tc>
          <w:tcPr>
            <w:tcW w:w="5953" w:type="dxa"/>
          </w:tcPr>
          <w:p w14:paraId="1FC79043" w14:textId="69534CF4" w:rsidR="00DE16EE" w:rsidRPr="00886DF0" w:rsidRDefault="00886DF0" w:rsidP="00886D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Respondents uzskata, ka p</w:t>
            </w:r>
            <w:r w:rsidR="00C27094"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akalpojums tiek no</w:t>
            </w: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drošināts ļoti zemā vērtībā</w:t>
            </w:r>
          </w:p>
        </w:tc>
      </w:tr>
      <w:tr w:rsidR="00DE16EE" w:rsidRPr="00886DF0" w14:paraId="60B30FAC" w14:textId="77777777" w:rsidTr="00DE16EE">
        <w:tc>
          <w:tcPr>
            <w:tcW w:w="2660" w:type="dxa"/>
          </w:tcPr>
          <w:p w14:paraId="0B5A5E27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2 - EP zema vērtība</w:t>
            </w:r>
          </w:p>
        </w:tc>
        <w:tc>
          <w:tcPr>
            <w:tcW w:w="5953" w:type="dxa"/>
          </w:tcPr>
          <w:p w14:paraId="648F18B0" w14:textId="5D1425C2" w:rsidR="00DE16EE" w:rsidRPr="00886DF0" w:rsidRDefault="00886DF0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Respondents uzskata, ka pakalpojums tiek nodrošināts zemā vērtībā</w:t>
            </w:r>
          </w:p>
        </w:tc>
      </w:tr>
      <w:tr w:rsidR="00DE16EE" w:rsidRPr="00886DF0" w14:paraId="4128F00D" w14:textId="77777777" w:rsidTr="00DE16EE">
        <w:tc>
          <w:tcPr>
            <w:tcW w:w="2660" w:type="dxa"/>
          </w:tcPr>
          <w:p w14:paraId="506D1D5D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3 - EP vidēja vērtība</w:t>
            </w:r>
          </w:p>
        </w:tc>
        <w:tc>
          <w:tcPr>
            <w:tcW w:w="5953" w:type="dxa"/>
          </w:tcPr>
          <w:p w14:paraId="0778D250" w14:textId="3295DC3C" w:rsidR="00DE16EE" w:rsidRPr="00886DF0" w:rsidRDefault="00886DF0" w:rsidP="00886D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Respondents uzskata, ka pakalpojums tiek nodrošināts vidējā vērtībā</w:t>
            </w:r>
          </w:p>
        </w:tc>
      </w:tr>
      <w:tr w:rsidR="00DE16EE" w:rsidRPr="00886DF0" w14:paraId="27E87EE1" w14:textId="77777777" w:rsidTr="00DE16EE">
        <w:trPr>
          <w:trHeight w:val="274"/>
        </w:trPr>
        <w:tc>
          <w:tcPr>
            <w:tcW w:w="2660" w:type="dxa"/>
          </w:tcPr>
          <w:p w14:paraId="5A8DF249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4 - EP augsta vērtība</w:t>
            </w:r>
          </w:p>
        </w:tc>
        <w:tc>
          <w:tcPr>
            <w:tcW w:w="5953" w:type="dxa"/>
          </w:tcPr>
          <w:p w14:paraId="2AB975CA" w14:textId="07D1BBC5" w:rsidR="00DE16EE" w:rsidRPr="00886DF0" w:rsidRDefault="00886DF0" w:rsidP="00886D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Respondents uzskata, ka pakalpojums tiek nodrošināts augstā vērtībā</w:t>
            </w:r>
          </w:p>
        </w:tc>
      </w:tr>
      <w:tr w:rsidR="00DE16EE" w:rsidRPr="004D685F" w14:paraId="4A43F914" w14:textId="77777777" w:rsidTr="00DE16EE">
        <w:trPr>
          <w:trHeight w:val="417"/>
        </w:trPr>
        <w:tc>
          <w:tcPr>
            <w:tcW w:w="2660" w:type="dxa"/>
          </w:tcPr>
          <w:p w14:paraId="1D5855EE" w14:textId="77777777" w:rsidR="00DE16EE" w:rsidRPr="00886DF0" w:rsidRDefault="00DE16EE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5 - EP ļoti augsta vērtība</w:t>
            </w:r>
          </w:p>
        </w:tc>
        <w:tc>
          <w:tcPr>
            <w:tcW w:w="5953" w:type="dxa"/>
          </w:tcPr>
          <w:p w14:paraId="2B5DD869" w14:textId="76B15755" w:rsidR="00DE16EE" w:rsidRPr="00886DF0" w:rsidRDefault="00886DF0" w:rsidP="00886D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886DF0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Respondents uzskata, ka pakalpojums tiek nodrošināts ļoti augstā vērtībā </w:t>
            </w:r>
          </w:p>
        </w:tc>
      </w:tr>
    </w:tbl>
    <w:p w14:paraId="3660D7B2" w14:textId="77777777" w:rsidR="00DE16EE" w:rsidRPr="00886DF0" w:rsidRDefault="00DE16EE" w:rsidP="00886DF0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3C3F8FD2" w14:textId="63E9D587" w:rsidR="00DE16EE" w:rsidRDefault="000C2C5A" w:rsidP="00886DF0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886DF0">
        <w:rPr>
          <w:rFonts w:ascii="Times New Roman" w:hAnsi="Times New Roman" w:cs="Times New Roman"/>
          <w:b/>
          <w:sz w:val="24"/>
          <w:szCs w:val="24"/>
          <w:lang w:val="lv-LV"/>
        </w:rPr>
        <w:t>Izmantotā literatūra</w:t>
      </w:r>
    </w:p>
    <w:p w14:paraId="1E6ED5CC" w14:textId="77777777" w:rsidR="000C2C5A" w:rsidRDefault="000C2C5A" w:rsidP="00886DF0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Hirons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M,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Comberti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C.,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Dunford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R.,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Valuing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Cultural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Ecosystem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Services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, 2016. </w:t>
      </w:r>
      <w:proofErr w:type="spellStart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>Annual</w:t>
      </w:r>
      <w:proofErr w:type="spellEnd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>Review</w:t>
      </w:r>
      <w:proofErr w:type="spellEnd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>of</w:t>
      </w:r>
      <w:proofErr w:type="spellEnd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>Environment</w:t>
      </w:r>
      <w:proofErr w:type="spellEnd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>and</w:t>
      </w:r>
      <w:proofErr w:type="spellEnd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>Resources</w:t>
      </w:r>
      <w:proofErr w:type="spellEnd"/>
      <w:r w:rsidRPr="00886DF0">
        <w:rPr>
          <w:rFonts w:ascii="Times New Roman" w:hAnsi="Times New Roman" w:cs="Times New Roman"/>
          <w:i/>
          <w:iCs/>
          <w:sz w:val="24"/>
          <w:szCs w:val="24"/>
          <w:lang w:val="lv-LV"/>
        </w:rPr>
        <w:t xml:space="preserve"> </w:t>
      </w:r>
      <w:r w:rsidRPr="00886DF0">
        <w:rPr>
          <w:rFonts w:ascii="Times New Roman" w:hAnsi="Times New Roman" w:cs="Times New Roman"/>
          <w:sz w:val="24"/>
          <w:szCs w:val="24"/>
          <w:lang w:val="lv-LV"/>
        </w:rPr>
        <w:t>41:5.1–5.30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14:paraId="1CB17F07" w14:textId="787CCE8A" w:rsidR="000C2C5A" w:rsidRDefault="000C2C5A" w:rsidP="00886DF0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Choay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2001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Choay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,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Françoise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2001.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The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Invention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of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the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Historic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Monument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Allégorie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du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patrimoine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Cambridge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: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Cambridge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University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Press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. [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Google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Scholar</w:t>
      </w:r>
      <w:proofErr w:type="spellEnd"/>
      <w:r w:rsidRPr="000C2C5A">
        <w:rPr>
          <w:rFonts w:ascii="Times New Roman" w:hAnsi="Times New Roman" w:cs="Times New Roman"/>
          <w:bCs/>
          <w:sz w:val="24"/>
          <w:szCs w:val="24"/>
          <w:lang w:val="lv-LV"/>
        </w:rPr>
        <w:t>]</w:t>
      </w:r>
    </w:p>
    <w:p w14:paraId="670C6F81" w14:textId="69077886" w:rsidR="000C2C5A" w:rsidRDefault="000C2C5A" w:rsidP="00886DF0">
      <w:pPr>
        <w:jc w:val="both"/>
        <w:rPr>
          <w:rStyle w:val="Hyperlink"/>
          <w:rFonts w:ascii="Times New Roman" w:hAnsi="Times New Roman" w:cs="Times New Roman"/>
          <w:sz w:val="24"/>
          <w:szCs w:val="24"/>
          <w:lang w:val="lv-LV"/>
        </w:rPr>
      </w:pP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lastRenderedPageBreak/>
        <w:t>A.Ruskule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;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A.Klepers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, K.Veidemane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Mapping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and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assessment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of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cultural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ecosystem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services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of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Latvian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coastal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86DF0">
        <w:rPr>
          <w:rFonts w:ascii="Times New Roman" w:hAnsi="Times New Roman" w:cs="Times New Roman"/>
          <w:sz w:val="24"/>
          <w:szCs w:val="24"/>
          <w:lang w:val="lv-LV"/>
        </w:rPr>
        <w:t>areas</w:t>
      </w:r>
      <w:proofErr w:type="spellEnd"/>
      <w:r w:rsidRPr="00886DF0">
        <w:rPr>
          <w:rFonts w:ascii="Times New Roman" w:hAnsi="Times New Roman" w:cs="Times New Roman"/>
          <w:sz w:val="24"/>
          <w:szCs w:val="24"/>
          <w:lang w:val="lv-LV"/>
        </w:rPr>
        <w:t xml:space="preserve">, 2018 </w:t>
      </w:r>
      <w:hyperlink r:id="rId7" w:history="1">
        <w:r w:rsidRPr="00886DF0">
          <w:rPr>
            <w:rStyle w:val="Hyperlink"/>
            <w:rFonts w:ascii="Times New Roman" w:hAnsi="Times New Roman" w:cs="Times New Roman"/>
            <w:sz w:val="24"/>
            <w:szCs w:val="24"/>
            <w:lang w:val="lv-LV"/>
          </w:rPr>
          <w:t>https://www.researchgate.net/publication/326943150_Mapping_and_assessment_of_cultural_ecosystem_services_of_Latvian_coastal_areas/citations</w:t>
        </w:r>
      </w:hyperlink>
    </w:p>
    <w:p w14:paraId="65793AFE" w14:textId="77777777" w:rsidR="00C86479" w:rsidRPr="00C86479" w:rsidRDefault="00C86479" w:rsidP="00C86479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BurkhardB,KrollF,NedkovS,Mu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̈llerF.2012.Mappingecosystemservicesupply,demandandbudgets.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Ecol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Indic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. 21:17–29</w:t>
      </w:r>
    </w:p>
    <w:p w14:paraId="5EA794E7" w14:textId="76D915E3" w:rsidR="00C86479" w:rsidRPr="00C86479" w:rsidRDefault="00C86479" w:rsidP="00C86479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Kopperoinen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L,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Itkonen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P,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Niemela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̈ J. 2014.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Using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expert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knowledge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combining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green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infrastructure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and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ecosystem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services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land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use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planning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: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an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insight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into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a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new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place-based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methodology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Landsc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Ecol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. 29:1361–75</w:t>
      </w:r>
    </w:p>
    <w:p w14:paraId="42C9492E" w14:textId="7191CF6E" w:rsidR="00DE16EE" w:rsidRPr="00C86479" w:rsidRDefault="00C86479" w:rsidP="00886DF0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Bryce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R,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Irvine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KN,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Church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A,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Fish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R,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Ranger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S,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Kenter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JO (2016)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Subjective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well-being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indicators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for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large-scale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assessment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of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cultural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ecosystem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services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EcosystemServices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21: 258‑269. https://doi.org/10.1016/j.ecoser.2016.07.015</w:t>
      </w:r>
    </w:p>
    <w:p w14:paraId="67ED35D1" w14:textId="7410D79E" w:rsidR="00DE16EE" w:rsidRPr="00C86479" w:rsidRDefault="00C86479" w:rsidP="00886DF0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Kopperoinen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L,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Luque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S,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Tenerelli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P,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Zulian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G,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Viinikka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A (2017)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Mapping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culturalecosystem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services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.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In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: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Burkhard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B,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Maes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J (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Eds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)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Mapping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Ecosystem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Services.Pensoft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Publishers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,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Soﬁa</w:t>
      </w:r>
      <w:proofErr w:type="spellEnd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 xml:space="preserve">, 374 </w:t>
      </w:r>
      <w:proofErr w:type="spellStart"/>
      <w:r w:rsidRPr="00C86479">
        <w:rPr>
          <w:rFonts w:ascii="Times New Roman" w:hAnsi="Times New Roman" w:cs="Times New Roman"/>
          <w:bCs/>
          <w:sz w:val="24"/>
          <w:szCs w:val="24"/>
          <w:lang w:val="lv-LV"/>
        </w:rPr>
        <w:t>pp</w:t>
      </w:r>
      <w:proofErr w:type="spellEnd"/>
    </w:p>
    <w:sectPr w:rsidR="00DE16EE" w:rsidRPr="00C86479" w:rsidSect="00DE16EE"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C8AC5" w14:textId="77777777" w:rsidR="00C814CD" w:rsidRDefault="00C814CD" w:rsidP="00DE16EE">
      <w:pPr>
        <w:spacing w:after="0" w:line="240" w:lineRule="auto"/>
      </w:pPr>
      <w:r>
        <w:separator/>
      </w:r>
    </w:p>
  </w:endnote>
  <w:endnote w:type="continuationSeparator" w:id="0">
    <w:p w14:paraId="31BC68C7" w14:textId="77777777" w:rsidR="00C814CD" w:rsidRDefault="00C814CD" w:rsidP="00DE1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5934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4BEBA5" w14:textId="77777777" w:rsidR="001F55D3" w:rsidRDefault="001F55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27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9C1074" w14:textId="77777777" w:rsidR="001F55D3" w:rsidRDefault="001F55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54738" w14:textId="77777777" w:rsidR="00C814CD" w:rsidRDefault="00C814CD" w:rsidP="00DE16EE">
      <w:pPr>
        <w:spacing w:after="0" w:line="240" w:lineRule="auto"/>
      </w:pPr>
      <w:r>
        <w:separator/>
      </w:r>
    </w:p>
  </w:footnote>
  <w:footnote w:type="continuationSeparator" w:id="0">
    <w:p w14:paraId="104704AB" w14:textId="77777777" w:rsidR="00C814CD" w:rsidRDefault="00C814CD" w:rsidP="00DE16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EE"/>
    <w:rsid w:val="000865FF"/>
    <w:rsid w:val="000B383D"/>
    <w:rsid w:val="000C2C5A"/>
    <w:rsid w:val="001A38F5"/>
    <w:rsid w:val="001F55D3"/>
    <w:rsid w:val="00320133"/>
    <w:rsid w:val="00394671"/>
    <w:rsid w:val="00397EF4"/>
    <w:rsid w:val="003F7EA6"/>
    <w:rsid w:val="00483DEB"/>
    <w:rsid w:val="004D685F"/>
    <w:rsid w:val="00521FBC"/>
    <w:rsid w:val="00563C86"/>
    <w:rsid w:val="00570750"/>
    <w:rsid w:val="006C277B"/>
    <w:rsid w:val="00711940"/>
    <w:rsid w:val="007B7353"/>
    <w:rsid w:val="007F4AF2"/>
    <w:rsid w:val="00815B8D"/>
    <w:rsid w:val="00886DF0"/>
    <w:rsid w:val="009D6EF2"/>
    <w:rsid w:val="00BF72AE"/>
    <w:rsid w:val="00C05B5A"/>
    <w:rsid w:val="00C27094"/>
    <w:rsid w:val="00C51CBA"/>
    <w:rsid w:val="00C814CD"/>
    <w:rsid w:val="00C86479"/>
    <w:rsid w:val="00D56BE1"/>
    <w:rsid w:val="00D64D1B"/>
    <w:rsid w:val="00DB641B"/>
    <w:rsid w:val="00DE16EE"/>
    <w:rsid w:val="00EB16DF"/>
    <w:rsid w:val="00EB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EE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6E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E16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6EE"/>
    <w:rPr>
      <w:lang w:val="en-GB"/>
    </w:rPr>
  </w:style>
  <w:style w:type="character" w:styleId="Hyperlink">
    <w:name w:val="Hyperlink"/>
    <w:basedOn w:val="DefaultParagraphFont"/>
    <w:uiPriority w:val="99"/>
    <w:unhideWhenUsed/>
    <w:rsid w:val="00DE16EE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16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16E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E16EE"/>
    <w:rPr>
      <w:vertAlign w:val="superscript"/>
    </w:rPr>
  </w:style>
  <w:style w:type="character" w:customStyle="1" w:styleId="ref-lnk">
    <w:name w:val="ref-lnk"/>
    <w:basedOn w:val="DefaultParagraphFont"/>
    <w:rsid w:val="00397EF4"/>
  </w:style>
  <w:style w:type="character" w:customStyle="1" w:styleId="ref-overlay">
    <w:name w:val="ref-overlay"/>
    <w:basedOn w:val="DefaultParagraphFont"/>
    <w:rsid w:val="00397EF4"/>
  </w:style>
  <w:style w:type="character" w:customStyle="1" w:styleId="hlfld-contribauthor">
    <w:name w:val="hlfld-contribauthor"/>
    <w:basedOn w:val="DefaultParagraphFont"/>
    <w:rsid w:val="00397EF4"/>
  </w:style>
  <w:style w:type="character" w:customStyle="1" w:styleId="nlmgiven-names">
    <w:name w:val="nlm_given-names"/>
    <w:basedOn w:val="DefaultParagraphFont"/>
    <w:rsid w:val="00397EF4"/>
  </w:style>
  <w:style w:type="character" w:customStyle="1" w:styleId="nlmyear">
    <w:name w:val="nlm_year"/>
    <w:basedOn w:val="DefaultParagraphFont"/>
    <w:rsid w:val="00397EF4"/>
  </w:style>
  <w:style w:type="character" w:customStyle="1" w:styleId="nlmpublisher-loc">
    <w:name w:val="nlm_publisher-loc"/>
    <w:basedOn w:val="DefaultParagraphFont"/>
    <w:rsid w:val="00397EF4"/>
  </w:style>
  <w:style w:type="character" w:customStyle="1" w:styleId="nlmpublisher-name">
    <w:name w:val="nlm_publisher-name"/>
    <w:basedOn w:val="DefaultParagraphFont"/>
    <w:rsid w:val="00397EF4"/>
  </w:style>
  <w:style w:type="character" w:customStyle="1" w:styleId="ref-links">
    <w:name w:val="ref-links"/>
    <w:basedOn w:val="DefaultParagraphFont"/>
    <w:rsid w:val="00397EF4"/>
  </w:style>
  <w:style w:type="character" w:customStyle="1" w:styleId="xlinks-container">
    <w:name w:val="xlinks-container"/>
    <w:basedOn w:val="DefaultParagraphFont"/>
    <w:rsid w:val="00397EF4"/>
  </w:style>
  <w:style w:type="character" w:customStyle="1" w:styleId="googlescholar-container">
    <w:name w:val="googlescholar-container"/>
    <w:basedOn w:val="DefaultParagraphFont"/>
    <w:rsid w:val="00397EF4"/>
  </w:style>
  <w:style w:type="character" w:customStyle="1" w:styleId="nlmpub-id">
    <w:name w:val="nlm_pub-id"/>
    <w:basedOn w:val="DefaultParagraphFont"/>
    <w:rsid w:val="00397EF4"/>
  </w:style>
  <w:style w:type="character" w:customStyle="1" w:styleId="nlmedition">
    <w:name w:val="nlm_edition"/>
    <w:basedOn w:val="DefaultParagraphFont"/>
    <w:rsid w:val="00397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E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6E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E16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6EE"/>
    <w:rPr>
      <w:lang w:val="en-GB"/>
    </w:rPr>
  </w:style>
  <w:style w:type="character" w:styleId="Hyperlink">
    <w:name w:val="Hyperlink"/>
    <w:basedOn w:val="DefaultParagraphFont"/>
    <w:uiPriority w:val="99"/>
    <w:unhideWhenUsed/>
    <w:rsid w:val="00DE16EE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16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16E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E16EE"/>
    <w:rPr>
      <w:vertAlign w:val="superscript"/>
    </w:rPr>
  </w:style>
  <w:style w:type="character" w:customStyle="1" w:styleId="ref-lnk">
    <w:name w:val="ref-lnk"/>
    <w:basedOn w:val="DefaultParagraphFont"/>
    <w:rsid w:val="00397EF4"/>
  </w:style>
  <w:style w:type="character" w:customStyle="1" w:styleId="ref-overlay">
    <w:name w:val="ref-overlay"/>
    <w:basedOn w:val="DefaultParagraphFont"/>
    <w:rsid w:val="00397EF4"/>
  </w:style>
  <w:style w:type="character" w:customStyle="1" w:styleId="hlfld-contribauthor">
    <w:name w:val="hlfld-contribauthor"/>
    <w:basedOn w:val="DefaultParagraphFont"/>
    <w:rsid w:val="00397EF4"/>
  </w:style>
  <w:style w:type="character" w:customStyle="1" w:styleId="nlmgiven-names">
    <w:name w:val="nlm_given-names"/>
    <w:basedOn w:val="DefaultParagraphFont"/>
    <w:rsid w:val="00397EF4"/>
  </w:style>
  <w:style w:type="character" w:customStyle="1" w:styleId="nlmyear">
    <w:name w:val="nlm_year"/>
    <w:basedOn w:val="DefaultParagraphFont"/>
    <w:rsid w:val="00397EF4"/>
  </w:style>
  <w:style w:type="character" w:customStyle="1" w:styleId="nlmpublisher-loc">
    <w:name w:val="nlm_publisher-loc"/>
    <w:basedOn w:val="DefaultParagraphFont"/>
    <w:rsid w:val="00397EF4"/>
  </w:style>
  <w:style w:type="character" w:customStyle="1" w:styleId="nlmpublisher-name">
    <w:name w:val="nlm_publisher-name"/>
    <w:basedOn w:val="DefaultParagraphFont"/>
    <w:rsid w:val="00397EF4"/>
  </w:style>
  <w:style w:type="character" w:customStyle="1" w:styleId="ref-links">
    <w:name w:val="ref-links"/>
    <w:basedOn w:val="DefaultParagraphFont"/>
    <w:rsid w:val="00397EF4"/>
  </w:style>
  <w:style w:type="character" w:customStyle="1" w:styleId="xlinks-container">
    <w:name w:val="xlinks-container"/>
    <w:basedOn w:val="DefaultParagraphFont"/>
    <w:rsid w:val="00397EF4"/>
  </w:style>
  <w:style w:type="character" w:customStyle="1" w:styleId="googlescholar-container">
    <w:name w:val="googlescholar-container"/>
    <w:basedOn w:val="DefaultParagraphFont"/>
    <w:rsid w:val="00397EF4"/>
  </w:style>
  <w:style w:type="character" w:customStyle="1" w:styleId="nlmpub-id">
    <w:name w:val="nlm_pub-id"/>
    <w:basedOn w:val="DefaultParagraphFont"/>
    <w:rsid w:val="00397EF4"/>
  </w:style>
  <w:style w:type="character" w:customStyle="1" w:styleId="nlmedition">
    <w:name w:val="nlm_edition"/>
    <w:basedOn w:val="DefaultParagraphFont"/>
    <w:rsid w:val="00397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2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publication/326943150_Mapping_and_assessment_of_cultural_ecosystem_services_of_Latvian_coastal_areas/citation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3980</Words>
  <Characters>2270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Persevica</dc:creator>
  <cp:keywords/>
  <dc:description/>
  <cp:lastModifiedBy>VALDIS</cp:lastModifiedBy>
  <cp:revision>7</cp:revision>
  <dcterms:created xsi:type="dcterms:W3CDTF">2019-08-08T20:13:00Z</dcterms:created>
  <dcterms:modified xsi:type="dcterms:W3CDTF">2019-11-24T11:51:00Z</dcterms:modified>
</cp:coreProperties>
</file>