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D8EA" w14:textId="77777777" w:rsidR="00C31A4B" w:rsidRPr="00EB20D3" w:rsidRDefault="00C31A4B" w:rsidP="00C31A4B">
      <w:pPr>
        <w:jc w:val="center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>IZVĒRTĒŠANAS PROTOKOLA 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3711"/>
        <w:gridCol w:w="508"/>
        <w:gridCol w:w="4122"/>
        <w:gridCol w:w="2806"/>
      </w:tblGrid>
      <w:tr w:rsidR="00925068" w:rsidRPr="00EB20D3" w14:paraId="67F06AE4" w14:textId="77777777" w:rsidTr="004D4D6B">
        <w:tc>
          <w:tcPr>
            <w:tcW w:w="3077" w:type="dxa"/>
            <w:vAlign w:val="center"/>
          </w:tcPr>
          <w:p w14:paraId="3EB771AF" w14:textId="5753B34D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atbilstība </w:t>
            </w:r>
            <w:proofErr w:type="spellStart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 prasībām veikta (veikšanas datums):</w:t>
            </w:r>
            <w:r w:rsidR="0081708D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1E9116FA" w14:textId="6CC1FD0E" w:rsidR="00C31A4B" w:rsidRPr="00EB20D3" w:rsidRDefault="002F536E" w:rsidP="0081708D">
            <w:pPr>
              <w:ind w:firstLine="5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66E">
              <w:rPr>
                <w:rFonts w:ascii="Times New Roman" w:hAnsi="Times New Roman" w:cs="Times New Roman"/>
              </w:rPr>
              <w:t>3</w:t>
            </w:r>
            <w:r w:rsidR="0081708D" w:rsidRPr="008170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81708D" w:rsidRPr="0081708D">
              <w:rPr>
                <w:rFonts w:ascii="Times New Roman" w:hAnsi="Times New Roman" w:cs="Times New Roman"/>
              </w:rPr>
              <w:t>.2024.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2B247A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752323E0" w14:textId="7777777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</w:t>
            </w:r>
            <w:proofErr w:type="spellStart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 xml:space="preserve"> pārbaudi veica</w:t>
            </w: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6024341F" w14:textId="26108AEF" w:rsidR="00C31A4B" w:rsidRPr="00EB20D3" w:rsidRDefault="00925068" w:rsidP="004D4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 Plaude, vecākais komunikācijas speciālists</w:t>
            </w:r>
          </w:p>
        </w:tc>
      </w:tr>
      <w:tr w:rsidR="00925068" w:rsidRPr="00EB20D3" w14:paraId="57C1E5D9" w14:textId="77777777" w:rsidTr="004D4D6B">
        <w:tc>
          <w:tcPr>
            <w:tcW w:w="3077" w:type="dxa"/>
            <w:vAlign w:val="center"/>
          </w:tcPr>
          <w:p w14:paraId="0D41A0AC" w14:textId="7777777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29BD92EB" w14:textId="7EA10E1F" w:rsidR="00C31A4B" w:rsidRPr="00EB20D3" w:rsidRDefault="0081708D" w:rsidP="004D4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Finanšu ministrija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BA1032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450C2B4D" w14:textId="63AEBEBA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3078" w:type="dxa"/>
          </w:tcPr>
          <w:p w14:paraId="7EE5FA57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</w:tr>
      <w:tr w:rsidR="00925068" w:rsidRPr="00EB20D3" w14:paraId="1C278711" w14:textId="77777777" w:rsidTr="004D4D6B">
        <w:tc>
          <w:tcPr>
            <w:tcW w:w="3077" w:type="dxa"/>
            <w:vAlign w:val="center"/>
          </w:tcPr>
          <w:p w14:paraId="449B949E" w14:textId="7777777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1FA1429F" w14:textId="328E8398" w:rsidR="00C31A4B" w:rsidRPr="00EB20D3" w:rsidRDefault="0081708D" w:rsidP="004D4D6B">
            <w:pPr>
              <w:rPr>
                <w:rFonts w:ascii="Times New Roman" w:hAnsi="Times New Roman" w:cs="Times New Roman"/>
              </w:rPr>
            </w:pPr>
            <w:r w:rsidRPr="0081708D">
              <w:rPr>
                <w:rFonts w:ascii="Times New Roman" w:hAnsi="Times New Roman" w:cs="Times New Roman"/>
              </w:rPr>
              <w:t>https://www.esfondi.lv/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85A3B5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09E61759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14:paraId="5B1A5479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</w:tr>
    </w:tbl>
    <w:p w14:paraId="33755A3D" w14:textId="77777777" w:rsidR="00C31A4B" w:rsidRPr="00EB20D3" w:rsidRDefault="00C31A4B" w:rsidP="00C31A4B">
      <w:pPr>
        <w:rPr>
          <w:rFonts w:ascii="Times New Roman" w:hAnsi="Times New Roman" w:cs="Times New Roman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032"/>
        <w:gridCol w:w="1084"/>
        <w:gridCol w:w="1083"/>
        <w:gridCol w:w="1083"/>
        <w:gridCol w:w="1083"/>
        <w:gridCol w:w="1083"/>
        <w:gridCol w:w="1084"/>
        <w:gridCol w:w="1083"/>
        <w:gridCol w:w="1083"/>
        <w:gridCol w:w="1083"/>
        <w:gridCol w:w="1083"/>
        <w:gridCol w:w="1084"/>
      </w:tblGrid>
      <w:tr w:rsidR="00C31A4B" w:rsidRPr="00EB20D3" w14:paraId="7CB3D173" w14:textId="77777777" w:rsidTr="00B81E89">
        <w:tc>
          <w:tcPr>
            <w:tcW w:w="2032" w:type="dxa"/>
            <w:vAlign w:val="center"/>
          </w:tcPr>
          <w:p w14:paraId="38139F71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0D3">
              <w:rPr>
                <w:rFonts w:ascii="Times New Roman" w:hAnsi="Times New Roman" w:cs="Times New Roman"/>
                <w:b/>
                <w:bCs/>
              </w:rPr>
              <w:t>Novērtētās lapas</w:t>
            </w:r>
          </w:p>
        </w:tc>
        <w:tc>
          <w:tcPr>
            <w:tcW w:w="1084" w:type="dxa"/>
            <w:vAlign w:val="center"/>
          </w:tcPr>
          <w:p w14:paraId="63D87E40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Galvenā navigācija</w:t>
            </w:r>
          </w:p>
        </w:tc>
        <w:tc>
          <w:tcPr>
            <w:tcW w:w="1083" w:type="dxa"/>
            <w:vAlign w:val="center"/>
          </w:tcPr>
          <w:p w14:paraId="0370530B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Pamatstruk-tūras</w:t>
            </w:r>
            <w:proofErr w:type="spellEnd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pārbaude</w:t>
            </w:r>
          </w:p>
        </w:tc>
        <w:tc>
          <w:tcPr>
            <w:tcW w:w="1083" w:type="dxa"/>
            <w:vAlign w:val="center"/>
          </w:tcPr>
          <w:p w14:paraId="072E6ECB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Tastatūras piekļuve un vizuālais fokuss</w:t>
            </w:r>
          </w:p>
        </w:tc>
        <w:tc>
          <w:tcPr>
            <w:tcW w:w="1083" w:type="dxa"/>
            <w:vAlign w:val="center"/>
          </w:tcPr>
          <w:p w14:paraId="1B5D1227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Formu lauki un kļūdu paziņojumi</w:t>
            </w:r>
          </w:p>
        </w:tc>
        <w:tc>
          <w:tcPr>
            <w:tcW w:w="1083" w:type="dxa"/>
            <w:vAlign w:val="center"/>
          </w:tcPr>
          <w:p w14:paraId="5C8E22AE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Attēlu tekstuālā alternatīva</w:t>
            </w:r>
          </w:p>
        </w:tc>
        <w:tc>
          <w:tcPr>
            <w:tcW w:w="1084" w:type="dxa"/>
            <w:vAlign w:val="center"/>
          </w:tcPr>
          <w:p w14:paraId="53D5561C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Virsraksti</w:t>
            </w:r>
          </w:p>
        </w:tc>
        <w:tc>
          <w:tcPr>
            <w:tcW w:w="1083" w:type="dxa"/>
            <w:vAlign w:val="center"/>
          </w:tcPr>
          <w:p w14:paraId="3A555567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Krāsu kontrasti</w:t>
            </w:r>
          </w:p>
        </w:tc>
        <w:tc>
          <w:tcPr>
            <w:tcW w:w="1083" w:type="dxa"/>
            <w:vAlign w:val="center"/>
          </w:tcPr>
          <w:p w14:paraId="76BA131A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Teksta izmēra tālummaiņa</w:t>
            </w:r>
          </w:p>
        </w:tc>
        <w:tc>
          <w:tcPr>
            <w:tcW w:w="1083" w:type="dxa"/>
            <w:vAlign w:val="center"/>
          </w:tcPr>
          <w:p w14:paraId="5B7BBF9C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Lapu nosaukumi</w:t>
            </w:r>
          </w:p>
        </w:tc>
        <w:tc>
          <w:tcPr>
            <w:tcW w:w="1083" w:type="dxa"/>
            <w:vAlign w:val="center"/>
          </w:tcPr>
          <w:p w14:paraId="3572A48E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Saturs, kas kustas, mirgo un zibsnī</w:t>
            </w:r>
          </w:p>
        </w:tc>
        <w:tc>
          <w:tcPr>
            <w:tcW w:w="1084" w:type="dxa"/>
            <w:vAlign w:val="center"/>
          </w:tcPr>
          <w:p w14:paraId="0A1FB01C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Multimediju (audio, video) satura alternatīvas</w:t>
            </w:r>
          </w:p>
        </w:tc>
      </w:tr>
      <w:tr w:rsidR="008C56B6" w:rsidRPr="00EB20D3" w14:paraId="3BCF0236" w14:textId="77777777" w:rsidTr="00B81E89">
        <w:tc>
          <w:tcPr>
            <w:tcW w:w="2032" w:type="dxa"/>
          </w:tcPr>
          <w:p w14:paraId="46F55481" w14:textId="19794157" w:rsidR="008C56B6" w:rsidRDefault="008D41CA" w:rsidP="008C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8C56B6" w:rsidRPr="00E74D1F">
                <w:rPr>
                  <w:rStyle w:val="Hipersaite"/>
                  <w:rFonts w:ascii="Times New Roman" w:hAnsi="Times New Roman" w:cs="Times New Roman"/>
                  <w:sz w:val="18"/>
                  <w:szCs w:val="18"/>
                </w:rPr>
                <w:t>https://www.esfondi.lv/</w:t>
              </w:r>
            </w:hyperlink>
          </w:p>
          <w:p w14:paraId="19771A39" w14:textId="50C6D94C" w:rsidR="008C56B6" w:rsidRPr="00EB20D3" w:rsidRDefault="008C56B6" w:rsidP="008C56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14:paraId="0935B07C" w14:textId="559D9978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6BC04C3A" w14:textId="7787933A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4B393C57" w14:textId="1D305EE2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2D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6DCCA567" w14:textId="741EC314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2D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5EF24B6A" w14:textId="17005F01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4" w:type="dxa"/>
          </w:tcPr>
          <w:p w14:paraId="10440A09" w14:textId="27A68A42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FE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1D41BDA9" w14:textId="66D31DAF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FE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7E15AD52" w14:textId="097C3B35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20A71415" w14:textId="3A24FC3A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44BA35AE" w14:textId="156576CC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4" w:type="dxa"/>
          </w:tcPr>
          <w:p w14:paraId="36AA3C10" w14:textId="5E09580E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8C56B6" w:rsidRPr="00EB20D3" w14:paraId="6FA417FC" w14:textId="77777777" w:rsidTr="00B81E89">
        <w:tc>
          <w:tcPr>
            <w:tcW w:w="2032" w:type="dxa"/>
          </w:tcPr>
          <w:p w14:paraId="0F091DC2" w14:textId="71DFDEFA" w:rsidR="008C56B6" w:rsidRDefault="008D41CA" w:rsidP="008C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8C56B6" w:rsidRPr="00E74D1F">
                <w:rPr>
                  <w:rStyle w:val="Hipersaite"/>
                  <w:rFonts w:ascii="Times New Roman" w:hAnsi="Times New Roman" w:cs="Times New Roman"/>
                  <w:sz w:val="18"/>
                  <w:szCs w:val="18"/>
                </w:rPr>
                <w:t>https://www.esfondi.lv/pieejamais-atbalsts</w:t>
              </w:r>
            </w:hyperlink>
          </w:p>
          <w:p w14:paraId="0F94A7A3" w14:textId="24FB0020" w:rsidR="008C56B6" w:rsidRPr="00EB20D3" w:rsidRDefault="008C56B6" w:rsidP="008C56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14:paraId="54EFDFC5" w14:textId="6CCADDBE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11687451" w14:textId="60DCC51F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6F43028B" w14:textId="63B4D1F3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2D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78C57465" w14:textId="5B2ED6EB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2D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4A0F4818" w14:textId="304BEB2F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4" w:type="dxa"/>
          </w:tcPr>
          <w:p w14:paraId="474D8EDE" w14:textId="3B12CC09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FE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056EC5CD" w14:textId="4C26BBBC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FE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05A6F336" w14:textId="7DF8141A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70CD18C2" w14:textId="37ED1E7A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073BC8E2" w14:textId="708B235C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4" w:type="dxa"/>
          </w:tcPr>
          <w:p w14:paraId="1B964A10" w14:textId="2783FF02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8C56B6" w:rsidRPr="00EB20D3" w14:paraId="77A70253" w14:textId="77777777" w:rsidTr="00B81E89">
        <w:tc>
          <w:tcPr>
            <w:tcW w:w="2032" w:type="dxa"/>
          </w:tcPr>
          <w:p w14:paraId="44B767B7" w14:textId="60EADAD9" w:rsidR="008C56B6" w:rsidRDefault="008D41CA" w:rsidP="008C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8C56B6" w:rsidRPr="00E74D1F">
                <w:rPr>
                  <w:rStyle w:val="Hipersaite"/>
                  <w:rFonts w:ascii="Times New Roman" w:hAnsi="Times New Roman" w:cs="Times New Roman"/>
                  <w:sz w:val="18"/>
                  <w:szCs w:val="18"/>
                </w:rPr>
                <w:t>https://www.esfondi.lv/normativie-akti-un-dokumenti/2021-2027-planosanas-periods</w:t>
              </w:r>
            </w:hyperlink>
          </w:p>
          <w:p w14:paraId="05390607" w14:textId="30712AE7" w:rsidR="008C56B6" w:rsidRPr="00EB20D3" w:rsidRDefault="008C56B6" w:rsidP="008C56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14:paraId="77A8E82C" w14:textId="75F276A8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11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25DFD194" w14:textId="3888A941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1677DC55" w14:textId="2AE74CEB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2D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0F4C59E3" w14:textId="2EF7CA91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2D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7F2104FF" w14:textId="6B8A4A5B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4" w:type="dxa"/>
          </w:tcPr>
          <w:p w14:paraId="30C998EF" w14:textId="5B2A48BD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FE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40FCCAB0" w14:textId="04FCEA20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FE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3CF88ED0" w14:textId="31281DF6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268BA957" w14:textId="1EB70D42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56EC3809" w14:textId="24D8638E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4" w:type="dxa"/>
          </w:tcPr>
          <w:p w14:paraId="3F2E8B69" w14:textId="0DDAB51D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8C56B6" w:rsidRPr="00EB20D3" w14:paraId="2A6104C7" w14:textId="77777777" w:rsidTr="00B81E89">
        <w:tc>
          <w:tcPr>
            <w:tcW w:w="2032" w:type="dxa"/>
          </w:tcPr>
          <w:p w14:paraId="141DEFA2" w14:textId="3AEB9870" w:rsidR="008C56B6" w:rsidRDefault="008D41CA" w:rsidP="008C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8C56B6" w:rsidRPr="00E74D1F">
                <w:rPr>
                  <w:rStyle w:val="Hipersaite"/>
                  <w:rFonts w:ascii="Times New Roman" w:hAnsi="Times New Roman" w:cs="Times New Roman"/>
                  <w:sz w:val="18"/>
                  <w:szCs w:val="18"/>
                </w:rPr>
                <w:t>https://www.esfondi.lv/normativie-akti-un-dokumenti/2021-2027-planosanas-periods/komunikacijas-un-dizaina-vadlinijas</w:t>
              </w:r>
            </w:hyperlink>
          </w:p>
          <w:p w14:paraId="72BD5832" w14:textId="6D74E96E" w:rsidR="008C56B6" w:rsidRPr="00EB20D3" w:rsidRDefault="008C56B6" w:rsidP="008C56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14:paraId="64ED6EF2" w14:textId="2A3414C0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11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03C632A1" w14:textId="285F2763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6590EF80" w14:textId="067E8D98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2D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0440F75E" w14:textId="7322E44E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2D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4B5E79E9" w14:textId="191E756E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084" w:type="dxa"/>
          </w:tcPr>
          <w:p w14:paraId="0277B24B" w14:textId="003561D7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FE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44FFA822" w14:textId="75AE8465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FE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1EE205BC" w14:textId="6B122B39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6002BE8F" w14:textId="6F8455C5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645555CE" w14:textId="1C6FFE0D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4" w:type="dxa"/>
          </w:tcPr>
          <w:p w14:paraId="38C9A238" w14:textId="1A62D4A8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8C56B6" w:rsidRPr="00EB20D3" w14:paraId="58A5D940" w14:textId="77777777" w:rsidTr="00B81E89">
        <w:tc>
          <w:tcPr>
            <w:tcW w:w="2032" w:type="dxa"/>
          </w:tcPr>
          <w:p w14:paraId="6ED90B8B" w14:textId="56AF1B6A" w:rsidR="008C56B6" w:rsidRDefault="008D41CA" w:rsidP="008C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8C56B6" w:rsidRPr="00E74D1F">
                <w:rPr>
                  <w:rStyle w:val="Hipersaite"/>
                  <w:rFonts w:ascii="Times New Roman" w:hAnsi="Times New Roman" w:cs="Times New Roman"/>
                  <w:sz w:val="18"/>
                  <w:szCs w:val="18"/>
                </w:rPr>
                <w:t>https://www.esfondi.lv/profesionaliem/ieviesana/zinojumi/zinojumi-ministru-kabinetam</w:t>
              </w:r>
            </w:hyperlink>
          </w:p>
          <w:p w14:paraId="3DA009D0" w14:textId="6E6757D5" w:rsidR="008C56B6" w:rsidRPr="00EB20D3" w:rsidRDefault="008C56B6" w:rsidP="008C56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14:paraId="3FA552F2" w14:textId="64E3850E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11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446BD459" w14:textId="6576D568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77BE2A47" w14:textId="400AB8DD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2D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5568DEBA" w14:textId="1C9D770E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2D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33356601" w14:textId="0125F29E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084" w:type="dxa"/>
          </w:tcPr>
          <w:p w14:paraId="22970570" w14:textId="1AF72D28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FE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16B861B2" w14:textId="431A0E6D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FE"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1083" w:type="dxa"/>
          </w:tcPr>
          <w:p w14:paraId="3A88B27F" w14:textId="33112723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29347AE5" w14:textId="42DB5AA1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5D5B64FA" w14:textId="0F720CCC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4" w:type="dxa"/>
          </w:tcPr>
          <w:p w14:paraId="163DB718" w14:textId="5C84F092" w:rsidR="008C56B6" w:rsidRPr="00EB20D3" w:rsidRDefault="008C56B6" w:rsidP="008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</w:tbl>
    <w:p w14:paraId="6D8C5BAA" w14:textId="77777777" w:rsidR="00C31A4B" w:rsidRPr="00EB20D3" w:rsidRDefault="00C31A4B" w:rsidP="00C31A4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0" w:name="_Hlk58338469"/>
      <w:r w:rsidRPr="00EB20D3">
        <w:rPr>
          <w:rFonts w:ascii="Times New Roman" w:hAnsi="Times New Roman" w:cs="Times New Roman"/>
        </w:rPr>
        <w:lastRenderedPageBreak/>
        <w:t xml:space="preserve">Aizpildot tabulu, rīkoties šādi: 1) ja pārbaudāmais elements atbilst noteiktajām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prasībām, atzīmējiet tabulā konkrētajā ailē “Atbilst”; 3) ja pārbaudāmais aspekts neatbilst noteiktajām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EB20D3">
        <w:rPr>
          <w:rFonts w:ascii="Times New Roman" w:hAnsi="Times New Roman" w:cs="Times New Roman"/>
        </w:rPr>
        <w:t>piekļūstamības</w:t>
      </w:r>
      <w:proofErr w:type="spellEnd"/>
      <w:r w:rsidRPr="00EB20D3">
        <w:rPr>
          <w:rFonts w:ascii="Times New Roman" w:hAnsi="Times New Roman" w:cs="Times New Roman"/>
        </w:rPr>
        <w:t xml:space="preserve"> paziņojuma formu.</w:t>
      </w:r>
    </w:p>
    <w:bookmarkEnd w:id="0"/>
    <w:p w14:paraId="3CA58CC8" w14:textId="77777777" w:rsidR="00C31A4B" w:rsidRDefault="00C31A4B" w:rsidP="00C31A4B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8EE712D" w14:textId="70366436" w:rsidR="0085112C" w:rsidRDefault="0085112C" w:rsidP="00C31A4B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Komentāri:</w:t>
      </w:r>
    </w:p>
    <w:p w14:paraId="70BCD523" w14:textId="0C200EB8" w:rsidR="0085112C" w:rsidRPr="00CB1E54" w:rsidRDefault="00CB1E54" w:rsidP="00CB1E54">
      <w:pPr>
        <w:pStyle w:val="Sarakstarindkop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Pārbaudot pamatstruktūru, lapās (izņemot galveno lapu) nav iespējams ar TAB taustiņu pārvietoties tiešā ceļā uz mājaslapas galveno saturu – ir jāiet cauri visam navigācijas sarakstam. </w:t>
      </w:r>
      <w:r w:rsidR="0085112C" w:rsidRPr="00CB1E54">
        <w:rPr>
          <w:rFonts w:ascii="Times New Roman" w:hAnsi="Times New Roman" w:cs="Times New Roman"/>
        </w:rPr>
        <w:t>Pārbaudot galveno navigāciju</w:t>
      </w:r>
      <w:r w:rsidR="002032CE" w:rsidRPr="00CB1E54">
        <w:rPr>
          <w:rFonts w:ascii="Times New Roman" w:hAnsi="Times New Roman" w:cs="Times New Roman"/>
        </w:rPr>
        <w:t xml:space="preserve"> visās lapās</w:t>
      </w:r>
      <w:r w:rsidR="0085112C" w:rsidRPr="00CB1E54">
        <w:rPr>
          <w:rFonts w:ascii="Times New Roman" w:hAnsi="Times New Roman" w:cs="Times New Roman"/>
        </w:rPr>
        <w:t>, ejot cau</w:t>
      </w:r>
      <w:r w:rsidR="00473DB3" w:rsidRPr="00CB1E54">
        <w:rPr>
          <w:rFonts w:ascii="Times New Roman" w:hAnsi="Times New Roman" w:cs="Times New Roman"/>
        </w:rPr>
        <w:t>ri tai</w:t>
      </w:r>
      <w:r w:rsidR="0085112C" w:rsidRPr="00CB1E54">
        <w:rPr>
          <w:rFonts w:ascii="Times New Roman" w:hAnsi="Times New Roman" w:cs="Times New Roman"/>
        </w:rPr>
        <w:t xml:space="preserve"> ar “TAB” pogu, atveras arī </w:t>
      </w:r>
      <w:proofErr w:type="spellStart"/>
      <w:r w:rsidR="0085112C" w:rsidRPr="00CB1E54">
        <w:rPr>
          <w:rFonts w:ascii="Times New Roman" w:hAnsi="Times New Roman" w:cs="Times New Roman"/>
        </w:rPr>
        <w:t>apakšnavigācija</w:t>
      </w:r>
      <w:proofErr w:type="spellEnd"/>
      <w:r w:rsidR="0085112C" w:rsidRPr="00CB1E54">
        <w:rPr>
          <w:rFonts w:ascii="Times New Roman" w:hAnsi="Times New Roman" w:cs="Times New Roman"/>
        </w:rPr>
        <w:t>.</w:t>
      </w:r>
    </w:p>
    <w:p w14:paraId="6D3771F2" w14:textId="0122DF5A" w:rsidR="00800E5E" w:rsidRDefault="00800E5E" w:rsidP="00800E5E">
      <w:pPr>
        <w:pStyle w:val="Sarakstarindkopa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0E5E">
        <w:rPr>
          <w:rFonts w:ascii="Times New Roman" w:hAnsi="Times New Roman" w:cs="Times New Roman"/>
          <w:noProof/>
        </w:rPr>
        <w:drawing>
          <wp:inline distT="0" distB="0" distL="0" distR="0" wp14:anchorId="31DF3376" wp14:editId="2614BFDE">
            <wp:extent cx="6677025" cy="1739265"/>
            <wp:effectExtent l="0" t="0" r="9525" b="0"/>
            <wp:docPr id="3817379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37945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7875" w14:textId="3D9A5558" w:rsidR="00E83E54" w:rsidRDefault="00AE4FC7" w:rsidP="0085112C">
      <w:pPr>
        <w:pStyle w:val="Sarakstarindkop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Lai gan saturiski navigācijas sektori iezīmējas korekti, pamatstruktūrā neiezīmējas pilnīgi kājenes reģions, kā arī augšējā navigācijas sadaļa netiek diferencēta. </w:t>
      </w:r>
      <w:r w:rsidRPr="00AE4FC7">
        <w:rPr>
          <w:rFonts w:ascii="Times New Roman" w:hAnsi="Times New Roman" w:cs="Times New Roman"/>
          <w:noProof/>
        </w:rPr>
        <w:drawing>
          <wp:inline distT="0" distB="0" distL="0" distR="0" wp14:anchorId="7DFD9CCE" wp14:editId="0512911D">
            <wp:extent cx="8863330" cy="4266565"/>
            <wp:effectExtent l="0" t="0" r="0" b="635"/>
            <wp:docPr id="8978000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0001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2DABA" w14:textId="04EAA65A" w:rsidR="00667752" w:rsidRDefault="005F7BF7" w:rsidP="00667752">
      <w:pPr>
        <w:pStyle w:val="Sarakstarindkop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Tastatūras pārbaude – lai gan “</w:t>
      </w:r>
      <w:proofErr w:type="spellStart"/>
      <w:r>
        <w:rPr>
          <w:rFonts w:ascii="Times New Roman" w:hAnsi="Times New Roman" w:cs="Times New Roman"/>
        </w:rPr>
        <w:t>Tab</w:t>
      </w:r>
      <w:proofErr w:type="spellEnd"/>
      <w:r>
        <w:rPr>
          <w:rFonts w:ascii="Times New Roman" w:hAnsi="Times New Roman" w:cs="Times New Roman"/>
        </w:rPr>
        <w:t>” poga strādā korekti, nav iespējams ar ESC pogu aizvērt atvērtos modālos logus</w:t>
      </w:r>
      <w:r w:rsidR="00667752">
        <w:rPr>
          <w:rFonts w:ascii="Times New Roman" w:hAnsi="Times New Roman" w:cs="Times New Roman"/>
        </w:rPr>
        <w:t xml:space="preserve">. Pie Iedvesmas stāstu rakstu karuseļa ir pāris tukšie punkti, kurus TAB taustiņš atlasa, pirms iet cauri karuseļa rakstiem. </w:t>
      </w:r>
      <w:r w:rsidR="00667752">
        <w:rPr>
          <w:rFonts w:ascii="Times New Roman" w:hAnsi="Times New Roman" w:cs="Times New Roman"/>
        </w:rPr>
        <w:tab/>
      </w:r>
    </w:p>
    <w:p w14:paraId="39558A04" w14:textId="5DA800EE" w:rsidR="005D6B96" w:rsidRDefault="00212609" w:rsidP="0085112C">
      <w:pPr>
        <w:pStyle w:val="Sarakstarindkop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12609">
        <w:rPr>
          <w:rFonts w:ascii="Times New Roman" w:hAnsi="Times New Roman" w:cs="Times New Roman"/>
        </w:rPr>
        <w:lastRenderedPageBreak/>
        <w:t xml:space="preserve">Formu lauki un kļūdu paziņojumi </w:t>
      </w:r>
      <w:r w:rsidR="0082366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2366E">
        <w:rPr>
          <w:rFonts w:ascii="Times New Roman" w:hAnsi="Times New Roman" w:cs="Times New Roman"/>
        </w:rPr>
        <w:t>Formai “</w:t>
      </w:r>
      <w:r>
        <w:rPr>
          <w:rFonts w:ascii="Times New Roman" w:hAnsi="Times New Roman" w:cs="Times New Roman"/>
        </w:rPr>
        <w:t>Pieteikties jaunumiem</w:t>
      </w:r>
      <w:r w:rsidR="0082366E">
        <w:rPr>
          <w:rFonts w:ascii="Times New Roman" w:hAnsi="Times New Roman" w:cs="Times New Roman"/>
        </w:rPr>
        <w:t>” nosaukumu</w:t>
      </w:r>
      <w:r>
        <w:rPr>
          <w:rFonts w:ascii="Times New Roman" w:hAnsi="Times New Roman" w:cs="Times New Roman"/>
        </w:rPr>
        <w:t xml:space="preserve"> ekrāna lasītājs nenolasīja</w:t>
      </w:r>
      <w:r w:rsidR="0082366E">
        <w:rPr>
          <w:rFonts w:ascii="Times New Roman" w:hAnsi="Times New Roman" w:cs="Times New Roman"/>
        </w:rPr>
        <w:t xml:space="preserve">. Formu iespējams aizpildīt </w:t>
      </w:r>
      <w:r>
        <w:rPr>
          <w:rFonts w:ascii="Times New Roman" w:hAnsi="Times New Roman" w:cs="Times New Roman"/>
        </w:rPr>
        <w:t>ar neeksistējošu e-pastu. Ir iespējams izpildīt komandu, neatzīmējot, kādu saturu konkrēti vēlies abonēt.</w:t>
      </w:r>
      <w:r w:rsidR="00491FE5">
        <w:rPr>
          <w:rFonts w:ascii="Times New Roman" w:hAnsi="Times New Roman" w:cs="Times New Roman"/>
        </w:rPr>
        <w:t xml:space="preserve"> Atverot formu, nenolasa katru nozari. </w:t>
      </w:r>
    </w:p>
    <w:p w14:paraId="41911210" w14:textId="3B8A01A2" w:rsidR="00491FE5" w:rsidRDefault="00B279DB" w:rsidP="0085112C">
      <w:pPr>
        <w:pStyle w:val="Sarakstarindkop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Virsraksti – visās lapās hierarhijā neatlasās kājenes virsraksti – “Ātrās saites” un “Noderīgi”</w:t>
      </w:r>
    </w:p>
    <w:p w14:paraId="290399C6" w14:textId="0F03E32E" w:rsidR="00B3767F" w:rsidRPr="0085112C" w:rsidRDefault="00B3767F" w:rsidP="0085112C">
      <w:pPr>
        <w:pStyle w:val="Sarakstarindkop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Krāsu kontrasti – visās lapās tekstiem nav pietiekami liels kontrasts, piemēram, “Projektu portāls” pogas teksts, “Meklē pieejamo atbalstu”, Iedvesmas stāstu karuseļa sadaļas tekstiem.</w:t>
      </w:r>
    </w:p>
    <w:p w14:paraId="3616B098" w14:textId="2642CFDB" w:rsidR="00C31A4B" w:rsidRPr="00EB20D3" w:rsidRDefault="00C31A4B" w:rsidP="00C31A4B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</w:rPr>
        <w:t xml:space="preserve">Pārbaudi apstiprināja (vārds, uzvārds, amats):  </w:t>
      </w:r>
      <w:r w:rsidR="00E458AB" w:rsidRPr="00E458AB">
        <w:rPr>
          <w:rFonts w:ascii="Times New Roman" w:hAnsi="Times New Roman" w:cs="Times New Roman"/>
        </w:rPr>
        <w:t>Maksims Smoļakovs</w:t>
      </w:r>
      <w:r w:rsidR="00E458AB">
        <w:rPr>
          <w:rFonts w:ascii="Times New Roman" w:hAnsi="Times New Roman" w:cs="Times New Roman"/>
        </w:rPr>
        <w:t xml:space="preserve">, </w:t>
      </w:r>
      <w:r w:rsidR="00E458AB" w:rsidRPr="00E458AB">
        <w:rPr>
          <w:rFonts w:ascii="Times New Roman" w:hAnsi="Times New Roman" w:cs="Times New Roman"/>
        </w:rPr>
        <w:t>Vadošais informācijas sistēmu administrators</w:t>
      </w:r>
    </w:p>
    <w:p w14:paraId="1F818C31" w14:textId="77777777" w:rsidR="00C31A4B" w:rsidRPr="00EB20D3" w:rsidRDefault="00C31A4B" w:rsidP="00C31A4B">
      <w:pPr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  <w:sz w:val="18"/>
          <w:szCs w:val="18"/>
        </w:rPr>
        <w:t>* Pārbaudes protokolu atbilstoši iestādē noteiktajai iekšējai dokumentu aprites kārtībai apstiprina iestādes vadītājs (atbilstoši MK 14.07.2020. noteikumu Nr. 445 4.punktam).</w:t>
      </w:r>
    </w:p>
    <w:p w14:paraId="3FF7A1C2" w14:textId="4CB6E2DE" w:rsidR="00A14D6E" w:rsidRPr="008D41CA" w:rsidRDefault="00C31A4B" w:rsidP="008D41CA">
      <w:pPr>
        <w:jc w:val="center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ab/>
        <w:t>ŠIS DOKUMENTS IR ELEKTRONISKI PARAKSTĪTS AR DROŠU ELEKTRONISKO PARAKSTU UN SATUR LAIKA ZĪMOGU</w:t>
      </w:r>
    </w:p>
    <w:sectPr w:rsidR="00A14D6E" w:rsidRPr="008D41CA" w:rsidSect="00C31A4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37A5"/>
    <w:multiLevelType w:val="hybridMultilevel"/>
    <w:tmpl w:val="07800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81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B"/>
    <w:rsid w:val="000A2543"/>
    <w:rsid w:val="000E7774"/>
    <w:rsid w:val="001365AA"/>
    <w:rsid w:val="001D0BA9"/>
    <w:rsid w:val="002032CE"/>
    <w:rsid w:val="00212609"/>
    <w:rsid w:val="00270F16"/>
    <w:rsid w:val="002D7AE0"/>
    <w:rsid w:val="002E0A95"/>
    <w:rsid w:val="002F536E"/>
    <w:rsid w:val="00320252"/>
    <w:rsid w:val="00333DEC"/>
    <w:rsid w:val="00391EE3"/>
    <w:rsid w:val="003A6D42"/>
    <w:rsid w:val="004215F9"/>
    <w:rsid w:val="00452E19"/>
    <w:rsid w:val="004676EE"/>
    <w:rsid w:val="00473DB3"/>
    <w:rsid w:val="004873EA"/>
    <w:rsid w:val="00491FE5"/>
    <w:rsid w:val="005746C4"/>
    <w:rsid w:val="005D6B96"/>
    <w:rsid w:val="005F7BF7"/>
    <w:rsid w:val="006211E3"/>
    <w:rsid w:val="00633513"/>
    <w:rsid w:val="00667752"/>
    <w:rsid w:val="006B4822"/>
    <w:rsid w:val="007076C2"/>
    <w:rsid w:val="0071174B"/>
    <w:rsid w:val="00760F86"/>
    <w:rsid w:val="00800E5E"/>
    <w:rsid w:val="0081708D"/>
    <w:rsid w:val="0082366E"/>
    <w:rsid w:val="0085112C"/>
    <w:rsid w:val="008A32E6"/>
    <w:rsid w:val="008C56B6"/>
    <w:rsid w:val="008D41CA"/>
    <w:rsid w:val="008F565E"/>
    <w:rsid w:val="00925068"/>
    <w:rsid w:val="00941227"/>
    <w:rsid w:val="00A14D6E"/>
    <w:rsid w:val="00AE366E"/>
    <w:rsid w:val="00AE4FC7"/>
    <w:rsid w:val="00B279DB"/>
    <w:rsid w:val="00B3767F"/>
    <w:rsid w:val="00B611F6"/>
    <w:rsid w:val="00B81E89"/>
    <w:rsid w:val="00C31A4B"/>
    <w:rsid w:val="00C86C5C"/>
    <w:rsid w:val="00CB1E54"/>
    <w:rsid w:val="00E32CF1"/>
    <w:rsid w:val="00E458AB"/>
    <w:rsid w:val="00E83E54"/>
    <w:rsid w:val="00EF0534"/>
    <w:rsid w:val="00F62D61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15F5"/>
  <w15:chartTrackingRefBased/>
  <w15:docId w15:val="{6CF9379B-01A7-4537-B593-F6F14BCE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1A4B"/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31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458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C31A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eatabula">
    <w:name w:val="Table Grid"/>
    <w:basedOn w:val="Parastatabula"/>
    <w:uiPriority w:val="39"/>
    <w:rsid w:val="00C3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A254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A254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85112C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458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ondi.lv/normativie-akti-un-dokumenti/2021-2027-planosanas-periods/komunikacijas-un-dizaina-vadlinij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fondi.lv/normativie-akti-un-dokumenti/2021-2027-planosanas-perio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fondi.lv/pieejamais-atbalsts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esfondi.lv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esfondi.lv/profesionaliem/ieviesana/zinojumi/zinojumi-ministru-kabine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</Pages>
  <Words>2643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 Puķītis</dc:creator>
  <cp:keywords/>
  <dc:description/>
  <cp:lastModifiedBy>Una Plaude</cp:lastModifiedBy>
  <cp:revision>43</cp:revision>
  <dcterms:created xsi:type="dcterms:W3CDTF">2024-04-05T08:38:00Z</dcterms:created>
  <dcterms:modified xsi:type="dcterms:W3CDTF">2024-05-24T13:41:00Z</dcterms:modified>
</cp:coreProperties>
</file>