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3151" w14:textId="77777777" w:rsidR="00277BD8" w:rsidRDefault="004D3776">
      <w:pPr>
        <w:keepNext/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Tabula 1 Rādītāju pase investīciju prioritātes specifiskajiem mērķiem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0"/>
        <w:gridCol w:w="1750"/>
        <w:gridCol w:w="1831"/>
        <w:gridCol w:w="3797"/>
        <w:gridCol w:w="4972"/>
      </w:tblGrid>
      <w:tr w:rsidR="00277BD8" w14:paraId="10A7097B" w14:textId="77777777">
        <w:trPr>
          <w:trHeight w:val="1"/>
        </w:trPr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6B908" w14:textId="77777777" w:rsidR="00277BD8" w:rsidRDefault="004D37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Prioritārais virziens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5421E" w14:textId="77777777" w:rsidR="00277BD8" w:rsidRDefault="004D37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Ieguldījumu prioritātes nosaukums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66D6A" w14:textId="77777777" w:rsidR="00277BD8" w:rsidRDefault="004D37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Specifiskie atbalsta mērķi (SAM)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0404B" w14:textId="77777777" w:rsidR="00277BD8" w:rsidRDefault="004D37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Rezultāta rādītāji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F4D59" w14:textId="77777777" w:rsidR="00277BD8" w:rsidRDefault="004D37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Iznākuma rādītāji (IR)</w:t>
            </w:r>
          </w:p>
        </w:tc>
      </w:tr>
      <w:tr w:rsidR="00277BD8" w14:paraId="62B343BE" w14:textId="77777777"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3655C" w14:textId="77777777" w:rsidR="00277BD8" w:rsidRDefault="004D377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14. Pasākumi Covid-19 pandēmijas seku mazināšanai (ESF)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464AC" w14:textId="77777777" w:rsidR="00277BD8" w:rsidRDefault="004D377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14.1. Palīdzēt veicināt ar Covid-19 pandēmiju un tās sociālajām sekām saistītās krīzes seku pārvarēšanu un sagatavoties zaļai, digitālai un noturīgai ekonomikas atveseļošanai (ESF)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C6E3D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14.1.1. SAM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atveseļošanas pasākumi izglītības nozarē </w:t>
            </w:r>
          </w:p>
          <w:p w14:paraId="621F8246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6DD5A918" w14:textId="77777777" w:rsidR="00277BD8" w:rsidRDefault="00277BD8">
            <w:pPr>
              <w:spacing w:after="0" w:line="240" w:lineRule="auto"/>
              <w:jc w:val="both"/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8C4EC9D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14.1.1.1. pasākums: </w:t>
            </w:r>
          </w:p>
          <w:p w14:paraId="154406C6" w14:textId="437A1500" w:rsidR="00C06B48" w:rsidRPr="00C06B48" w:rsidRDefault="00C06B48" w:rsidP="00C06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7457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Digitalizācijas</w:t>
            </w:r>
            <w:proofErr w:type="spellEnd"/>
            <w:r w:rsidRPr="007457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iniciatīv</w:t>
            </w:r>
            <w:r w:rsidR="008E6A37" w:rsidRPr="007457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as</w:t>
            </w:r>
            <w:r w:rsidRPr="007457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E6A37" w:rsidRPr="007457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studiju kvalitātes pilnveidei</w:t>
            </w:r>
            <w:r w:rsidR="008E6A3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06B4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06B48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14:paraId="65819A6D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380E3285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Nosaukums un mērvienība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14:paraId="13B4F9E0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r.14.1.1.b</w:t>
            </w:r>
          </w:p>
          <w:p w14:paraId="20E2CCE2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Augstskolu skaits, kuras ieviesušas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digitalizācijas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iniciatīvas, kas veicina mūsdienīgu, inovatīvos tehnoloģiskos risinājumos balstītu studiju procesu (augstskolu skaits).</w:t>
            </w:r>
          </w:p>
          <w:p w14:paraId="37DAD105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60917B44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Definīcija: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832C05C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Augstskolas, kuras ieviesušas digitālās iniciatīvas, kas veicina mūsdienīgu, inovatīvos tehnoloģiskos risinājumos balstītu studiju procesu.</w:t>
            </w:r>
          </w:p>
          <w:p w14:paraId="5E0A6F66" w14:textId="3D846A35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Augstskola - valsts vai privātpersonas dibināta un noteiktā kārtībā Latvijas Republikā reģistrēta un akreditēta augstskola </w:t>
            </w:r>
          </w:p>
          <w:p w14:paraId="51607E0F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Digitālās iniciatīvas ir vērstas uz augstskolu digitālās kapacitātes stiprināšanu, izstrādājot un ieviešot inovatīvus digitālus risinājumus studiju procesā, t.sk. starpinstitūciju sadarbības risinājumus; modernu digitālu tehnoloģiju integrēšana studiju programmās; digitālu risinājumu ieviešana attālinātu praktisko un pētniecisko darbu īstenošanai, simulētās un virtuālās studiju vides attīstīšana, mākslīgā intelekta un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mašīnmācīšanās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tehnoloģiju integrēšana studiju programmu saturā un studiju procesā, mācību procesa datu ieguves un analīzes risinājumu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</w:rPr>
              <w:t>analytics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 ieviešana un modernizēšana.</w:t>
            </w:r>
          </w:p>
          <w:p w14:paraId="7DD0F5C3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547144C2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Bāzes vērtība un tās noteikšanas gads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</w:p>
          <w:p w14:paraId="18679754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 (2021)</w:t>
            </w:r>
          </w:p>
          <w:p w14:paraId="5925249E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lastRenderedPageBreak/>
              <w:t xml:space="preserve">Skaidrojums: nav līdzīgas pieredzes par intervencēm, kuru mērķis būtu bijis ieviest inovatīvus, izcilus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</w:rPr>
              <w:t>digitalizācijas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risinājumus studiju procesā. Trūkst objektīvu kritēriju, lai izvērtētu šo augstskolu sākotnējo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</w:rPr>
              <w:t>digitalizācijas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līmeni (katras augstskolas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</w:rPr>
              <w:t>digitalizācijas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līmeņa sākuma pozīciju) pirms ierosinātās intervences īstenošanas.</w:t>
            </w:r>
          </w:p>
          <w:p w14:paraId="00FA9699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28700CDA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Datu avots</w:t>
            </w:r>
            <w:r>
              <w:rPr>
                <w:rFonts w:ascii="Times New Roman" w:eastAsia="Times New Roman" w:hAnsi="Times New Roman" w:cs="Times New Roman"/>
                <w:sz w:val="18"/>
              </w:rPr>
              <w:t>: projektu dati. Informācija par sasniegtajām rādītāja vērtībām pieejami KP VIS.</w:t>
            </w:r>
          </w:p>
          <w:p w14:paraId="6DA9D38C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27258AB9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Apkopošanas biežums un ieguves metodoloģija: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6647A9CE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Apkopošanas biežums: vienu reizi projektu īstenošanas noslēgumā (2023).</w:t>
            </w:r>
          </w:p>
          <w:p w14:paraId="664A326E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Ieguves metodoloģija: KP VIS dati.</w:t>
            </w:r>
          </w:p>
          <w:p w14:paraId="477D83B2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3532266C" w14:textId="6B466FCA" w:rsidR="00277BD8" w:rsidRPr="001614CA" w:rsidRDefault="004D3776" w:rsidP="00161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Mērķis 2023</w:t>
            </w:r>
            <w:r>
              <w:rPr>
                <w:rFonts w:ascii="Times New Roman" w:eastAsia="Times New Roman" w:hAnsi="Times New Roman" w:cs="Times New Roman"/>
                <w:sz w:val="18"/>
              </w:rPr>
              <w:t>: 7</w:t>
            </w:r>
            <w:r w:rsidR="0074571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1) 2) </w:t>
            </w:r>
            <w:r w:rsidR="001614C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</w:p>
          <w:p w14:paraId="5FF8C025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64F02D25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6D00DF3F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Mērķa vērtības noteikšanas principi/metodoloģija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14:paraId="558168EC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2020/2021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ak.g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Latvijā ir 27 augstskolas (valsts un privātpersonu dibinātas). Plānots, ka ar ESF atbalstu digitālās iniciatīvas, kas veicina mūsdienīgu, inovatīvos tehnoloģiskos risinājumos balstītu studiju procesu, ieviesīs indikatīvi 1/4 no visām augstskolām, t.i., 7 augstskolas. Rezultāta rādītājs noteikts, ņemot vērā pieejamo finansējumu šim pasākumam un augstskolās iespējamo digitālo risinājumu ieviešanas izmaksu prognozes.</w:t>
            </w:r>
          </w:p>
          <w:p w14:paraId="60A31B72" w14:textId="083B9524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Plānots, ka augstskolas īstenos kopīgus projektus - ne mazāk kā </w:t>
            </w:r>
            <w:r w:rsidR="001614CA">
              <w:rPr>
                <w:rFonts w:ascii="Times New Roman" w:eastAsia="Times New Roman" w:hAnsi="Times New Roman" w:cs="Times New Roman"/>
                <w:sz w:val="18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augstskolas vienā projektā, kur viena augstskola būs finansējuma saņēmējs, bet pārējās augstskolas - sadarbības partneri. Kā sadarbības partneris var būt arī zinātniskā institūcija, bet to neieskaita rezultāta rādītājā. </w:t>
            </w:r>
          </w:p>
          <w:p w14:paraId="6C60CBF6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587D9D9E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lastRenderedPageBreak/>
              <w:t xml:space="preserve">Darbības līmenis: </w:t>
            </w:r>
            <w:r>
              <w:rPr>
                <w:rFonts w:ascii="Times New Roman" w:eastAsia="Times New Roman" w:hAnsi="Times New Roman" w:cs="Times New Roman"/>
                <w:sz w:val="18"/>
              </w:rPr>
              <w:t>projekts. Kopējā mērķa vērtība veidosies no projektu datiem.</w:t>
            </w:r>
          </w:p>
          <w:p w14:paraId="66149CF9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3FD6EFD9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Darbība, kas liek uzskatīt mērķa vērtību par izpildītu: </w:t>
            </w:r>
            <w:r>
              <w:rPr>
                <w:rFonts w:ascii="Times New Roman" w:eastAsia="Times New Roman" w:hAnsi="Times New Roman" w:cs="Times New Roman"/>
                <w:sz w:val="18"/>
              </w:rPr>
              <w:t>apstiprināts noslēguma maksājuma pieprasījums, ar kuru tiek apstiprināti arī sasniegtie rādītāji (ieviestas digitālās iniciatīvas).</w:t>
            </w:r>
          </w:p>
          <w:p w14:paraId="33BC272F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3171D42F" w14:textId="77777777" w:rsidR="00E5426E" w:rsidRDefault="00E5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76E5D79A" w14:textId="20E3253A" w:rsidR="00E5426E" w:rsidRDefault="00C9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14.1.1.2. pasākums</w:t>
            </w:r>
          </w:p>
          <w:p w14:paraId="5437F743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Atbalsts NEET jauniešiem</w:t>
            </w:r>
          </w:p>
          <w:p w14:paraId="4517E641" w14:textId="77777777" w:rsidR="00C9335A" w:rsidRDefault="00C9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14:paraId="0215A03B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r.14.1.1.a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 </w:t>
            </w:r>
          </w:p>
          <w:p w14:paraId="12B0B793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Nosaukums un mērvienība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NEET jaunieši, kas sekmīgi izpildījuši individuālo pasākumu programmu REACT-EU finansējuma ietvaros (personu skaits)</w:t>
            </w:r>
          </w:p>
          <w:p w14:paraId="207F4877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E0BC15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Definīcija: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340504B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NEET jauniešu skaits, kas sekmīgi izpildījuši individuālo pasākumu programmu REACT-EU atbalsta ietvaros (ESF). Individuālā pasākumu programma ir sekmīgi izpildīta, ja tās noslēgumā mērķa grupas jaunietis ir iesaistījies izglītībā, tai skaitā aroda apguvē pie amata meistara Nodarbinātības valsts aģentūras</w:t>
            </w:r>
            <w:r w:rsidR="00A34CC9">
              <w:rPr>
                <w:rFonts w:ascii="Times New Roman" w:eastAsia="Times New Roman" w:hAnsi="Times New Roman" w:cs="Times New Roman"/>
                <w:sz w:val="18"/>
              </w:rPr>
              <w:t xml:space="preserve"> (turpmāk – NVA)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īstenotajos aktīvajos nodarbinātības vai preventīvajos bezdarba samazināšanas pasākumos vai nodarbinātībā, kā arī nevalstisko organizāciju vai jauniešu centru darbībā.</w:t>
            </w:r>
          </w:p>
          <w:p w14:paraId="3F92BFB7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BD1A425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Bāzes vērtība un tās noteikšanas gads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</w:p>
          <w:p w14:paraId="34932963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  (2020.)</w:t>
            </w:r>
          </w:p>
          <w:p w14:paraId="0CA77DE1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094DC16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Datu avots</w:t>
            </w:r>
            <w:r>
              <w:rPr>
                <w:rFonts w:ascii="Times New Roman" w:eastAsia="Times New Roman" w:hAnsi="Times New Roman" w:cs="Times New Roman"/>
                <w:sz w:val="18"/>
              </w:rPr>
              <w:t>: projekta dati, projekta uzraudzības dati. Informācija par sasniegtajām rādītāja vērtībām pieejama KP VIS.</w:t>
            </w:r>
          </w:p>
          <w:p w14:paraId="39CBE613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E463593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lastRenderedPageBreak/>
              <w:t>Apkopošanas biežums un ieguves metodoloģija:</w:t>
            </w:r>
            <w:r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  <w:p w14:paraId="46823DF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Projekta īstenošanas noslēgumā, reizi gadā /projektu uzraudzības dati.</w:t>
            </w:r>
          </w:p>
          <w:p w14:paraId="69504119" w14:textId="1385D864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Plānots, ka no projektā iesaistītajiem </w:t>
            </w:r>
            <w:r w:rsidR="006A1AAE">
              <w:rPr>
                <w:rFonts w:ascii="Times New Roman" w:eastAsia="Times New Roman" w:hAnsi="Times New Roman" w:cs="Times New Roman"/>
                <w:sz w:val="18"/>
              </w:rPr>
              <w:t>573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NEET jauniešiem vecumā no 15 līdz 29 gadiem 70% (</w:t>
            </w:r>
            <w:r w:rsidR="006A1AAE">
              <w:rPr>
                <w:rFonts w:ascii="Times New Roman" w:eastAsia="Times New Roman" w:hAnsi="Times New Roman" w:cs="Times New Roman"/>
                <w:sz w:val="18"/>
              </w:rPr>
              <w:t xml:space="preserve"> 401 </w:t>
            </w:r>
            <w:r>
              <w:rPr>
                <w:rFonts w:ascii="Times New Roman" w:eastAsia="Times New Roman" w:hAnsi="Times New Roman" w:cs="Times New Roman"/>
                <w:sz w:val="18"/>
              </w:rPr>
              <w:t>) sekmīgi izpildījuši savu individuālo pasākumu programmu.</w:t>
            </w:r>
          </w:p>
          <w:p w14:paraId="46DE41D6" w14:textId="1B9DC443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7907BD8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CEBE3C9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608E7973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54D60C0A" w14:textId="10CB318C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Mērķis 2023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6D1392">
              <w:rPr>
                <w:rFonts w:ascii="Times New Roman" w:eastAsia="Times New Roman" w:hAnsi="Times New Roman" w:cs="Times New Roman"/>
                <w:sz w:val="18"/>
              </w:rPr>
              <w:t>401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1D8AD48B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E7EED79" w14:textId="77777777" w:rsidR="006A1AAE" w:rsidRDefault="006A1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20887B3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Mērķa vērtības noteikšanas principi/metodoloģija</w:t>
            </w:r>
            <w:r>
              <w:rPr>
                <w:rFonts w:ascii="Times New Roman" w:eastAsia="Times New Roman" w:hAnsi="Times New Roman" w:cs="Times New Roman"/>
                <w:sz w:val="18"/>
              </w:rPr>
              <w:t>: </w:t>
            </w:r>
          </w:p>
          <w:p w14:paraId="4C4AC880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BFAB4AF" w14:textId="77777777" w:rsidR="00277BD8" w:rsidRDefault="004D3776">
            <w:pPr>
              <w:spacing w:after="20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Tūlītējie rādītāji tiek uzskaitīti četru nedēļu laikā pēc dalības pabeigšanas.</w:t>
            </w:r>
          </w:p>
          <w:p w14:paraId="0BF283C8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Darbības līmenis:</w:t>
            </w:r>
          </w:p>
          <w:p w14:paraId="71B639D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Darbības līmenis ir projekts. Kopējā mērķa vērtība veidosies no projektu datiem.</w:t>
            </w:r>
          </w:p>
          <w:p w14:paraId="76D5D10F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03C21248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Darbība, kas liek uzskatīt mērķa vērtību par izpildītu:</w:t>
            </w:r>
          </w:p>
          <w:p w14:paraId="474401F0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Jaunietis ir sekmīgi izpildījis individuālo pasākumu programmu - tās noslēgumā jaunietis ir iesaistījies</w:t>
            </w:r>
            <w:r w:rsidR="004D4FF7">
              <w:rPr>
                <w:rFonts w:ascii="Times New Roman" w:eastAsia="Times New Roman" w:hAnsi="Times New Roman" w:cs="Times New Roman"/>
                <w:sz w:val="18"/>
              </w:rPr>
              <w:t xml:space="preserve"> izglītībā,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NVA īstenotajos aktīvajos nodarbinātības vai preventīvajos bezdarba samazināšanas pasākumos; nodarbinātībā; nevalstisko vai jauniešu centru darbībā.</w:t>
            </w:r>
          </w:p>
          <w:p w14:paraId="170B2D5B" w14:textId="77777777" w:rsidR="00277BD8" w:rsidRDefault="004D377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Vērtības izpildi apliecina veidlapa “Noslēguma ziņojums par individuālās pasākumu programmas ietekmi uz mērķa grupas jaunieti”, kurā atzīmēts, vai jaunietis:</w:t>
            </w:r>
          </w:p>
          <w:p w14:paraId="22D7B561" w14:textId="77777777" w:rsidR="00277BD8" w:rsidRDefault="004D377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1) Iesaistījies izglītībā (jaunietis iesniedz finansējuma saņēmējam pamatojošo dokumentu  par to, ka jaunietis iesaistījies formālās izglītības apguvē, kā arī finansējuma saņēmējs informāciju pārbauda Valsts izglītības informācijas sistēmā); </w:t>
            </w:r>
          </w:p>
          <w:p w14:paraId="4856225B" w14:textId="77777777" w:rsidR="00277BD8" w:rsidRDefault="004D377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2) Iesaistījies aroda apguvē pie amata meistara (jaunietis iesniedz finansējuma saņēmējam pamatojošo dokumentu, kā arī finansējuma saņēmējs informāciju pārbauda Valsts izglītības informācijas sistēmā);</w:t>
            </w:r>
          </w:p>
          <w:p w14:paraId="2B70C7EA" w14:textId="4964D15F" w:rsidR="00277BD8" w:rsidRDefault="004D377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3) Iesaistījies </w:t>
            </w:r>
            <w:hyperlink r:id="rId5">
              <w:r w:rsidR="00A34CC9" w:rsidRPr="00A04411">
                <w:rPr>
                  <w:rFonts w:ascii="Times New Roman" w:eastAsia="Times New Roman" w:hAnsi="Times New Roman" w:cs="Times New Roman"/>
                  <w:sz w:val="18"/>
                </w:rPr>
                <w:t>N</w:t>
              </w:r>
            </w:hyperlink>
            <w:r w:rsidR="00A34CC9" w:rsidRPr="00A04411">
              <w:rPr>
                <w:rFonts w:ascii="Times New Roman" w:eastAsia="Times New Roman" w:hAnsi="Times New Roman" w:cs="Times New Roman"/>
                <w:sz w:val="18"/>
              </w:rPr>
              <w:t>VA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īstenotajos aktīvajos </w:t>
            </w:r>
            <w:hyperlink r:id="rId6">
              <w:r w:rsidRPr="00A04411">
                <w:rPr>
                  <w:rFonts w:ascii="Times New Roman" w:eastAsia="Times New Roman" w:hAnsi="Times New Roman" w:cs="Times New Roman"/>
                  <w:sz w:val="18"/>
                </w:rPr>
                <w:t>nodarbinātības</w:t>
              </w:r>
            </w:hyperlink>
            <w:r>
              <w:rPr>
                <w:rFonts w:ascii="Times New Roman" w:eastAsia="Times New Roman" w:hAnsi="Times New Roman" w:cs="Times New Roman"/>
                <w:sz w:val="18"/>
              </w:rPr>
              <w:t xml:space="preserve"> vai preventīvajos </w:t>
            </w:r>
            <w:hyperlink r:id="rId7">
              <w:r w:rsidRPr="00A04411">
                <w:rPr>
                  <w:rFonts w:ascii="Times New Roman" w:eastAsia="Times New Roman" w:hAnsi="Times New Roman" w:cs="Times New Roman"/>
                  <w:sz w:val="18"/>
                </w:rPr>
                <w:t>bezdarba</w:t>
              </w:r>
            </w:hyperlink>
            <w:r>
              <w:rPr>
                <w:rFonts w:ascii="Times New Roman" w:eastAsia="Times New Roman" w:hAnsi="Times New Roman" w:cs="Times New Roman"/>
                <w:sz w:val="18"/>
              </w:rPr>
              <w:t xml:space="preserve"> samazināšanas pasākumos (jaunietis iesniedz finansējuma saņēmējam pamatojošo dokumentu, kā arī finansējuma saņēmējs informāciju atbilstoši noslēgtajai starpresoru vienošanos salīdzina ar NVA);</w:t>
            </w:r>
          </w:p>
          <w:p w14:paraId="20B22118" w14:textId="77777777" w:rsidR="00277BD8" w:rsidRDefault="004D377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4) Iesaistījies </w:t>
            </w:r>
            <w:hyperlink r:id="rId8">
              <w:r w:rsidRPr="00A04411">
                <w:rPr>
                  <w:rFonts w:ascii="Times New Roman" w:eastAsia="Times New Roman" w:hAnsi="Times New Roman" w:cs="Times New Roman"/>
                  <w:sz w:val="18"/>
                </w:rPr>
                <w:t>nodarbinātībā</w:t>
              </w:r>
            </w:hyperlink>
            <w:r>
              <w:rPr>
                <w:rFonts w:ascii="Times New Roman" w:eastAsia="Times New Roman" w:hAnsi="Times New Roman" w:cs="Times New Roman"/>
                <w:sz w:val="18"/>
              </w:rPr>
              <w:t xml:space="preserve"> (jaunietis iesniedz finansējuma saņēmējam pamatojošo dokumentu, kā arī finansējuma saņēmējs informāciju atbilstoši noslēgtajai starpresoru vienošanos pārbauda Valsts ieņēmumu dienesta Datu noliktavas sistēmā un Lursoft);</w:t>
            </w:r>
          </w:p>
          <w:p w14:paraId="6CAC5B53" w14:textId="77777777" w:rsidR="00277BD8" w:rsidRDefault="004D3776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5) Iesaistījies nevalstisko organizāciju darbībā (jaunietis iesniedz finansējuma saņēmējam pamatojošo dokumentu);</w:t>
            </w:r>
          </w:p>
          <w:p w14:paraId="2B38758A" w14:textId="3BC10D51" w:rsidR="00277BD8" w:rsidRDefault="004D3776">
            <w:pPr>
              <w:spacing w:after="20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6) Iesaistījies jauniešu centru darbībā</w:t>
            </w:r>
            <w:r w:rsidR="00860B7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(jaunietis iesniedz finansējuma saņēmējam pamatojošo dokumentu). 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208AC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14.1.1.1. pasākums: </w:t>
            </w:r>
          </w:p>
          <w:p w14:paraId="2484C8FB" w14:textId="75B0FCF4" w:rsidR="00C06B48" w:rsidRPr="00C06B48" w:rsidRDefault="008E6A37" w:rsidP="00C06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E753E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Digitalizācijas</w:t>
            </w:r>
            <w:proofErr w:type="spellEnd"/>
            <w:r w:rsidRPr="00E753E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iniciatīvas studiju kvalitātes pilnveidei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59138AA5" w14:textId="5C488C2B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5DBAC5D0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Nosaukums un mērvienība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14:paraId="6143AFA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i.14.1.1.b</w:t>
            </w:r>
          </w:p>
          <w:p w14:paraId="7CB67381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Augstskolu skaits, kuras saņēmušas ESF atbalstu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digitalizācijas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iniciatīvu ieviešanai, kas veicina mūsdienīgu, inovatīvos tehnoloģiskos risinājumos balstītu studiju procesu (augstskolu skaits).</w:t>
            </w:r>
          </w:p>
          <w:p w14:paraId="7E7A13E5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2C5A3818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Definīcija</w:t>
            </w:r>
            <w:r>
              <w:rPr>
                <w:rFonts w:ascii="Calibri" w:eastAsia="Calibri" w:hAnsi="Calibri" w:cs="Calibri"/>
              </w:rPr>
              <w:t>:</w:t>
            </w:r>
          </w:p>
          <w:p w14:paraId="1C26CCF5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Augstskolu skaits, kurām piešķirts ESF atbalsts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digitalizācijas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iniciatīvu ieviešanai.</w:t>
            </w:r>
          </w:p>
          <w:p w14:paraId="17919D7C" w14:textId="21E502FF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Augstskola - valsts vai privātpersonas dibināta un noteiktā kārtībā Latvijas Republikā reģistrēta un akreditēta augstskola</w:t>
            </w:r>
            <w:r w:rsidR="00692D4F">
              <w:rPr>
                <w:rFonts w:ascii="Times New Roman" w:eastAsia="Times New Roman" w:hAnsi="Times New Roman" w:cs="Times New Roman"/>
                <w:sz w:val="18"/>
              </w:rPr>
              <w:t xml:space="preserve"> )</w:t>
            </w:r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14:paraId="485366A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ESF atbalsts augstskolu digitālo iniciatīvu ieviešanai tiks sniegts pēc vienošanās//līgumu par projekta īstenošanu noslēgšanas.</w:t>
            </w:r>
          </w:p>
          <w:p w14:paraId="4295EEE2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0CFA2241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Datu avots</w:t>
            </w:r>
            <w:r>
              <w:rPr>
                <w:rFonts w:ascii="Times New Roman" w:eastAsia="Times New Roman" w:hAnsi="Times New Roman" w:cs="Times New Roman"/>
                <w:sz w:val="18"/>
              </w:rPr>
              <w:t>: projektu dati. Informācija par sasniegtajām rādītāja vērtībām pieejami KP VIS.</w:t>
            </w:r>
          </w:p>
          <w:p w14:paraId="7300DC65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03140528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Apkopošanas biežums un ieguves metodoloģija: </w:t>
            </w:r>
          </w:p>
          <w:p w14:paraId="321689C0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Reizi gadā, apkopojot KP VIS pieejamos projektu datus.</w:t>
            </w:r>
          </w:p>
          <w:p w14:paraId="25AF69C3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5579349B" w14:textId="2EA0D7B6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Mērķis 2023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FD1542" w:rsidRPr="00FD154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74571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1) 2) </w:t>
            </w:r>
          </w:p>
          <w:p w14:paraId="25E40530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37A7C4FA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Mērķa vērtības noteikšanas principi/metodoloģija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14:paraId="3A3C69B0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Atbalsts tiks sniegts augstskolu digitālo iniciatīvu ieviešanai, lai studiju procesā mainītu tradicionālo mācīšanas un mācīšanās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</w:rPr>
              <w:t>Teaching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) pieeju uz mūsdienīgu mācību pieredzi, integrējot digitālās tehnoloģijas studiju procesā, pedagoģiskajos paņēmienos un mācību novērtēšanas praksē, tādējādi stiprinot personalizētu mācīšanos, veicinot jēgpilnas individuālās un grupu </w:t>
            </w: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mācības, labāku mācīšanās organizāciju, tostarp resursu koplietošanu un efektīvāku atgriezenisko saiti, tādā veidā veicinot </w:t>
            </w:r>
          </w:p>
          <w:p w14:paraId="3AAF47A0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augstākās izglītības (studiju) izcilību. </w:t>
            </w:r>
          </w:p>
          <w:p w14:paraId="715B91EC" w14:textId="6B8020E1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Plānots, ka augstskolas īstenos kopīgus projektus - ne mazāk kā </w:t>
            </w:r>
            <w:r w:rsidR="001614CA">
              <w:rPr>
                <w:rFonts w:ascii="Times New Roman" w:eastAsia="Times New Roman" w:hAnsi="Times New Roman" w:cs="Times New Roman"/>
                <w:sz w:val="18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augstskolas vienā projektā, kur viena augstskola būs finansējuma saņēmējs, bet pārējās augstskolas - sadarbības partneri. Kā sadarbības partneris var būt arī zinātniskā institūcija, bet to neieskaita iznākuma rādītājā. </w:t>
            </w:r>
          </w:p>
          <w:p w14:paraId="60FA11E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2020/2021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ak.g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Latvijā ir 27 augstskolas (valsts un privātpersonu dibinātas). Plānots, ka ESF atbalstu digitālo iniciatīvu ieviešanai saņems indikatīvi 1/4 no visām augstskolām, t.i., 7 augstskolas.</w:t>
            </w:r>
          </w:p>
          <w:p w14:paraId="748DBED4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7CDECB24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Iznākuma rādītājam sasniegšanai paredzētais finansējums:</w:t>
            </w:r>
          </w:p>
          <w:p w14:paraId="0A24154C" w14:textId="2D7A47AF" w:rsidR="00277BD8" w:rsidRDefault="00C9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C933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5 627 882 </w:t>
            </w:r>
            <w:r w:rsidR="004D3776">
              <w:rPr>
                <w:rFonts w:ascii="Times New Roman" w:eastAsia="Times New Roman" w:hAnsi="Times New Roman" w:cs="Times New Roman"/>
                <w:sz w:val="18"/>
              </w:rPr>
              <w:t>EUR</w:t>
            </w:r>
          </w:p>
          <w:p w14:paraId="2551C9C5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4DB65725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Darbības līmenis: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projekts. Kopējā mērķa vērtība veidosies no projektu datiem.</w:t>
            </w:r>
          </w:p>
          <w:p w14:paraId="6739F257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3512F3E2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Darbība, kas liek uzskatīt mērķa vērtību par izpildītu: </w:t>
            </w:r>
            <w:r>
              <w:rPr>
                <w:rFonts w:ascii="Times New Roman" w:eastAsia="Times New Roman" w:hAnsi="Times New Roman" w:cs="Times New Roman"/>
                <w:sz w:val="18"/>
              </w:rPr>
              <w:t>noslēgta vienošanās/līgums ar finansējuma saņēmēju un CFLA par projekta īstenošanu un CFLA ir pieņēmusi lēmumu par pirmā maksājuma pieprasījuma apstiprināšanu.</w:t>
            </w:r>
          </w:p>
          <w:p w14:paraId="3322FDBE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606D374A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58EF06D8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64E67B10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790BF28B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5A64C79D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674ABB75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39066726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45AFE902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088AC127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4E20BD53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590BEFEB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39FFF140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2AD6E6CA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11609240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40D763F0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2221BAFE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030F5CB9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7F64CC64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59021875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40712249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3293A1DA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2B3F7C71" w14:textId="77777777" w:rsidR="00E5426E" w:rsidRDefault="00E5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14:paraId="3D95BD4A" w14:textId="77777777" w:rsidR="00E5426E" w:rsidRDefault="00E5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14:paraId="348B893D" w14:textId="77777777" w:rsidR="00E5426E" w:rsidRDefault="00E5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14:paraId="681CBC54" w14:textId="77777777" w:rsidR="00E5426E" w:rsidRDefault="00E5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14:paraId="6A8D288D" w14:textId="77777777" w:rsidR="00E5426E" w:rsidRDefault="00E54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14:paraId="4459A1EF" w14:textId="4057A48D" w:rsidR="00E5426E" w:rsidRPr="00C9335A" w:rsidRDefault="00C9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C9335A">
              <w:rPr>
                <w:rFonts w:ascii="Times New Roman" w:eastAsia="Times New Roman" w:hAnsi="Times New Roman" w:cs="Times New Roman"/>
                <w:sz w:val="18"/>
              </w:rPr>
              <w:t>14.1.1.2. pasākums</w:t>
            </w:r>
          </w:p>
          <w:p w14:paraId="64B4FBE3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Atbalsts NEET jauniešiem</w:t>
            </w:r>
          </w:p>
          <w:p w14:paraId="40E930B1" w14:textId="77777777" w:rsidR="00C9335A" w:rsidRDefault="00C9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0E302F8D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i.14.1.1.a</w:t>
            </w:r>
          </w:p>
          <w:p w14:paraId="699CDFE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Nosaukums un mērvienība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NEET jaunieši, kas saņēmuši atbalstu REACT-EU finansējuma ietvaros (personu skaits)</w:t>
            </w:r>
          </w:p>
          <w:p w14:paraId="42469D26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A079ACA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00CA0503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612EFE75" w14:textId="77777777" w:rsidR="00277BD8" w:rsidRDefault="004D377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Definīcija</w:t>
            </w:r>
            <w:r>
              <w:rPr>
                <w:rFonts w:ascii="Calibri" w:eastAsia="Calibri" w:hAnsi="Calibri" w:cs="Calibri"/>
              </w:rPr>
              <w:t>:</w:t>
            </w:r>
          </w:p>
          <w:p w14:paraId="62E4BB73" w14:textId="639C18E8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NEET jaunieši vecumā no 15 -29 (ieskaitot) gadiem, kas saņēmuši atbalstu REACT-EU finansējuma ietvaros paredzētajos pasākumos NEET jauniešiem, pēc atbilstības pārbaudes NEET statusam </w:t>
            </w:r>
            <w:r w:rsidR="004A703A">
              <w:rPr>
                <w:rFonts w:ascii="Times New Roman" w:eastAsia="Times New Roman" w:hAnsi="Times New Roman" w:cs="Times New Roman"/>
                <w:sz w:val="18"/>
              </w:rPr>
              <w:t xml:space="preserve">un pamata profilēšanas </w:t>
            </w:r>
            <w:r>
              <w:rPr>
                <w:rFonts w:ascii="Times New Roman" w:eastAsia="Times New Roman" w:hAnsi="Times New Roman" w:cs="Times New Roman"/>
                <w:sz w:val="18"/>
              </w:rPr>
              <w:t>ir atgriezušies izglītībā</w:t>
            </w:r>
            <w:r w:rsidR="0045514C">
              <w:rPr>
                <w:rFonts w:ascii="Times New Roman" w:eastAsia="Times New Roman" w:hAnsi="Times New Roman" w:cs="Times New Roman"/>
                <w:sz w:val="18"/>
              </w:rPr>
              <w:t>,</w:t>
            </w:r>
            <w:r w:rsidR="004D4FF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5514C">
              <w:rPr>
                <w:rFonts w:ascii="Times New Roman" w:eastAsia="Times New Roman" w:hAnsi="Times New Roman" w:cs="Times New Roman"/>
                <w:sz w:val="18"/>
              </w:rPr>
              <w:t xml:space="preserve">iesaistījušies </w:t>
            </w:r>
            <w:r w:rsidR="004D4FF7">
              <w:rPr>
                <w:rFonts w:ascii="Times New Roman" w:eastAsia="Times New Roman" w:hAnsi="Times New Roman" w:cs="Times New Roman"/>
                <w:sz w:val="18"/>
              </w:rPr>
              <w:t xml:space="preserve">aroda apguvē pie amata meistara,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iesaistījušies NVA </w:t>
            </w:r>
            <w:r w:rsidR="00A34CC9">
              <w:rPr>
                <w:rFonts w:ascii="Times New Roman" w:eastAsia="Times New Roman" w:hAnsi="Times New Roman" w:cs="Times New Roman"/>
                <w:sz w:val="18"/>
              </w:rPr>
              <w:t xml:space="preserve">īstenotajos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aktīvajos </w:t>
            </w:r>
            <w:r w:rsidR="00A34CC9">
              <w:rPr>
                <w:rFonts w:ascii="Times New Roman" w:eastAsia="Times New Roman" w:hAnsi="Times New Roman" w:cs="Times New Roman"/>
                <w:sz w:val="18"/>
              </w:rPr>
              <w:t>nodarbinātības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vai preventīvajos bezdarba samazināšanas pasākumos vai </w:t>
            </w:r>
            <w:r w:rsidR="00A34CC9">
              <w:rPr>
                <w:rFonts w:ascii="Times New Roman" w:eastAsia="Times New Roman" w:hAnsi="Times New Roman" w:cs="Times New Roman"/>
                <w:sz w:val="18"/>
              </w:rPr>
              <w:t>nodarbinātībā</w:t>
            </w:r>
            <w:r>
              <w:rPr>
                <w:rFonts w:ascii="Times New Roman" w:eastAsia="Times New Roman" w:hAnsi="Times New Roman" w:cs="Times New Roman"/>
                <w:sz w:val="18"/>
              </w:rPr>
              <w:t>, vai noslēguši līgumu par individuālās pasākumu programmas izpildi atbalsta ietvaros (personu skaits).</w:t>
            </w:r>
          </w:p>
          <w:p w14:paraId="7BF81420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952C180" w14:textId="77777777" w:rsidR="006A1AAE" w:rsidRDefault="006A1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6D61F20" w14:textId="77777777" w:rsidR="006A1AAE" w:rsidRDefault="006A1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F74B702" w14:textId="77777777" w:rsidR="006A1AAE" w:rsidRDefault="006A1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728F84C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Datu avots</w:t>
            </w:r>
            <w:r>
              <w:rPr>
                <w:rFonts w:ascii="Times New Roman" w:eastAsia="Times New Roman" w:hAnsi="Times New Roman" w:cs="Times New Roman"/>
                <w:sz w:val="18"/>
              </w:rPr>
              <w:t>: projekta dati, projekta uzraudzības dati. Informācija par sasniegtajām rādītāja vērtībām pieejama KP VIS.</w:t>
            </w:r>
          </w:p>
          <w:p w14:paraId="79CA725E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66927C9A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Apkopošanas biežums un ieguves metodoloģija: </w:t>
            </w:r>
          </w:p>
          <w:p w14:paraId="1CC314E9" w14:textId="12377B12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Reizi </w:t>
            </w:r>
            <w:r w:rsidR="0045514C">
              <w:rPr>
                <w:rFonts w:ascii="Times New Roman" w:eastAsia="Times New Roman" w:hAnsi="Times New Roman" w:cs="Times New Roman"/>
                <w:sz w:val="18"/>
              </w:rPr>
              <w:t>gadā /projektu uzraudzības dati.</w:t>
            </w:r>
          </w:p>
          <w:p w14:paraId="0305F6E1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16DCCD1D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lastRenderedPageBreak/>
              <w:t>Darbība, kas liek uzskatīt mērķa vērtību par izpildītu:</w:t>
            </w:r>
          </w:p>
          <w:p w14:paraId="2FB58DEE" w14:textId="11C1985C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312BD60" w14:textId="2D83F494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NEET jauniešu skaits, kas saņēmuši atbalstu (veikta NEET jaunieš</w:t>
            </w:r>
            <w:r w:rsidR="0045514C">
              <w:rPr>
                <w:rFonts w:ascii="Times New Roman" w:eastAsia="Times New Roman" w:hAnsi="Times New Roman" w:cs="Times New Roman"/>
                <w:sz w:val="18"/>
              </w:rPr>
              <w:t>a iesaiste projektā, kas ietver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NEET jaunieša uzrunāšanu un konsultēšanu, profilēšanu un NEET jaunieša individuālās pasākumu programmas izstrādi vai karjeras konsultāciju) REACT-EU finansējuma ietvaros (personu skaits)</w:t>
            </w:r>
            <w:r w:rsidR="0045514C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14:paraId="60F7E483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21067139" w14:textId="428DB0B9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Pirms NEET jaunieša iesaistes projektā tiek pārbaudīta NEET jaunieša atbilstība projekta mērķa grupai – tiks izmantoti Valsts ieņēmumu dienesta (VID) dati par personu nodarbinātību, kā arī Valsts izglītības informācijas sistēmas (VIIS) dati par personu iegūto izglītību.</w:t>
            </w:r>
          </w:p>
          <w:p w14:paraId="0F32664F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39547C0" w14:textId="0FBCB9F2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0EE5F6C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Mērķa vērtības noteikšanas principi/metodoloģija</w:t>
            </w:r>
            <w:r>
              <w:rPr>
                <w:rFonts w:ascii="Times New Roman" w:eastAsia="Times New Roman" w:hAnsi="Times New Roman" w:cs="Times New Roman"/>
                <w:sz w:val="18"/>
              </w:rPr>
              <w:t>: </w:t>
            </w:r>
          </w:p>
          <w:p w14:paraId="33CFA7CC" w14:textId="666B5A2E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Apmēram </w:t>
            </w:r>
            <w:r w:rsidR="006A1AAE">
              <w:rPr>
                <w:rFonts w:ascii="Times New Roman" w:eastAsia="Times New Roman" w:hAnsi="Times New Roman" w:cs="Times New Roman"/>
                <w:sz w:val="18"/>
              </w:rPr>
              <w:t>177 737,4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5514C">
              <w:rPr>
                <w:rFonts w:ascii="Times New Roman" w:eastAsia="Times New Roman" w:hAnsi="Times New Roman" w:cs="Times New Roman"/>
                <w:sz w:val="18"/>
              </w:rPr>
              <w:t xml:space="preserve">EUR no REACT-EU finansējuma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tiek novirzīti vadības izmaksām un plānotajām projekta īstenošanas izmaksām (kas ietver mācības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men</w:t>
            </w:r>
            <w:r w:rsidR="0045514C">
              <w:rPr>
                <w:rFonts w:ascii="Times New Roman" w:eastAsia="Times New Roman" w:hAnsi="Times New Roman" w:cs="Times New Roman"/>
                <w:sz w:val="18"/>
              </w:rPr>
              <w:t>toriem</w:t>
            </w:r>
            <w:proofErr w:type="spellEnd"/>
            <w:r w:rsidR="0045514C">
              <w:rPr>
                <w:rFonts w:ascii="Times New Roman" w:eastAsia="Times New Roman" w:hAnsi="Times New Roman" w:cs="Times New Roman"/>
                <w:sz w:val="18"/>
              </w:rPr>
              <w:t xml:space="preserve"> un programmu vadītājiem,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metodisko atbalstu visām pašvaldībām projekta laikā, par izvērtēšanas pasākumiem, </w:t>
            </w:r>
            <w:r w:rsidR="0045514C">
              <w:rPr>
                <w:rFonts w:ascii="Times New Roman" w:eastAsia="Times New Roman" w:hAnsi="Times New Roman" w:cs="Times New Roman"/>
                <w:sz w:val="18"/>
              </w:rPr>
              <w:t xml:space="preserve">kā arī </w:t>
            </w:r>
            <w:r>
              <w:rPr>
                <w:rFonts w:ascii="Times New Roman" w:eastAsia="Times New Roman" w:hAnsi="Times New Roman" w:cs="Times New Roman"/>
                <w:sz w:val="18"/>
              </w:rPr>
              <w:t>par informācijas un publicitātes pasākumiem u.c.) </w:t>
            </w:r>
          </w:p>
          <w:p w14:paraId="406516B9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01259A57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1A9EBAFF" w14:textId="13067E23" w:rsidR="00277BD8" w:rsidRDefault="00A06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1 074 024 </w:t>
            </w:r>
            <w:r w:rsidR="004D3776">
              <w:rPr>
                <w:rFonts w:ascii="Times New Roman" w:eastAsia="Times New Roman" w:hAnsi="Times New Roman" w:cs="Times New Roman"/>
                <w:sz w:val="18"/>
              </w:rPr>
              <w:t xml:space="preserve">EUR –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177 737,4 </w:t>
            </w:r>
            <w:r w:rsidR="004D3776">
              <w:rPr>
                <w:rFonts w:ascii="Times New Roman" w:eastAsia="Times New Roman" w:hAnsi="Times New Roman" w:cs="Times New Roman"/>
                <w:sz w:val="18"/>
              </w:rPr>
              <w:t xml:space="preserve"> EUR=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896 286,6 </w:t>
            </w:r>
            <w:r w:rsidR="004D3776">
              <w:rPr>
                <w:rFonts w:ascii="Times New Roman" w:eastAsia="Times New Roman" w:hAnsi="Times New Roman" w:cs="Times New Roman"/>
                <w:strike/>
                <w:sz w:val="18"/>
              </w:rPr>
              <w:t> </w:t>
            </w:r>
            <w:r w:rsidR="004D3776">
              <w:rPr>
                <w:rFonts w:ascii="Times New Roman" w:eastAsia="Times New Roman" w:hAnsi="Times New Roman" w:cs="Times New Roman"/>
                <w:sz w:val="18"/>
              </w:rPr>
              <w:t>EUR tiešajam NEET jauniešu atbalstam</w:t>
            </w:r>
          </w:p>
          <w:p w14:paraId="6B15557A" w14:textId="18FD0AC1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Pieņemot, ka vienas vienības izmaksas par viena mērķa grupas jaunieša iesaisti projektā ir 91,08 EUR un, ka vidēji jaunietis projektā jāiesaista 4 mēnešus, vienas vienības izmaksas par viena mērķa grupas jaunieša dalību individuālajā pasākumu programmā mēnesī ir 368,28 EUR: (91,08 EUR+(4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mēn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* 368,28 EUR)) * </w:t>
            </w:r>
            <w:r w:rsidR="006A1AAE">
              <w:rPr>
                <w:rFonts w:ascii="Times New Roman" w:eastAsia="Times New Roman" w:hAnsi="Times New Roman" w:cs="Times New Roman"/>
                <w:sz w:val="18"/>
              </w:rPr>
              <w:t xml:space="preserve">573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= 1564,2 x </w:t>
            </w:r>
            <w:r w:rsidR="006A1AAE">
              <w:rPr>
                <w:rFonts w:ascii="Times New Roman" w:eastAsia="Times New Roman" w:hAnsi="Times New Roman" w:cs="Times New Roman"/>
                <w:sz w:val="18"/>
              </w:rPr>
              <w:t>573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=  </w:t>
            </w:r>
            <w:r w:rsidR="006D1392">
              <w:rPr>
                <w:rFonts w:ascii="Times New Roman" w:eastAsia="Times New Roman" w:hAnsi="Times New Roman" w:cs="Times New Roman"/>
                <w:sz w:val="18"/>
              </w:rPr>
              <w:t>896 286,6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EUR</w:t>
            </w:r>
          </w:p>
          <w:p w14:paraId="349538F0" w14:textId="77777777" w:rsidR="0045514C" w:rsidRPr="0045514C" w:rsidRDefault="00455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2C7D1B5D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Iznākuma rādītājam sasniegšanai paredzētais finansējums:</w:t>
            </w:r>
          </w:p>
          <w:p w14:paraId="568F83F1" w14:textId="5974339F" w:rsidR="00277BD8" w:rsidRDefault="006A1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1</w:t>
            </w:r>
            <w:r w:rsidR="00A06E43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074</w:t>
            </w:r>
            <w:r w:rsidR="00A06E43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024</w:t>
            </w:r>
            <w:r w:rsidR="004D3776">
              <w:rPr>
                <w:rFonts w:ascii="Times New Roman" w:eastAsia="Times New Roman" w:hAnsi="Times New Roman" w:cs="Times New Roman"/>
                <w:sz w:val="18"/>
                <w:shd w:val="clear" w:color="auto" w:fill="FFFFFF"/>
              </w:rPr>
              <w:t>EUR</w:t>
            </w:r>
          </w:p>
          <w:p w14:paraId="5AC5A77D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BB758AC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Darbības līmenis:</w:t>
            </w:r>
          </w:p>
          <w:p w14:paraId="73D1BEC2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Darbības līmenis ir projekts. Kopējā mērķa vērtība veidosies no projektu datiem.</w:t>
            </w:r>
          </w:p>
          <w:p w14:paraId="5090177B" w14:textId="77777777" w:rsidR="00277BD8" w:rsidRDefault="00277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14:paraId="42E19F07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Darbība, kas liek uzskatīt mērķa vērtību par izpildītu:</w:t>
            </w:r>
          </w:p>
          <w:p w14:paraId="649EA51C" w14:textId="77777777" w:rsidR="00277BD8" w:rsidRDefault="00277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5310DA5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NEET jauniešu skaits, kas saņēmuši atbalstu REACT-EU finansējuma ietvaros, t.i., iesaistīti projektā.</w:t>
            </w:r>
          </w:p>
          <w:p w14:paraId="35E5510D" w14:textId="77777777" w:rsidR="00277BD8" w:rsidRDefault="004D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Veikta NEET jaunieša uzrunāšana, konsultēšana, profilēšana, individuālās pasākumu programmas izveide vai karjeras konsultācija.</w:t>
            </w:r>
          </w:p>
          <w:p w14:paraId="3CD8C2BB" w14:textId="3C0F9A5B" w:rsidR="00277BD8" w:rsidRPr="00A350B6" w:rsidRDefault="004D3776" w:rsidP="00A35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Vērtības izpildi apliecina veidlapa “Noslēguma ziņojums par mērķa grupas jaunieša iesaisti</w:t>
            </w:r>
            <w:r>
              <w:t xml:space="preserve"> </w:t>
            </w:r>
            <w:r w:rsidRPr="004D3776">
              <w:rPr>
                <w:rFonts w:ascii="Times New Roman" w:eastAsia="Times New Roman" w:hAnsi="Times New Roman" w:cs="Times New Roman"/>
                <w:sz w:val="18"/>
              </w:rPr>
              <w:t>Jauniešu garantijas ietvaros īstenotajā pasākumā</w:t>
            </w:r>
            <w:r>
              <w:rPr>
                <w:rFonts w:ascii="Times New Roman" w:eastAsia="Times New Roman" w:hAnsi="Times New Roman" w:cs="Times New Roman"/>
                <w:sz w:val="18"/>
              </w:rPr>
              <w:t>/Nodarbinātības valsts aģentūras (NVA) īstenotajos aktīvajos nodarbinātības vai preventīvajos bezdarba samazināšanas pasākumos” vai veidlapa “Individuālā pasākumu programma”.</w:t>
            </w:r>
          </w:p>
        </w:tc>
      </w:tr>
    </w:tbl>
    <w:p w14:paraId="123AB8A0" w14:textId="217D4DDC" w:rsidR="00277BD8" w:rsidRDefault="00277BD8">
      <w:pPr>
        <w:spacing w:after="200" w:line="276" w:lineRule="auto"/>
        <w:rPr>
          <w:rFonts w:ascii="Times New Roman" w:eastAsia="Times New Roman" w:hAnsi="Times New Roman" w:cs="Times New Roman"/>
          <w:sz w:val="18"/>
        </w:rPr>
      </w:pPr>
    </w:p>
    <w:sectPr w:rsidR="00277BD8" w:rsidSect="00C06B4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01289"/>
    <w:multiLevelType w:val="multilevel"/>
    <w:tmpl w:val="7334EC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4A27"/>
    <w:multiLevelType w:val="hybridMultilevel"/>
    <w:tmpl w:val="A41E9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C7AA8"/>
    <w:multiLevelType w:val="multilevel"/>
    <w:tmpl w:val="C56406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65E50"/>
    <w:multiLevelType w:val="multilevel"/>
    <w:tmpl w:val="BA9C75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F2011A"/>
    <w:multiLevelType w:val="multilevel"/>
    <w:tmpl w:val="D5D84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5D6EFE"/>
    <w:multiLevelType w:val="multilevel"/>
    <w:tmpl w:val="8E5E4C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CE393C"/>
    <w:multiLevelType w:val="multilevel"/>
    <w:tmpl w:val="CCD6D82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3854113">
    <w:abstractNumId w:val="3"/>
  </w:num>
  <w:num w:numId="2" w16cid:durableId="1186939010">
    <w:abstractNumId w:val="5"/>
  </w:num>
  <w:num w:numId="3" w16cid:durableId="241182848">
    <w:abstractNumId w:val="6"/>
  </w:num>
  <w:num w:numId="4" w16cid:durableId="1466967245">
    <w:abstractNumId w:val="0"/>
  </w:num>
  <w:num w:numId="5" w16cid:durableId="677924381">
    <w:abstractNumId w:val="1"/>
  </w:num>
  <w:num w:numId="6" w16cid:durableId="2084405218">
    <w:abstractNumId w:val="2"/>
  </w:num>
  <w:num w:numId="7" w16cid:durableId="9510865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BD8"/>
    <w:rsid w:val="000A6AB9"/>
    <w:rsid w:val="000C02BF"/>
    <w:rsid w:val="001614CA"/>
    <w:rsid w:val="001B2748"/>
    <w:rsid w:val="00277BD8"/>
    <w:rsid w:val="002E7787"/>
    <w:rsid w:val="003706EC"/>
    <w:rsid w:val="0045514C"/>
    <w:rsid w:val="004902D4"/>
    <w:rsid w:val="004A703A"/>
    <w:rsid w:val="004D3776"/>
    <w:rsid w:val="004D4FF7"/>
    <w:rsid w:val="00670042"/>
    <w:rsid w:val="00692D4F"/>
    <w:rsid w:val="006A1AAE"/>
    <w:rsid w:val="006D1392"/>
    <w:rsid w:val="00745714"/>
    <w:rsid w:val="00834328"/>
    <w:rsid w:val="00860B7E"/>
    <w:rsid w:val="008E6A37"/>
    <w:rsid w:val="009F1304"/>
    <w:rsid w:val="00A04411"/>
    <w:rsid w:val="00A06E43"/>
    <w:rsid w:val="00A228DD"/>
    <w:rsid w:val="00A34CC9"/>
    <w:rsid w:val="00A350B6"/>
    <w:rsid w:val="00C06B48"/>
    <w:rsid w:val="00C9335A"/>
    <w:rsid w:val="00DE1C85"/>
    <w:rsid w:val="00E01B1C"/>
    <w:rsid w:val="00E5426E"/>
    <w:rsid w:val="00FD1542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D0BF8"/>
  <w15:docId w15:val="{7E3F68F6-9385-463C-8098-96A81E10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A70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70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70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0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0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03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350B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2d.lv/l.php?doc_id=1993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2d.lv/l.php?doc_id=625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2d.lv/l.php?doc_id=199341" TargetMode="External"/><Relationship Id="rId5" Type="http://schemas.openxmlformats.org/officeDocument/2006/relationships/hyperlink" Target="http://www.l2d.lv/l.php?doc_id=19934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7727</Words>
  <Characters>4405</Characters>
  <Application>Microsoft Office Word</Application>
  <DocSecurity>0</DocSecurity>
  <Lines>36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Raitis Imsa</dc:creator>
  <cp:lastModifiedBy>Laura Laiviņa</cp:lastModifiedBy>
  <cp:revision>2</cp:revision>
  <cp:lastPrinted>2022-03-04T08:42:00Z</cp:lastPrinted>
  <dcterms:created xsi:type="dcterms:W3CDTF">2022-06-09T11:31:00Z</dcterms:created>
  <dcterms:modified xsi:type="dcterms:W3CDTF">2022-06-09T11:31:00Z</dcterms:modified>
</cp:coreProperties>
</file>