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5FBC6" w14:textId="77777777" w:rsidR="006E6D49" w:rsidRPr="00C05825" w:rsidRDefault="006E6D49" w:rsidP="006E6D49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bookmarkStart w:id="0" w:name="_GoBack"/>
      <w:bookmarkEnd w:id="0"/>
      <w:r w:rsidRPr="00C05825">
        <w:rPr>
          <w:rFonts w:ascii="Times New Roman" w:hAnsi="Times New Roman"/>
          <w:b/>
          <w:bCs/>
          <w:sz w:val="18"/>
          <w:szCs w:val="18"/>
        </w:rPr>
        <w:t xml:space="preserve">Tabula </w:t>
      </w:r>
      <w:r w:rsidR="001778BD" w:rsidRPr="00C05825">
        <w:rPr>
          <w:rFonts w:ascii="Times New Roman" w:hAnsi="Times New Roman"/>
          <w:b/>
          <w:bCs/>
          <w:sz w:val="18"/>
          <w:szCs w:val="18"/>
        </w:rPr>
        <w:fldChar w:fldCharType="begin"/>
      </w:r>
      <w:r w:rsidRPr="00C05825">
        <w:rPr>
          <w:rFonts w:ascii="Times New Roman" w:hAnsi="Times New Roman"/>
          <w:b/>
          <w:bCs/>
          <w:sz w:val="18"/>
          <w:szCs w:val="18"/>
        </w:rPr>
        <w:instrText xml:space="preserve"> SEQ Tabula \* ARABIC </w:instrText>
      </w:r>
      <w:r w:rsidR="001778BD" w:rsidRPr="00C05825">
        <w:rPr>
          <w:rFonts w:ascii="Times New Roman" w:hAnsi="Times New Roman"/>
          <w:b/>
          <w:bCs/>
          <w:sz w:val="18"/>
          <w:szCs w:val="18"/>
        </w:rPr>
        <w:fldChar w:fldCharType="separate"/>
      </w:r>
      <w:r w:rsidR="00826933">
        <w:rPr>
          <w:rFonts w:ascii="Times New Roman" w:hAnsi="Times New Roman"/>
          <w:b/>
          <w:bCs/>
          <w:noProof/>
          <w:sz w:val="18"/>
          <w:szCs w:val="18"/>
        </w:rPr>
        <w:t>1</w:t>
      </w:r>
      <w:r w:rsidR="001778BD" w:rsidRPr="00C05825">
        <w:rPr>
          <w:rFonts w:ascii="Times New Roman" w:hAnsi="Times New Roman"/>
          <w:b/>
          <w:bCs/>
          <w:sz w:val="18"/>
          <w:szCs w:val="18"/>
        </w:rPr>
        <w:fldChar w:fldCharType="end"/>
      </w:r>
      <w:r w:rsidRPr="00C05825">
        <w:rPr>
          <w:rFonts w:ascii="Times New Roman" w:hAnsi="Times New Roman"/>
          <w:b/>
          <w:bCs/>
          <w:sz w:val="18"/>
          <w:szCs w:val="18"/>
        </w:rPr>
        <w:t xml:space="preserve"> Rādītāju pase investīciju prioritātes specifiskajiem mērķiem</w:t>
      </w:r>
    </w:p>
    <w:p w14:paraId="3F98A5A2" w14:textId="77777777" w:rsidR="006E6D49" w:rsidRPr="00C05825" w:rsidRDefault="006E6D49" w:rsidP="006E6D49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93"/>
        <w:gridCol w:w="1701"/>
        <w:gridCol w:w="4536"/>
        <w:gridCol w:w="3828"/>
        <w:gridCol w:w="2268"/>
      </w:tblGrid>
      <w:tr w:rsidR="006E6D49" w:rsidRPr="00972524" w14:paraId="681A963F" w14:textId="77777777" w:rsidTr="00151FE6">
        <w:tc>
          <w:tcPr>
            <w:tcW w:w="1242" w:type="dxa"/>
          </w:tcPr>
          <w:p w14:paraId="5E17155C" w14:textId="77777777" w:rsidR="006E6D49" w:rsidRPr="00972524" w:rsidRDefault="006E6D49" w:rsidP="00151F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Prioritārais virziens</w:t>
            </w:r>
          </w:p>
        </w:tc>
        <w:tc>
          <w:tcPr>
            <w:tcW w:w="1593" w:type="dxa"/>
          </w:tcPr>
          <w:p w14:paraId="369B5EA3" w14:textId="77777777" w:rsidR="006E6D49" w:rsidRPr="00972524" w:rsidRDefault="006E6D49" w:rsidP="00151F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Investīciju prioritātes nosaukums</w:t>
            </w:r>
          </w:p>
        </w:tc>
        <w:tc>
          <w:tcPr>
            <w:tcW w:w="1701" w:type="dxa"/>
          </w:tcPr>
          <w:p w14:paraId="018A627E" w14:textId="77777777" w:rsidR="006E6D49" w:rsidRPr="00972524" w:rsidRDefault="006E6D49" w:rsidP="00151F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Specifiskie atbalsta mērķi (SAM)</w:t>
            </w:r>
          </w:p>
        </w:tc>
        <w:tc>
          <w:tcPr>
            <w:tcW w:w="4536" w:type="dxa"/>
          </w:tcPr>
          <w:p w14:paraId="34F135FE" w14:textId="77777777" w:rsidR="006E6D49" w:rsidRPr="00972524" w:rsidRDefault="006E6D49" w:rsidP="00151F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Rezultāta rādītāji</w:t>
            </w:r>
          </w:p>
        </w:tc>
        <w:tc>
          <w:tcPr>
            <w:tcW w:w="3828" w:type="dxa"/>
          </w:tcPr>
          <w:p w14:paraId="24B13049" w14:textId="1B77FFD3" w:rsidR="006E6D49" w:rsidRPr="00972524" w:rsidRDefault="006E6D49" w:rsidP="00A66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Iznākuma rādītāji</w:t>
            </w:r>
          </w:p>
        </w:tc>
        <w:tc>
          <w:tcPr>
            <w:tcW w:w="2268" w:type="dxa"/>
          </w:tcPr>
          <w:p w14:paraId="3C962BC9" w14:textId="2D526C34" w:rsidR="006E6D49" w:rsidRPr="00972524" w:rsidRDefault="006E6D49" w:rsidP="00151F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72524">
              <w:rPr>
                <w:rFonts w:ascii="Times New Roman" w:hAnsi="Times New Roman"/>
                <w:b/>
                <w:sz w:val="16"/>
                <w:szCs w:val="16"/>
              </w:rPr>
              <w:t>Finanšu rādītāji</w:t>
            </w:r>
            <w:r w:rsidR="002E5B3E">
              <w:rPr>
                <w:rStyle w:val="FootnoteReference"/>
                <w:rFonts w:ascii="Times New Roman" w:hAnsi="Times New Roman"/>
                <w:b/>
                <w:sz w:val="16"/>
                <w:szCs w:val="16"/>
              </w:rPr>
              <w:footnoteReference w:id="1"/>
            </w:r>
          </w:p>
        </w:tc>
      </w:tr>
      <w:tr w:rsidR="006E6D49" w:rsidRPr="00972524" w14:paraId="7A6066D7" w14:textId="77777777" w:rsidTr="00151FE6">
        <w:trPr>
          <w:trHeight w:val="695"/>
        </w:trPr>
        <w:tc>
          <w:tcPr>
            <w:tcW w:w="1242" w:type="dxa"/>
          </w:tcPr>
          <w:p w14:paraId="5F02D756" w14:textId="77777777" w:rsidR="006E6D49" w:rsidRPr="00151FE6" w:rsidRDefault="0020529D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1FE6">
              <w:rPr>
                <w:rFonts w:ascii="Times New Roman" w:hAnsi="Times New Roman"/>
                <w:sz w:val="16"/>
                <w:szCs w:val="16"/>
              </w:rPr>
              <w:t xml:space="preserve">5. </w:t>
            </w:r>
            <w:r w:rsidR="006E6D49" w:rsidRPr="00151FE6">
              <w:rPr>
                <w:rFonts w:ascii="Times New Roman" w:hAnsi="Times New Roman"/>
                <w:sz w:val="16"/>
                <w:szCs w:val="16"/>
              </w:rPr>
              <w:t>Vides aizsardzība un resursu izmantošanas efektivitāte</w:t>
            </w:r>
          </w:p>
        </w:tc>
        <w:tc>
          <w:tcPr>
            <w:tcW w:w="1593" w:type="dxa"/>
          </w:tcPr>
          <w:p w14:paraId="0B0BE007" w14:textId="77777777" w:rsidR="006E6D49" w:rsidRPr="00151FE6" w:rsidRDefault="0020529D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1FE6">
              <w:rPr>
                <w:rFonts w:ascii="Times New Roman" w:hAnsi="Times New Roman"/>
                <w:sz w:val="16"/>
                <w:szCs w:val="16"/>
              </w:rPr>
              <w:t xml:space="preserve">5.3. </w:t>
            </w:r>
            <w:r w:rsidR="006E6D49" w:rsidRPr="00151FE6">
              <w:rPr>
                <w:rFonts w:ascii="Times New Roman" w:hAnsi="Times New Roman"/>
                <w:sz w:val="16"/>
                <w:szCs w:val="16"/>
              </w:rPr>
              <w:t xml:space="preserve">Investēt ūdenssaimniecības nozarē, lai ievērotu Savienības </w:t>
            </w:r>
            <w:r w:rsidR="006E6D49" w:rsidRPr="00151FE6">
              <w:rPr>
                <w:rFonts w:ascii="Times New Roman" w:hAnsi="Times New Roman"/>
                <w:i/>
                <w:sz w:val="16"/>
                <w:szCs w:val="16"/>
              </w:rPr>
              <w:t>acquis</w:t>
            </w:r>
            <w:r w:rsidR="006E6D49" w:rsidRPr="00151FE6">
              <w:rPr>
                <w:rFonts w:ascii="Times New Roman" w:hAnsi="Times New Roman"/>
                <w:sz w:val="16"/>
                <w:szCs w:val="16"/>
              </w:rPr>
              <w:t xml:space="preserve"> noteiktās prasības vides jomā un nodrošinātu dalībvalstu identificētās vajadzības pēc investīcijām, kas pārsniedz minētās prasības</w:t>
            </w:r>
          </w:p>
        </w:tc>
        <w:tc>
          <w:tcPr>
            <w:tcW w:w="1701" w:type="dxa"/>
          </w:tcPr>
          <w:p w14:paraId="619E2197" w14:textId="77777777" w:rsidR="006E6D49" w:rsidRPr="00151FE6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1FE6">
              <w:rPr>
                <w:rFonts w:ascii="Times New Roman" w:hAnsi="Times New Roman"/>
                <w:sz w:val="16"/>
                <w:szCs w:val="16"/>
              </w:rPr>
              <w:t>SAM 5.3.1.</w:t>
            </w:r>
            <w:r w:rsidR="0020529D" w:rsidRPr="00151FE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>attīstīt un uzlabot ūdensapgādes un kanalizācijas sistēmas pakalpojumu kvalitāti un nodrošināt pieslēgšanas iespējas (KF)</w:t>
            </w:r>
          </w:p>
        </w:tc>
        <w:tc>
          <w:tcPr>
            <w:tcW w:w="4536" w:type="dxa"/>
          </w:tcPr>
          <w:p w14:paraId="0A7B8EC7" w14:textId="77777777" w:rsidR="00A65CE0" w:rsidRPr="00151FE6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51FE6">
              <w:rPr>
                <w:rFonts w:ascii="Times New Roman" w:hAnsi="Times New Roman"/>
                <w:b/>
                <w:i/>
                <w:sz w:val="16"/>
                <w:szCs w:val="16"/>
              </w:rPr>
              <w:t>Nosaukums un mērvienība</w:t>
            </w:r>
            <w:r w:rsidRPr="00151FE6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41211181" w14:textId="77777777" w:rsidR="00A65CE0" w:rsidRPr="00A65CE0" w:rsidRDefault="00881D3B" w:rsidP="00EA12E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r.5.3.1.b</w:t>
            </w:r>
            <w:r w:rsidR="00A65CE0" w:rsidRPr="00EA12E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65CE0" w:rsidRPr="00151FE6">
              <w:rPr>
                <w:rFonts w:ascii="Times New Roman" w:hAnsi="Times New Roman"/>
                <w:sz w:val="16"/>
                <w:szCs w:val="16"/>
              </w:rPr>
              <w:t>Iedzīvotāju īpatsvars, kam nodrošināti normatīvo aktu prasībām</w:t>
            </w:r>
            <w:r w:rsidR="00A65CE0">
              <w:rPr>
                <w:rFonts w:ascii="Times New Roman" w:hAnsi="Times New Roman"/>
                <w:sz w:val="16"/>
                <w:szCs w:val="16"/>
              </w:rPr>
              <w:t>*</w:t>
            </w:r>
            <w:r w:rsidR="00A65CE0" w:rsidRPr="00151FE6">
              <w:rPr>
                <w:rFonts w:ascii="Times New Roman" w:hAnsi="Times New Roman"/>
                <w:sz w:val="16"/>
                <w:szCs w:val="16"/>
              </w:rPr>
              <w:t xml:space="preserve"> atbilstošu centralizēto notekūdeņu apsaimniekošanas pakalpojumu pieslēgumi, %</w:t>
            </w:r>
          </w:p>
          <w:p w14:paraId="2CA957F5" w14:textId="77777777" w:rsidR="00A65CE0" w:rsidRPr="00151FE6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51FE6">
              <w:rPr>
                <w:rFonts w:ascii="Times New Roman" w:hAnsi="Times New Roman"/>
                <w:b/>
                <w:i/>
                <w:sz w:val="16"/>
                <w:szCs w:val="16"/>
              </w:rPr>
              <w:t>Definīcija:</w:t>
            </w:r>
          </w:p>
          <w:p w14:paraId="77A02087" w14:textId="023906DC" w:rsidR="00A65CE0" w:rsidRPr="00151FE6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1FE6">
              <w:rPr>
                <w:rFonts w:ascii="Times New Roman" w:hAnsi="Times New Roman"/>
                <w:sz w:val="16"/>
                <w:szCs w:val="16"/>
              </w:rPr>
              <w:t xml:space="preserve">Iedzīvotāju skaits procentos, kam nodrošināti normatīvo aktu prasībām atbilstošu notekūdeņu apsaimniekošanas pakalpojumu pieslēgumi, rēķinot no kopējā iedzīvotāju skaita </w:t>
            </w:r>
            <w:r w:rsidR="00695E1A">
              <w:rPr>
                <w:rFonts w:ascii="Times New Roman" w:hAnsi="Times New Roman"/>
                <w:sz w:val="16"/>
                <w:szCs w:val="16"/>
              </w:rPr>
              <w:t>ūdenssaimniecības paka</w:t>
            </w:r>
            <w:r w:rsidR="00153F05">
              <w:rPr>
                <w:rFonts w:ascii="Times New Roman" w:hAnsi="Times New Roman"/>
                <w:sz w:val="16"/>
                <w:szCs w:val="16"/>
              </w:rPr>
              <w:t>l</w:t>
            </w:r>
            <w:r w:rsidR="00695E1A">
              <w:rPr>
                <w:rFonts w:ascii="Times New Roman" w:hAnsi="Times New Roman"/>
                <w:sz w:val="16"/>
                <w:szCs w:val="16"/>
              </w:rPr>
              <w:t>pojumu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 xml:space="preserve"> aglomerācij</w:t>
            </w:r>
            <w:r w:rsidR="009226B8">
              <w:rPr>
                <w:rFonts w:ascii="Times New Roman" w:hAnsi="Times New Roman"/>
                <w:sz w:val="16"/>
                <w:szCs w:val="16"/>
              </w:rPr>
              <w:t>ā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 xml:space="preserve">s ar CE &gt; 2000 </w:t>
            </w:r>
          </w:p>
          <w:p w14:paraId="550CC2AB" w14:textId="77777777" w:rsidR="00A65CE0" w:rsidRPr="00151FE6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594FC0D" w14:textId="77777777" w:rsidR="00A65CE0" w:rsidRPr="00151FE6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51FE6">
              <w:rPr>
                <w:rFonts w:ascii="Times New Roman" w:hAnsi="Times New Roman"/>
                <w:b/>
                <w:i/>
                <w:sz w:val="16"/>
                <w:szCs w:val="16"/>
              </w:rPr>
              <w:t>Bāzes vērtība un tās noteikšanas gads</w:t>
            </w:r>
            <w:r w:rsidRPr="00151FE6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1F966813" w14:textId="77777777" w:rsidR="00A65CE0" w:rsidRPr="00151FE6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1FE6">
              <w:rPr>
                <w:rFonts w:ascii="Times New Roman" w:hAnsi="Times New Roman"/>
                <w:sz w:val="16"/>
                <w:szCs w:val="16"/>
              </w:rPr>
              <w:t>79% 201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>.gadā</w:t>
            </w:r>
          </w:p>
          <w:p w14:paraId="68236336" w14:textId="77777777" w:rsidR="00A65CE0" w:rsidRPr="00151FE6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0A2054E" w14:textId="77777777" w:rsidR="00A65CE0" w:rsidRPr="00151FE6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51FE6">
              <w:rPr>
                <w:rFonts w:ascii="Times New Roman" w:hAnsi="Times New Roman"/>
                <w:b/>
                <w:i/>
                <w:sz w:val="16"/>
                <w:szCs w:val="16"/>
              </w:rPr>
              <w:t>Datu avots</w:t>
            </w:r>
            <w:r w:rsidRPr="00151FE6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52B25062" w14:textId="60C8C876" w:rsidR="00A65CE0" w:rsidRPr="00151FE6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1FE6">
              <w:rPr>
                <w:rFonts w:ascii="Times New Roman" w:hAnsi="Times New Roman"/>
                <w:sz w:val="16"/>
                <w:szCs w:val="16"/>
              </w:rPr>
              <w:t>VARAM veiktā aptauja, projektu dati</w:t>
            </w:r>
          </w:p>
          <w:p w14:paraId="1DC2B1A5" w14:textId="77777777" w:rsidR="00A65CE0" w:rsidRPr="00151FE6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125CBF3" w14:textId="77777777" w:rsidR="00A65CE0" w:rsidRPr="00151FE6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51FE6">
              <w:rPr>
                <w:rFonts w:ascii="Times New Roman" w:hAnsi="Times New Roman"/>
                <w:b/>
                <w:i/>
                <w:sz w:val="16"/>
                <w:szCs w:val="16"/>
              </w:rPr>
              <w:t>Apkopošanas biežums un ieguves metodoloģija:</w:t>
            </w:r>
          </w:p>
          <w:p w14:paraId="320E0E48" w14:textId="77777777" w:rsidR="00A65CE0" w:rsidRPr="00151FE6" w:rsidRDefault="00A65CE0" w:rsidP="00A65CE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1FE6">
              <w:rPr>
                <w:rFonts w:ascii="Times New Roman" w:hAnsi="Times New Roman"/>
                <w:sz w:val="16"/>
                <w:szCs w:val="16"/>
              </w:rPr>
              <w:t>2019.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>gadā par vērtību 2018.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>gadā, aktivitātes īstenošanas noslēgumā</w:t>
            </w:r>
          </w:p>
          <w:p w14:paraId="6046B44D" w14:textId="367BF4F2" w:rsidR="00A65CE0" w:rsidRDefault="00A65CE0" w:rsidP="00A65CE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1FE6">
              <w:rPr>
                <w:rFonts w:ascii="Times New Roman" w:hAnsi="Times New Roman"/>
                <w:sz w:val="16"/>
                <w:szCs w:val="16"/>
              </w:rPr>
              <w:t>Rādītāja vērtība tiek noteikta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 xml:space="preserve"> ievērojot projektu datus, finansējuma saņēmēja pārskatus, pašvaldību lēmumus par </w:t>
            </w:r>
            <w:r w:rsidRPr="0096398F">
              <w:rPr>
                <w:rFonts w:ascii="Times New Roman" w:hAnsi="Times New Roman"/>
                <w:sz w:val="16"/>
                <w:szCs w:val="16"/>
              </w:rPr>
              <w:t>ūdenssaimniecības aglomerācijām</w:t>
            </w:r>
          </w:p>
          <w:p w14:paraId="4C70B431" w14:textId="77777777" w:rsidR="002E5B3E" w:rsidRPr="00A66ADC" w:rsidRDefault="002E5B3E" w:rsidP="00A66AD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F1FD782" w14:textId="18A62552" w:rsidR="002E5B3E" w:rsidRPr="00A66ADC" w:rsidRDefault="002E5B3E" w:rsidP="00A66AD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Darbība, kas liek uzskaitīt mērķa vērtību par izpildītu: </w:t>
            </w:r>
            <w:r w:rsidRPr="002E5B3E">
              <w:rPr>
                <w:rFonts w:ascii="Times New Roman" w:hAnsi="Times New Roman"/>
                <w:sz w:val="16"/>
                <w:szCs w:val="16"/>
              </w:rPr>
              <w:t>Pabeigti projekti</w:t>
            </w:r>
            <w:r w:rsidR="007403FA">
              <w:rPr>
                <w:rFonts w:ascii="Times New Roman" w:hAnsi="Times New Roman"/>
                <w:sz w:val="16"/>
                <w:szCs w:val="16"/>
              </w:rPr>
              <w:t xml:space="preserve"> vai to posmi</w:t>
            </w:r>
            <w:r w:rsidRPr="002E5B3E">
              <w:rPr>
                <w:rFonts w:ascii="Times New Roman" w:hAnsi="Times New Roman"/>
                <w:sz w:val="16"/>
                <w:szCs w:val="16"/>
              </w:rPr>
              <w:t xml:space="preserve"> (nodoti ekspluatācijā) , noslēguma maksājums var nebūt veikts</w:t>
            </w:r>
          </w:p>
          <w:p w14:paraId="137FC724" w14:textId="77777777" w:rsidR="00A65CE0" w:rsidRPr="0096398F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8076966" w14:textId="77777777" w:rsidR="00A65CE0" w:rsidRPr="0096398F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6398F">
              <w:rPr>
                <w:rFonts w:ascii="Times New Roman" w:hAnsi="Times New Roman"/>
                <w:b/>
                <w:i/>
                <w:sz w:val="16"/>
                <w:szCs w:val="16"/>
              </w:rPr>
              <w:t>Mērķis 2023</w:t>
            </w:r>
            <w:r w:rsidRPr="0096398F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3F63462C" w14:textId="77777777" w:rsidR="00A65CE0" w:rsidRPr="0096398F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6398F">
              <w:rPr>
                <w:rFonts w:ascii="Times New Roman" w:hAnsi="Times New Roman"/>
                <w:sz w:val="16"/>
                <w:szCs w:val="16"/>
              </w:rPr>
              <w:t>92 %</w:t>
            </w:r>
          </w:p>
          <w:p w14:paraId="5E87D0D6" w14:textId="77777777" w:rsidR="00A65CE0" w:rsidRPr="00151FE6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B638D31" w14:textId="77777777" w:rsidR="00A65CE0" w:rsidRPr="00151FE6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51FE6">
              <w:rPr>
                <w:rFonts w:ascii="Times New Roman" w:hAnsi="Times New Roman"/>
                <w:b/>
                <w:i/>
                <w:sz w:val="16"/>
                <w:szCs w:val="16"/>
              </w:rPr>
              <w:t>Mērķa vērtības noteikšanas principi/metodoloģija</w:t>
            </w:r>
            <w:r w:rsidRPr="00151FE6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552C5668" w14:textId="39998526" w:rsidR="00A65CE0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1FE6">
              <w:rPr>
                <w:rFonts w:ascii="Times New Roman" w:hAnsi="Times New Roman"/>
                <w:sz w:val="16"/>
                <w:szCs w:val="16"/>
              </w:rPr>
              <w:t xml:space="preserve">Bāzes </w:t>
            </w:r>
            <w:r w:rsidR="00BE4912">
              <w:rPr>
                <w:rFonts w:ascii="Times New Roman" w:hAnsi="Times New Roman"/>
                <w:sz w:val="16"/>
                <w:szCs w:val="16"/>
              </w:rPr>
              <w:t xml:space="preserve">un mērķa 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 xml:space="preserve">vērtība aprēķināta, ņemot vērā ūdenssaimniecības pakalpojuma aglomerācijas zonā dzīvojošo iedzīvotāju skaitu, </w:t>
            </w:r>
            <w:r w:rsidR="00BE4912">
              <w:rPr>
                <w:rFonts w:ascii="Times New Roman" w:hAnsi="Times New Roman"/>
                <w:sz w:val="16"/>
                <w:szCs w:val="16"/>
              </w:rPr>
              <w:t xml:space="preserve">makroekonomiskās, 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>kā arī demogrāfiskās tendences. Saskaņā ar 2007.-2013.gada plānošanas periodā īstenoto projektu pēcieviešanas periodā plānoto faktisko pieslēgumu izveidi plānots, ka 2020.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 xml:space="preserve">gadā (pēc visu projektu pēcuzraudzības perioda), iedzīvotāju īpatsvars, kuri izmantos tiem pieejamo pakalpojumu veidu, sasniegs 85,5 % attiecībā uz centralizēto kanalizācijas tīklu </w:t>
            </w:r>
            <w:r w:rsidRPr="00151FE6">
              <w:rPr>
                <w:rFonts w:ascii="Times New Roman" w:hAnsi="Times New Roman"/>
                <w:sz w:val="16"/>
                <w:szCs w:val="16"/>
              </w:rPr>
              <w:lastRenderedPageBreak/>
              <w:t>izmantošanu. Īstenojot 2014.-2020.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 xml:space="preserve">gada plānošanas perioda projektus, tiks panākts, ka iedzīvotāju skaita palielinājums notekūdeņu aglomerācijās ar CE lielāku par 2000, kuriem šī SAM ietvaros tiks radīts pieslēgums centralizētajiem kanalizācijas tīkliem, kopumā palielināsies par </w:t>
            </w:r>
            <w:r w:rsidRPr="00471C4A">
              <w:rPr>
                <w:rFonts w:ascii="Times New Roman" w:hAnsi="Times New Roman"/>
                <w:sz w:val="16"/>
                <w:szCs w:val="16"/>
              </w:rPr>
              <w:t xml:space="preserve">6,5%, </w:t>
            </w:r>
            <w:r w:rsidRPr="00A65CE0">
              <w:rPr>
                <w:rFonts w:ascii="Times New Roman" w:hAnsi="Times New Roman"/>
                <w:sz w:val="16"/>
                <w:szCs w:val="16"/>
              </w:rPr>
              <w:t xml:space="preserve">sasniedzot </w:t>
            </w:r>
            <w:r w:rsidRPr="00471C4A">
              <w:rPr>
                <w:rFonts w:ascii="Times New Roman" w:hAnsi="Times New Roman"/>
                <w:sz w:val="16"/>
                <w:szCs w:val="16"/>
              </w:rPr>
              <w:t>92</w:t>
            </w:r>
            <w:r w:rsidRPr="00A65CE0">
              <w:rPr>
                <w:rFonts w:ascii="Times New Roman" w:hAnsi="Times New Roman"/>
                <w:sz w:val="16"/>
                <w:szCs w:val="16"/>
              </w:rPr>
              <w:t>%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 xml:space="preserve"> no visiem notekūdeņu aglomerācijā ar CE&gt;2000 dzīvojošajiem iedzīvotājiem. </w:t>
            </w:r>
          </w:p>
          <w:p w14:paraId="20FBCA2C" w14:textId="77777777" w:rsidR="00A65CE0" w:rsidRPr="00151FE6" w:rsidRDefault="00A65CE0" w:rsidP="00A65CE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687AD28" w14:textId="77777777" w:rsidR="006E6D49" w:rsidRPr="00D141B5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141B5">
              <w:rPr>
                <w:rFonts w:ascii="Times New Roman" w:hAnsi="Times New Roman"/>
                <w:b/>
                <w:i/>
                <w:sz w:val="16"/>
                <w:szCs w:val="16"/>
              </w:rPr>
              <w:t>Nosaukums un mērvienība</w:t>
            </w:r>
            <w:r w:rsidRPr="00D141B5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4E0ADA0E" w14:textId="77777777" w:rsidR="006E6D49" w:rsidRPr="00A65CE0" w:rsidRDefault="00881D3B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r.5.3.1.a</w:t>
            </w:r>
            <w:r w:rsidR="00A65CE0" w:rsidRPr="00D141B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77380" w:rsidRPr="00EA12E9">
              <w:rPr>
                <w:rFonts w:ascii="Times New Roman" w:hAnsi="Times New Roman"/>
                <w:sz w:val="16"/>
                <w:szCs w:val="16"/>
              </w:rPr>
              <w:t>Iedzīvotāju skaits, kam nodrošināti faktiski centralizēto notekūdeņu apsaimniekošanas pakalpojumu pieslēgumi</w:t>
            </w:r>
            <w:r w:rsidR="00677380" w:rsidRPr="00A65CE0">
              <w:rPr>
                <w:rFonts w:ascii="Times New Roman" w:hAnsi="Times New Roman"/>
                <w:sz w:val="16"/>
                <w:szCs w:val="16"/>
              </w:rPr>
              <w:t>.</w:t>
            </w:r>
            <w:r w:rsidR="00471C4A">
              <w:rPr>
                <w:rFonts w:ascii="Times New Roman" w:hAnsi="Times New Roman"/>
                <w:sz w:val="16"/>
                <w:szCs w:val="16"/>
              </w:rPr>
              <w:t xml:space="preserve"> (iedzīvotāji)</w:t>
            </w:r>
          </w:p>
          <w:p w14:paraId="115C351D" w14:textId="77777777" w:rsidR="006E6D49" w:rsidRPr="00D141B5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96E4DD6" w14:textId="77777777" w:rsidR="006E6D49" w:rsidRPr="00B65F8A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65F8A">
              <w:rPr>
                <w:rFonts w:ascii="Times New Roman" w:hAnsi="Times New Roman"/>
                <w:b/>
                <w:i/>
                <w:sz w:val="16"/>
                <w:szCs w:val="16"/>
              </w:rPr>
              <w:t>Definīcija:</w:t>
            </w:r>
          </w:p>
          <w:p w14:paraId="37ACDC57" w14:textId="77777777" w:rsidR="006E6D49" w:rsidRPr="00A65CE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A12E9">
              <w:rPr>
                <w:rFonts w:ascii="Times New Roman" w:hAnsi="Times New Roman"/>
                <w:sz w:val="16"/>
                <w:szCs w:val="16"/>
              </w:rPr>
              <w:t xml:space="preserve">Iedzīvotāju skaits, kam nodrošināti </w:t>
            </w:r>
            <w:r w:rsidR="000C4C46" w:rsidRPr="00EA12E9">
              <w:rPr>
                <w:rFonts w:ascii="Times New Roman" w:hAnsi="Times New Roman"/>
                <w:sz w:val="16"/>
                <w:szCs w:val="16"/>
              </w:rPr>
              <w:t xml:space="preserve">faktiskie </w:t>
            </w:r>
            <w:r w:rsidRPr="00EA12E9">
              <w:rPr>
                <w:rFonts w:ascii="Times New Roman" w:hAnsi="Times New Roman"/>
                <w:sz w:val="16"/>
                <w:szCs w:val="16"/>
              </w:rPr>
              <w:t>notekūdeņu apsaimnie</w:t>
            </w:r>
            <w:r w:rsidR="000C4C46" w:rsidRPr="00EA12E9">
              <w:rPr>
                <w:rFonts w:ascii="Times New Roman" w:hAnsi="Times New Roman"/>
                <w:sz w:val="16"/>
                <w:szCs w:val="16"/>
              </w:rPr>
              <w:t>košanas pakalpojumu pieslēgumi pie centralizētās notekūdeņu apsaimniekošanas sistēmas</w:t>
            </w:r>
          </w:p>
          <w:p w14:paraId="7D8DC806" w14:textId="77777777" w:rsidR="006E6D49" w:rsidRPr="00D141B5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33F86E4" w14:textId="77777777" w:rsidR="006E6D49" w:rsidRPr="00EA12E9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65F8A">
              <w:rPr>
                <w:rFonts w:ascii="Times New Roman" w:hAnsi="Times New Roman"/>
                <w:b/>
                <w:i/>
                <w:sz w:val="16"/>
                <w:szCs w:val="16"/>
              </w:rPr>
              <w:t>Bāzes vērtība un tās noteikšanas gads</w:t>
            </w:r>
            <w:r w:rsidRPr="00EA12E9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7726A447" w14:textId="77777777" w:rsidR="006E6D49" w:rsidRPr="00EA12E9" w:rsidRDefault="00677380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A12E9">
              <w:rPr>
                <w:rFonts w:ascii="Times New Roman" w:hAnsi="Times New Roman"/>
                <w:sz w:val="16"/>
                <w:szCs w:val="16"/>
              </w:rPr>
              <w:t>1</w:t>
            </w:r>
            <w:r w:rsidR="00BE491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A12E9">
              <w:rPr>
                <w:rFonts w:ascii="Times New Roman" w:hAnsi="Times New Roman"/>
                <w:sz w:val="16"/>
                <w:szCs w:val="16"/>
              </w:rPr>
              <w:t>279</w:t>
            </w:r>
            <w:r w:rsidR="00C3157B">
              <w:rPr>
                <w:rFonts w:ascii="Times New Roman" w:hAnsi="Times New Roman"/>
                <w:sz w:val="16"/>
                <w:szCs w:val="16"/>
              </w:rPr>
              <w:t> </w:t>
            </w:r>
            <w:r w:rsidRPr="00EA12E9">
              <w:rPr>
                <w:rFonts w:ascii="Times New Roman" w:hAnsi="Times New Roman"/>
                <w:sz w:val="16"/>
                <w:szCs w:val="16"/>
              </w:rPr>
              <w:t>578</w:t>
            </w:r>
            <w:r w:rsidR="00C3157B">
              <w:rPr>
                <w:rFonts w:ascii="Times New Roman" w:hAnsi="Times New Roman"/>
                <w:sz w:val="16"/>
                <w:szCs w:val="16"/>
              </w:rPr>
              <w:t>**</w:t>
            </w:r>
            <w:r w:rsidRPr="00EA12E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65CE0" w:rsidRPr="00EA12E9">
              <w:rPr>
                <w:rFonts w:ascii="Times New Roman" w:hAnsi="Times New Roman"/>
                <w:sz w:val="16"/>
                <w:szCs w:val="16"/>
              </w:rPr>
              <w:t>2013</w:t>
            </w:r>
            <w:r w:rsidR="006E6D49" w:rsidRPr="00EA12E9">
              <w:rPr>
                <w:rFonts w:ascii="Times New Roman" w:hAnsi="Times New Roman"/>
                <w:sz w:val="16"/>
                <w:szCs w:val="16"/>
              </w:rPr>
              <w:t>.gadā</w:t>
            </w:r>
          </w:p>
          <w:p w14:paraId="207934A0" w14:textId="77777777" w:rsidR="006E6D49" w:rsidRPr="00EA12E9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E4A947" w14:textId="77777777" w:rsidR="006E6D49" w:rsidRPr="00EA12E9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A12E9">
              <w:rPr>
                <w:rFonts w:ascii="Times New Roman" w:hAnsi="Times New Roman"/>
                <w:b/>
                <w:i/>
                <w:sz w:val="16"/>
                <w:szCs w:val="16"/>
              </w:rPr>
              <w:t>Datu avots</w:t>
            </w:r>
            <w:r w:rsidRPr="00EA12E9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333EE9C0" w14:textId="11BF4CF6" w:rsidR="006E6D49" w:rsidRPr="00EA12E9" w:rsidRDefault="00677380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A12E9">
              <w:rPr>
                <w:rFonts w:ascii="Times New Roman" w:hAnsi="Times New Roman"/>
                <w:sz w:val="16"/>
                <w:szCs w:val="16"/>
              </w:rPr>
              <w:t>VARAM veiktā aptauja</w:t>
            </w:r>
            <w:r w:rsidR="006E6D49" w:rsidRPr="00EA12E9">
              <w:rPr>
                <w:rFonts w:ascii="Times New Roman" w:hAnsi="Times New Roman"/>
                <w:sz w:val="16"/>
                <w:szCs w:val="16"/>
              </w:rPr>
              <w:t>, projektu dati</w:t>
            </w:r>
          </w:p>
          <w:p w14:paraId="0F9A463E" w14:textId="77777777" w:rsidR="006E6D49" w:rsidRPr="00EA12E9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8563AF" w14:textId="77777777" w:rsidR="006E6D49" w:rsidRPr="00EA12E9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A12E9">
              <w:rPr>
                <w:rFonts w:ascii="Times New Roman" w:hAnsi="Times New Roman"/>
                <w:b/>
                <w:i/>
                <w:sz w:val="16"/>
                <w:szCs w:val="16"/>
              </w:rPr>
              <w:t>Apkopošanas biežums un ieguves metodoloģija:</w:t>
            </w:r>
          </w:p>
          <w:p w14:paraId="144DFC08" w14:textId="77777777" w:rsidR="006E6D49" w:rsidRPr="00EA12E9" w:rsidRDefault="00677380" w:rsidP="002052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A12E9">
              <w:rPr>
                <w:rFonts w:ascii="Times New Roman" w:hAnsi="Times New Roman"/>
                <w:sz w:val="16"/>
                <w:szCs w:val="16"/>
              </w:rPr>
              <w:t>Reizi gadā</w:t>
            </w:r>
          </w:p>
          <w:p w14:paraId="0ECA6F03" w14:textId="5DBC231A" w:rsidR="006E6D49" w:rsidRDefault="006E6D49" w:rsidP="0020529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A12E9">
              <w:rPr>
                <w:rFonts w:ascii="Times New Roman" w:hAnsi="Times New Roman"/>
                <w:sz w:val="16"/>
                <w:szCs w:val="16"/>
              </w:rPr>
              <w:t>Rādītāja vērtība tiek noteikta</w:t>
            </w:r>
            <w:r w:rsidR="00D410B9" w:rsidRPr="00EA12E9">
              <w:rPr>
                <w:rFonts w:ascii="Times New Roman" w:hAnsi="Times New Roman"/>
                <w:sz w:val="16"/>
                <w:szCs w:val="16"/>
              </w:rPr>
              <w:t>,</w:t>
            </w:r>
            <w:r w:rsidRPr="00EA12E9">
              <w:rPr>
                <w:rFonts w:ascii="Times New Roman" w:hAnsi="Times New Roman"/>
                <w:sz w:val="16"/>
                <w:szCs w:val="16"/>
              </w:rPr>
              <w:t xml:space="preserve"> ievērojot projektu datus, finansējuma saņēmēja pārskatus, pašvaldību lēmumus par ūdenssaimniecības aglomerācijām</w:t>
            </w:r>
            <w:r w:rsidR="00677380" w:rsidRPr="00EA12E9">
              <w:rPr>
                <w:rFonts w:ascii="Times New Roman" w:hAnsi="Times New Roman"/>
                <w:sz w:val="16"/>
                <w:szCs w:val="16"/>
              </w:rPr>
              <w:t>, VARAM veiktās aptaujas rezultātus</w:t>
            </w:r>
          </w:p>
          <w:p w14:paraId="159B8E90" w14:textId="0BB8F64B" w:rsidR="001C3AD3" w:rsidRDefault="001C3AD3" w:rsidP="00A66ADC">
            <w:pPr>
              <w:pStyle w:val="ListParagraph"/>
              <w:spacing w:after="0" w:line="240" w:lineRule="auto"/>
              <w:ind w:left="17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1CD55C4" w14:textId="4E4A3ECB" w:rsidR="001C3AD3" w:rsidRPr="00A65CE0" w:rsidRDefault="001C3AD3" w:rsidP="00A66ADC">
            <w:pPr>
              <w:pStyle w:val="ListParagraph"/>
              <w:spacing w:after="0" w:line="240" w:lineRule="auto"/>
              <w:ind w:left="176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Darbība, kas liek uzskaitīt mērķa vērtību par izpildītu:</w:t>
            </w:r>
            <w:r>
              <w:t xml:space="preserve"> </w:t>
            </w:r>
            <w:r w:rsidRPr="001C3AD3">
              <w:rPr>
                <w:rFonts w:ascii="Times New Roman" w:hAnsi="Times New Roman"/>
                <w:sz w:val="16"/>
                <w:szCs w:val="16"/>
              </w:rPr>
              <w:t>Pabeigti projekti</w:t>
            </w:r>
            <w:r w:rsidR="0058173A">
              <w:rPr>
                <w:rFonts w:ascii="Times New Roman" w:hAnsi="Times New Roman"/>
                <w:sz w:val="16"/>
                <w:szCs w:val="16"/>
              </w:rPr>
              <w:t xml:space="preserve"> vai to posmi</w:t>
            </w:r>
            <w:r w:rsidRPr="001C3AD3">
              <w:rPr>
                <w:rFonts w:ascii="Times New Roman" w:hAnsi="Times New Roman"/>
                <w:sz w:val="16"/>
                <w:szCs w:val="16"/>
              </w:rPr>
              <w:t xml:space="preserve"> (nodoti ekspluatācijā), noslēguma maksājums var nebūt veikts</w:t>
            </w:r>
          </w:p>
          <w:p w14:paraId="07119119" w14:textId="77777777" w:rsidR="006E6D49" w:rsidRPr="00D141B5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F818BD" w14:textId="77777777" w:rsidR="006E6D49" w:rsidRPr="00EA12E9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65F8A">
              <w:rPr>
                <w:rFonts w:ascii="Times New Roman" w:hAnsi="Times New Roman"/>
                <w:b/>
                <w:i/>
                <w:sz w:val="16"/>
                <w:szCs w:val="16"/>
              </w:rPr>
              <w:t>Mērķis 2023</w:t>
            </w:r>
            <w:r w:rsidRPr="00EA12E9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13D9EE65" w14:textId="72F827AC" w:rsidR="00D435B0" w:rsidRPr="00A65CE0" w:rsidRDefault="00C64BBD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1 321 368</w:t>
            </w:r>
            <w:r w:rsidR="00677380" w:rsidRPr="00EA12E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2A9B431A" w14:textId="77777777" w:rsidR="006E6D49" w:rsidRPr="00D141B5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16A0EF2" w14:textId="77777777" w:rsidR="006E6D49" w:rsidRPr="00EA12E9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65F8A">
              <w:rPr>
                <w:rFonts w:ascii="Times New Roman" w:hAnsi="Times New Roman"/>
                <w:b/>
                <w:i/>
                <w:sz w:val="16"/>
                <w:szCs w:val="16"/>
              </w:rPr>
              <w:t>Mērķa vērtības noteikšanas principi/metodoloģija</w:t>
            </w:r>
            <w:r w:rsidRPr="00EA12E9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7CCC0CDD" w14:textId="47F8B016" w:rsidR="006E6D49" w:rsidRPr="00EA12E9" w:rsidRDefault="00C3157B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1FE6">
              <w:rPr>
                <w:rFonts w:ascii="Times New Roman" w:hAnsi="Times New Roman"/>
                <w:sz w:val="16"/>
                <w:szCs w:val="16"/>
              </w:rPr>
              <w:t xml:space="preserve">Bāzes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un mērķa 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 xml:space="preserve">vērtība aprēķināta, ņemot vērā ūdenssaimniecības pakalpojuma aglomerācijas zonā dzīvojošo iedzīvotāju skaitu,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makroekonomiskās, 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 xml:space="preserve">kā arī demogrāfiskās tendences. </w:t>
            </w:r>
            <w:r w:rsidR="000C4C46" w:rsidRPr="00EA12E9">
              <w:rPr>
                <w:rFonts w:ascii="Times New Roman" w:hAnsi="Times New Roman"/>
                <w:sz w:val="16"/>
                <w:szCs w:val="16"/>
              </w:rPr>
              <w:t xml:space="preserve">Rezultāta rādītājs parāda iedzīvotāju skaitu, kam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tiks </w:t>
            </w:r>
            <w:r w:rsidR="000C4C46" w:rsidRPr="00EA12E9">
              <w:rPr>
                <w:rFonts w:ascii="Times New Roman" w:hAnsi="Times New Roman"/>
                <w:sz w:val="16"/>
                <w:szCs w:val="16"/>
              </w:rPr>
              <w:t xml:space="preserve">nodrošināti faktiski centralizēto kanalizācijas pakalpojumu pieslēgumi. Īstenojot 2014.–2020.gada plānošanas perioda projektus, tiks panākts, ka iedzīvotāju skaita palielinājums notekūdeņu aglomerācijās ar CE&gt;2000, kuriem šī SAM ietvaros tiks radīts pieslēgums centralizētajiem kanalizācijas tīkliem, kopumā palielināsies par </w:t>
            </w:r>
            <w:r w:rsidR="00C64BBD">
              <w:rPr>
                <w:rFonts w:ascii="Times New Roman" w:hAnsi="Times New Roman"/>
                <w:sz w:val="16"/>
                <w:szCs w:val="16"/>
              </w:rPr>
              <w:t>41 790</w:t>
            </w:r>
            <w:r w:rsidRPr="0076235F">
              <w:rPr>
                <w:rFonts w:ascii="Times New Roman" w:hAnsi="Times New Roman"/>
                <w:sz w:val="16"/>
                <w:szCs w:val="16"/>
              </w:rPr>
              <w:t xml:space="preserve"> iedzīvotājiem</w:t>
            </w:r>
            <w:r w:rsidR="000C4C46" w:rsidRPr="0076235F">
              <w:rPr>
                <w:rFonts w:ascii="Times New Roman" w:hAnsi="Times New Roman"/>
                <w:sz w:val="16"/>
                <w:szCs w:val="16"/>
              </w:rPr>
              <w:t xml:space="preserve">, sasniedzot </w:t>
            </w:r>
            <w:r w:rsidR="00C64BBD">
              <w:rPr>
                <w:rFonts w:ascii="Times New Roman" w:hAnsi="Times New Roman"/>
                <w:sz w:val="16"/>
                <w:szCs w:val="16"/>
              </w:rPr>
              <w:t>1 321 368</w:t>
            </w:r>
            <w:r w:rsidR="000C4C46" w:rsidRPr="00EA12E9">
              <w:rPr>
                <w:rFonts w:ascii="Times New Roman" w:hAnsi="Times New Roman"/>
                <w:sz w:val="16"/>
                <w:szCs w:val="16"/>
              </w:rPr>
              <w:t xml:space="preserve"> iedzīvotājus. </w:t>
            </w:r>
          </w:p>
          <w:p w14:paraId="3B1667E8" w14:textId="77777777" w:rsidR="000C4C46" w:rsidRPr="00EA12E9" w:rsidRDefault="000C4C46" w:rsidP="002052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59CFF3A" w14:textId="77777777" w:rsidR="006E6D49" w:rsidRPr="00EA12E9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EA12E9">
              <w:rPr>
                <w:rFonts w:ascii="Times New Roman" w:hAnsi="Times New Roman"/>
                <w:i/>
                <w:sz w:val="16"/>
                <w:szCs w:val="16"/>
              </w:rPr>
              <w:t>Piezīme:</w:t>
            </w:r>
          </w:p>
          <w:p w14:paraId="52F84D01" w14:textId="77777777" w:rsidR="00320A82" w:rsidRDefault="009A2657" w:rsidP="006773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EA12E9">
              <w:rPr>
                <w:rFonts w:ascii="Times New Roman" w:hAnsi="Times New Roman"/>
                <w:i/>
                <w:sz w:val="16"/>
                <w:szCs w:val="16"/>
              </w:rPr>
              <w:t>*</w:t>
            </w:r>
            <w:r w:rsidR="00C3157B">
              <w:rPr>
                <w:rFonts w:ascii="Times New Roman" w:hAnsi="Times New Roman"/>
                <w:i/>
                <w:sz w:val="16"/>
                <w:szCs w:val="16"/>
              </w:rPr>
              <w:t xml:space="preserve"> ES </w:t>
            </w:r>
            <w:r w:rsidR="00320A82" w:rsidRPr="00EA12E9">
              <w:rPr>
                <w:rFonts w:ascii="Times New Roman" w:hAnsi="Times New Roman"/>
                <w:i/>
                <w:sz w:val="16"/>
                <w:szCs w:val="16"/>
              </w:rPr>
              <w:t xml:space="preserve">Padomes </w:t>
            </w:r>
            <w:r w:rsidR="00320A82" w:rsidRPr="00EA12E9">
              <w:rPr>
                <w:rFonts w:ascii="Times New Roman" w:hAnsi="Times New Roman"/>
                <w:i/>
                <w:iCs/>
                <w:sz w:val="16"/>
                <w:szCs w:val="16"/>
              </w:rPr>
              <w:t>Direktīva</w:t>
            </w:r>
            <w:r w:rsidR="00320A82" w:rsidRPr="00EA12E9">
              <w:rPr>
                <w:rFonts w:ascii="Times New Roman" w:hAnsi="Times New Roman"/>
                <w:i/>
                <w:sz w:val="16"/>
                <w:szCs w:val="16"/>
              </w:rPr>
              <w:t xml:space="preserve"> 91/271/EEK (1991. gada 21. maijs) par komunālo </w:t>
            </w:r>
            <w:r w:rsidR="00320A82" w:rsidRPr="00EA12E9">
              <w:rPr>
                <w:rFonts w:ascii="Times New Roman" w:hAnsi="Times New Roman"/>
                <w:i/>
                <w:iCs/>
                <w:sz w:val="16"/>
                <w:szCs w:val="16"/>
              </w:rPr>
              <w:t>notekūdeņu</w:t>
            </w:r>
            <w:r w:rsidR="00320A82" w:rsidRPr="00EA12E9">
              <w:rPr>
                <w:rFonts w:ascii="Times New Roman" w:hAnsi="Times New Roman"/>
                <w:i/>
                <w:sz w:val="16"/>
                <w:szCs w:val="16"/>
              </w:rPr>
              <w:t xml:space="preserve"> attīrīšanu</w:t>
            </w:r>
          </w:p>
          <w:p w14:paraId="1AAEFFA6" w14:textId="77777777" w:rsidR="00A65CE0" w:rsidRDefault="00C3157B" w:rsidP="006773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** Bāzes vērtībā norādītais iedzīvotāju skaits 1 279 578 ietver 2007- -2013.gada plānošanas perioda nepabeigto projektu ietekmi. </w:t>
            </w:r>
          </w:p>
          <w:p w14:paraId="46924671" w14:textId="77777777" w:rsidR="00A65CE0" w:rsidRPr="00872026" w:rsidRDefault="00A65CE0" w:rsidP="006773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3828" w:type="dxa"/>
          </w:tcPr>
          <w:p w14:paraId="74A52D4C" w14:textId="2A881DB3" w:rsidR="006E6D49" w:rsidRPr="00151FE6" w:rsidRDefault="00A66ADC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>N</w:t>
            </w:r>
            <w:r w:rsidR="006E6D49" w:rsidRPr="00151FE6">
              <w:rPr>
                <w:rFonts w:ascii="Times New Roman" w:hAnsi="Times New Roman"/>
                <w:b/>
                <w:i/>
                <w:sz w:val="16"/>
                <w:szCs w:val="16"/>
              </w:rPr>
              <w:t>osaukums un mērvienība</w:t>
            </w:r>
            <w:r w:rsidR="006E6D49" w:rsidRPr="00151FE6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7FC7AB0D" w14:textId="77777777" w:rsidR="006E6D49" w:rsidRPr="00151FE6" w:rsidRDefault="00881D3B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lv-LV"/>
              </w:rPr>
            </w:pPr>
            <w:r>
              <w:rPr>
                <w:rFonts w:ascii="Times New Roman" w:hAnsi="Times New Roman"/>
                <w:sz w:val="16"/>
                <w:szCs w:val="16"/>
                <w:lang w:eastAsia="lv-LV"/>
              </w:rPr>
              <w:t>i.5.3.1.ak (CO19</w:t>
            </w:r>
            <w:r w:rsidR="0020529D" w:rsidRPr="00151FE6">
              <w:rPr>
                <w:rFonts w:ascii="Times New Roman" w:hAnsi="Times New Roman"/>
                <w:sz w:val="16"/>
                <w:szCs w:val="16"/>
                <w:lang w:eastAsia="lv-LV"/>
              </w:rPr>
              <w:t xml:space="preserve">) </w:t>
            </w:r>
            <w:r w:rsidR="009B7C89">
              <w:rPr>
                <w:rFonts w:ascii="Times New Roman" w:hAnsi="Times New Roman"/>
                <w:sz w:val="16"/>
                <w:szCs w:val="16"/>
                <w:lang w:eastAsia="lv-LV"/>
              </w:rPr>
              <w:t>Uzlaboto notekūdeņu attīrīšanas sistēmu</w:t>
            </w:r>
            <w:r w:rsidR="006E6D49" w:rsidRPr="00151FE6">
              <w:rPr>
                <w:rFonts w:ascii="Times New Roman" w:hAnsi="Times New Roman"/>
                <w:sz w:val="16"/>
                <w:szCs w:val="16"/>
                <w:lang w:eastAsia="lv-LV"/>
              </w:rPr>
              <w:t xml:space="preserve"> apkalpoto iedzīvotāju skaita pieaugums (</w:t>
            </w:r>
            <w:r w:rsidR="0096398F">
              <w:rPr>
                <w:rFonts w:ascii="Times New Roman" w:hAnsi="Times New Roman"/>
                <w:sz w:val="16"/>
                <w:szCs w:val="16"/>
                <w:lang w:eastAsia="lv-LV"/>
              </w:rPr>
              <w:t>iedzīvotāju</w:t>
            </w:r>
            <w:r w:rsidR="006E6D49" w:rsidRPr="00151FE6">
              <w:rPr>
                <w:rFonts w:ascii="Times New Roman" w:hAnsi="Times New Roman"/>
                <w:sz w:val="16"/>
                <w:szCs w:val="16"/>
                <w:lang w:eastAsia="lv-LV"/>
              </w:rPr>
              <w:t xml:space="preserve"> ekvivalents)</w:t>
            </w:r>
          </w:p>
          <w:p w14:paraId="29FA0809" w14:textId="77777777" w:rsidR="006E6D49" w:rsidRPr="00151FE6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lv-LV"/>
              </w:rPr>
            </w:pPr>
          </w:p>
          <w:p w14:paraId="781313EA" w14:textId="77777777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77380">
              <w:rPr>
                <w:rFonts w:ascii="Times New Roman" w:hAnsi="Times New Roman"/>
                <w:b/>
                <w:i/>
                <w:sz w:val="16"/>
                <w:szCs w:val="16"/>
              </w:rPr>
              <w:t>Definīcija:</w:t>
            </w:r>
          </w:p>
          <w:p w14:paraId="0EEFDF43" w14:textId="2F9A67A0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7380">
              <w:rPr>
                <w:rFonts w:ascii="Times New Roman" w:hAnsi="Times New Roman"/>
                <w:sz w:val="16"/>
                <w:szCs w:val="16"/>
              </w:rPr>
              <w:t>NA (kopējais rādītājs)</w:t>
            </w:r>
            <w:r w:rsidR="002E5B3E">
              <w:rPr>
                <w:rStyle w:val="FootnoteReference"/>
                <w:rFonts w:ascii="Times New Roman" w:hAnsi="Times New Roman"/>
                <w:sz w:val="16"/>
                <w:szCs w:val="16"/>
              </w:rPr>
              <w:footnoteReference w:id="2"/>
            </w:r>
          </w:p>
          <w:p w14:paraId="2354CC82" w14:textId="77777777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7364F6D" w14:textId="77777777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77380">
              <w:rPr>
                <w:rFonts w:ascii="Times New Roman" w:hAnsi="Times New Roman"/>
                <w:b/>
                <w:i/>
                <w:sz w:val="16"/>
                <w:szCs w:val="16"/>
              </w:rPr>
              <w:t>Datu avots</w:t>
            </w:r>
            <w:r w:rsidRPr="0067738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4991C4EA" w14:textId="77777777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7380">
              <w:rPr>
                <w:rFonts w:ascii="Times New Roman" w:hAnsi="Times New Roman"/>
                <w:sz w:val="16"/>
                <w:szCs w:val="16"/>
              </w:rPr>
              <w:t>Projektu dokumentācija un finansējuma saņēmēju pārskati</w:t>
            </w:r>
          </w:p>
          <w:p w14:paraId="783C2750" w14:textId="77777777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6BD0DE4" w14:textId="77777777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77380">
              <w:rPr>
                <w:rFonts w:ascii="Times New Roman" w:hAnsi="Times New Roman"/>
                <w:b/>
                <w:i/>
                <w:sz w:val="16"/>
                <w:szCs w:val="16"/>
              </w:rPr>
              <w:t>Starpposma vērtība 2018:</w:t>
            </w:r>
          </w:p>
          <w:p w14:paraId="0DCAB7FA" w14:textId="77777777" w:rsidR="008F06DD" w:rsidRPr="000C4C46" w:rsidRDefault="008F06DD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4C46">
              <w:rPr>
                <w:rFonts w:ascii="Times New Roman" w:hAnsi="Times New Roman"/>
                <w:sz w:val="16"/>
                <w:szCs w:val="16"/>
              </w:rPr>
              <w:t>1</w:t>
            </w:r>
            <w:r w:rsidR="00BE491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4C46">
              <w:rPr>
                <w:rFonts w:ascii="Times New Roman" w:hAnsi="Times New Roman"/>
                <w:sz w:val="16"/>
                <w:szCs w:val="16"/>
              </w:rPr>
              <w:t>175</w:t>
            </w:r>
          </w:p>
          <w:p w14:paraId="3500A49F" w14:textId="77777777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4B84771" w14:textId="77777777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77380">
              <w:rPr>
                <w:rFonts w:ascii="Times New Roman" w:hAnsi="Times New Roman"/>
                <w:b/>
                <w:i/>
                <w:sz w:val="16"/>
                <w:szCs w:val="16"/>
              </w:rPr>
              <w:t>Mērķis 2023</w:t>
            </w:r>
            <w:r w:rsidRPr="0067738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717BBC31" w14:textId="71B6A023" w:rsidR="00150EDB" w:rsidRDefault="00150EDB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32 782</w:t>
            </w:r>
          </w:p>
          <w:p w14:paraId="10490443" w14:textId="77777777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C35436C" w14:textId="77777777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77380">
              <w:rPr>
                <w:rFonts w:ascii="Times New Roman" w:hAnsi="Times New Roman"/>
                <w:b/>
                <w:i/>
                <w:sz w:val="16"/>
                <w:szCs w:val="16"/>
              </w:rPr>
              <w:t>Apkopošanas biežums un ieguves metodoloģija:</w:t>
            </w:r>
          </w:p>
          <w:p w14:paraId="02687236" w14:textId="77777777" w:rsidR="006E6D49" w:rsidRPr="00677380" w:rsidRDefault="006E6D49" w:rsidP="002052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7380">
              <w:rPr>
                <w:rFonts w:ascii="Times New Roman" w:hAnsi="Times New Roman"/>
                <w:sz w:val="16"/>
                <w:szCs w:val="16"/>
              </w:rPr>
              <w:t>Reizi gadā</w:t>
            </w:r>
          </w:p>
          <w:p w14:paraId="7BF22B46" w14:textId="7EEE52CF" w:rsidR="006E6D49" w:rsidRPr="00677380" w:rsidRDefault="006E6D49" w:rsidP="0020529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7380">
              <w:rPr>
                <w:rFonts w:ascii="Times New Roman" w:hAnsi="Times New Roman"/>
                <w:sz w:val="16"/>
                <w:szCs w:val="16"/>
              </w:rPr>
              <w:t>NA (kopējais rādītājs)</w:t>
            </w:r>
            <w:r w:rsidR="002E5B3E">
              <w:rPr>
                <w:rStyle w:val="FootnoteReference"/>
                <w:rFonts w:ascii="Times New Roman" w:hAnsi="Times New Roman"/>
                <w:sz w:val="16"/>
                <w:szCs w:val="16"/>
              </w:rPr>
              <w:footnoteReference w:id="3"/>
            </w:r>
          </w:p>
          <w:p w14:paraId="14731C56" w14:textId="77777777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F12DC0C" w14:textId="77777777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9072CE" w14:textId="77777777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77380">
              <w:rPr>
                <w:rFonts w:ascii="Times New Roman" w:hAnsi="Times New Roman"/>
                <w:b/>
                <w:i/>
                <w:sz w:val="16"/>
                <w:szCs w:val="16"/>
              </w:rPr>
              <w:t>Mērķa vērtības noteikšanas principi/metodoloģija</w:t>
            </w:r>
            <w:r w:rsidRPr="00677380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0D911664" w14:textId="77777777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77380">
              <w:rPr>
                <w:rFonts w:ascii="Times New Roman" w:hAnsi="Times New Roman"/>
                <w:sz w:val="16"/>
                <w:szCs w:val="16"/>
              </w:rPr>
              <w:t>Aprēķinot mērķa vērtību 2014.-2020.</w:t>
            </w:r>
            <w:r w:rsidR="00D410B9" w:rsidRPr="0067738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77380">
              <w:rPr>
                <w:rFonts w:ascii="Times New Roman" w:hAnsi="Times New Roman"/>
                <w:sz w:val="16"/>
                <w:szCs w:val="16"/>
              </w:rPr>
              <w:t>gada plānošanas periodā</w:t>
            </w:r>
            <w:r w:rsidR="00BE4912">
              <w:rPr>
                <w:rFonts w:ascii="Times New Roman" w:hAnsi="Times New Roman"/>
                <w:sz w:val="16"/>
                <w:szCs w:val="16"/>
              </w:rPr>
              <w:t>,</w:t>
            </w:r>
            <w:r w:rsidRPr="00677380">
              <w:rPr>
                <w:rFonts w:ascii="Times New Roman" w:hAnsi="Times New Roman"/>
                <w:sz w:val="16"/>
                <w:szCs w:val="16"/>
              </w:rPr>
              <w:t xml:space="preserve"> tiek ņemts vērā gan plānotais finansējuma apjoms, pieslēgumu un pārklājuma izveides cenas, makroekonomiskie</w:t>
            </w:r>
            <w:r w:rsidR="00BE4912">
              <w:rPr>
                <w:rFonts w:ascii="Times New Roman" w:hAnsi="Times New Roman"/>
                <w:sz w:val="16"/>
                <w:szCs w:val="16"/>
              </w:rPr>
              <w:t xml:space="preserve"> un demogrāfiskie</w:t>
            </w:r>
            <w:r w:rsidRPr="00677380">
              <w:rPr>
                <w:rFonts w:ascii="Times New Roman" w:hAnsi="Times New Roman"/>
                <w:sz w:val="16"/>
                <w:szCs w:val="16"/>
              </w:rPr>
              <w:t xml:space="preserve"> rādītāji.</w:t>
            </w:r>
            <w:r w:rsidR="0012190E" w:rsidRPr="00677380">
              <w:rPr>
                <w:rFonts w:ascii="Times New Roman" w:hAnsi="Times New Roman"/>
                <w:sz w:val="16"/>
                <w:szCs w:val="16"/>
              </w:rPr>
              <w:t xml:space="preserve"> Rādītāja aprēķinā ieskaitīti gan iedzīvotāji, kuru pieslēgumu nodrošināšana tiks panākta, izmantojot ES fondu līdzekļus, gan nacionāla līmeņa iniciatīvas.</w:t>
            </w:r>
          </w:p>
          <w:p w14:paraId="1214ADBB" w14:textId="411A536A" w:rsidR="006E6D49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9FED004" w14:textId="759E7990" w:rsidR="002E5B3E" w:rsidRDefault="002E5B3E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Darbība, kas liek uzskaitīt mērķa vērtību par izpildītu: </w:t>
            </w:r>
            <w:r w:rsidRPr="002E5B3E">
              <w:rPr>
                <w:rFonts w:ascii="Times New Roman" w:hAnsi="Times New Roman"/>
                <w:sz w:val="16"/>
                <w:szCs w:val="16"/>
              </w:rPr>
              <w:t>Pabeigti projekti  vai to posmi (nodoti ekspluatācijā) , noslēguma maksājums var nebūt veikts</w:t>
            </w:r>
          </w:p>
          <w:p w14:paraId="5BAA7CA0" w14:textId="77777777" w:rsidR="002E5B3E" w:rsidRPr="00677380" w:rsidRDefault="002E5B3E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E59A9A3" w14:textId="77777777" w:rsidR="006E6D49" w:rsidRPr="00677380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77380">
              <w:rPr>
                <w:rFonts w:ascii="Times New Roman" w:hAnsi="Times New Roman"/>
                <w:b/>
                <w:i/>
                <w:sz w:val="16"/>
                <w:szCs w:val="16"/>
              </w:rPr>
              <w:t>Iznākuma rādītājam sasniegšanai paredzētais finansējums:</w:t>
            </w:r>
          </w:p>
          <w:p w14:paraId="10CDAFBB" w14:textId="1CA333A7" w:rsidR="00BE4912" w:rsidRPr="00677380" w:rsidRDefault="00380247" w:rsidP="00BE491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121 248 200</w:t>
            </w:r>
            <w:r w:rsidR="004E742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E4912" w:rsidRPr="0076235F">
              <w:rPr>
                <w:rFonts w:ascii="Times New Roman" w:hAnsi="Times New Roman"/>
                <w:sz w:val="16"/>
                <w:szCs w:val="16"/>
              </w:rPr>
              <w:t>EUR</w:t>
            </w:r>
          </w:p>
          <w:p w14:paraId="3DDB406C" w14:textId="77777777" w:rsidR="00D435B0" w:rsidRPr="00D435B0" w:rsidRDefault="00D435B0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F433E83" w14:textId="77777777" w:rsidR="006E6D49" w:rsidRPr="00151FE6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1C1E1CE" w14:textId="77777777" w:rsidR="006E6D49" w:rsidRPr="00151FE6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151FE6">
              <w:rPr>
                <w:rFonts w:ascii="Times New Roman" w:hAnsi="Times New Roman"/>
                <w:b/>
                <w:i/>
                <w:sz w:val="16"/>
                <w:szCs w:val="16"/>
              </w:rPr>
              <w:t>Starpposma vērtība 2018. gadam</w:t>
            </w:r>
            <w:r w:rsidRPr="00151FE6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  <w:p w14:paraId="3600A136" w14:textId="4B18085F" w:rsidR="008B58AA" w:rsidRDefault="008B58AA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lv-LV"/>
              </w:rPr>
            </w:pPr>
          </w:p>
          <w:p w14:paraId="750A840D" w14:textId="04899CD3" w:rsidR="00650F66" w:rsidRPr="005E220F" w:rsidRDefault="00650F66" w:rsidP="00650F6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28 479 655 EUR </w:t>
            </w:r>
            <w:r w:rsidR="001773F2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5E220F">
              <w:rPr>
                <w:rFonts w:ascii="Times New Roman" w:hAnsi="Times New Roman"/>
                <w:sz w:val="16"/>
                <w:szCs w:val="16"/>
              </w:rPr>
              <w:t xml:space="preserve">saskaņā ar </w:t>
            </w:r>
            <w:r>
              <w:rPr>
                <w:rFonts w:ascii="Times New Roman" w:hAnsi="Times New Roman"/>
                <w:sz w:val="16"/>
                <w:szCs w:val="16"/>
              </w:rPr>
              <w:t>4.grozījumiem Darbības programmā “Izaugsme un nodarbinātība”</w:t>
            </w:r>
            <w:r w:rsidR="001773F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2F91522E" w14:textId="77777777" w:rsidR="00650F66" w:rsidRPr="00BE4912" w:rsidRDefault="00650F66" w:rsidP="002052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1355461" w14:textId="77777777" w:rsidR="003822C7" w:rsidRPr="00151FE6" w:rsidRDefault="003822C7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14:paraId="05F2FD2F" w14:textId="77777777" w:rsidR="006E6D49" w:rsidRPr="00151FE6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51FE6">
              <w:rPr>
                <w:rFonts w:ascii="Times New Roman" w:hAnsi="Times New Roman"/>
                <w:b/>
                <w:i/>
                <w:sz w:val="16"/>
                <w:szCs w:val="16"/>
              </w:rPr>
              <w:t>Mērķis 2023. gadam (vienāds ar 100 % no SAM paredzētā kopējā finansējuma):</w:t>
            </w:r>
          </w:p>
          <w:p w14:paraId="55E7B5C9" w14:textId="3C015CA5" w:rsidR="00677380" w:rsidRPr="00677380" w:rsidRDefault="00380247" w:rsidP="006773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121 248 200</w:t>
            </w:r>
            <w:r w:rsidR="00F069A7" w:rsidRPr="00F069A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7554C" w:rsidRPr="00677380">
              <w:rPr>
                <w:rFonts w:ascii="Times New Roman" w:hAnsi="Times New Roman"/>
                <w:sz w:val="16"/>
                <w:szCs w:val="16"/>
              </w:rPr>
              <w:t>EUR</w:t>
            </w:r>
          </w:p>
          <w:p w14:paraId="6ADFCACE" w14:textId="77777777" w:rsidR="0067554C" w:rsidRPr="00151FE6" w:rsidRDefault="0067554C" w:rsidP="002052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26742FE2" w14:textId="77777777" w:rsidR="006E6D49" w:rsidRPr="00151FE6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151FE6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Starpposma vērtības noteikšanas aprēķins: </w:t>
            </w:r>
          </w:p>
          <w:p w14:paraId="525DAC12" w14:textId="77777777" w:rsidR="006E6D49" w:rsidRPr="00151FE6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1FE6">
              <w:rPr>
                <w:rFonts w:ascii="Times New Roman" w:hAnsi="Times New Roman"/>
                <w:sz w:val="16"/>
                <w:szCs w:val="16"/>
              </w:rPr>
              <w:t>Noteiktā vērība starpposma</w:t>
            </w:r>
            <w:r w:rsidR="00461077">
              <w:rPr>
                <w:rFonts w:ascii="Times New Roman" w:hAnsi="Times New Roman"/>
                <w:sz w:val="16"/>
                <w:szCs w:val="16"/>
              </w:rPr>
              <w:t xml:space="preserve"> mērķim balstīta uz VARAM 2007.–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>2013.</w:t>
            </w:r>
            <w:r w:rsidR="0046107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51FE6">
              <w:rPr>
                <w:rFonts w:ascii="Times New Roman" w:hAnsi="Times New Roman"/>
                <w:sz w:val="16"/>
                <w:szCs w:val="16"/>
              </w:rPr>
              <w:t>gada plānošanas periodā uzkrāto pieredzi un 3.5.1.1. aktivitātes "Ūdenssaimniecības infrastruktūras attīstība aglomerācijās ar cilvēku ekvivalentu lielāku par 2000" finanšu progresu.</w:t>
            </w:r>
            <w:r w:rsidR="00826933" w:rsidRPr="00151FE6">
              <w:rPr>
                <w:rFonts w:ascii="Times New Roman" w:hAnsi="Times New Roman"/>
                <w:sz w:val="16"/>
                <w:szCs w:val="16"/>
              </w:rPr>
              <w:t xml:space="preserve"> (uz 2010.</w:t>
            </w:r>
            <w:r w:rsidR="00995D9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26933" w:rsidRPr="00151FE6">
              <w:rPr>
                <w:rFonts w:ascii="Times New Roman" w:hAnsi="Times New Roman"/>
                <w:sz w:val="16"/>
                <w:szCs w:val="16"/>
              </w:rPr>
              <w:t>gada beigām, kas atbilst plānotajai starpposma vērtībai 2018.</w:t>
            </w:r>
            <w:r w:rsidR="00995D9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26933" w:rsidRPr="00151FE6">
              <w:rPr>
                <w:rFonts w:ascii="Times New Roman" w:hAnsi="Times New Roman"/>
                <w:sz w:val="16"/>
                <w:szCs w:val="16"/>
              </w:rPr>
              <w:t>gadā, ievērojot paredzēto SAM uzsākšanas laiku</w:t>
            </w:r>
            <w:r w:rsidR="008B58AA">
              <w:rPr>
                <w:rFonts w:ascii="Times New Roman" w:hAnsi="Times New Roman"/>
                <w:sz w:val="16"/>
                <w:szCs w:val="16"/>
              </w:rPr>
              <w:t>)</w:t>
            </w:r>
            <w:r w:rsidR="00826933" w:rsidRPr="00151FE6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6E9F0681" w14:textId="77777777" w:rsidR="006E6D49" w:rsidRPr="00151FE6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14:paraId="65C96624" w14:textId="77777777" w:rsidR="006E6D49" w:rsidRPr="0067554C" w:rsidRDefault="006E6D49" w:rsidP="002052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trike/>
                <w:sz w:val="16"/>
                <w:szCs w:val="16"/>
              </w:rPr>
            </w:pPr>
          </w:p>
        </w:tc>
      </w:tr>
    </w:tbl>
    <w:p w14:paraId="5F56384B" w14:textId="77777777" w:rsidR="00FA549B" w:rsidRDefault="00FA549B"/>
    <w:sectPr w:rsidR="00FA549B" w:rsidSect="00A66ADC">
      <w:pgSz w:w="16838" w:h="11906" w:orient="landscape"/>
      <w:pgMar w:top="567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C420A" w14:textId="77777777" w:rsidR="0038466F" w:rsidRDefault="0038466F" w:rsidP="006E6D49">
      <w:pPr>
        <w:spacing w:after="0" w:line="240" w:lineRule="auto"/>
      </w:pPr>
      <w:r>
        <w:separator/>
      </w:r>
    </w:p>
  </w:endnote>
  <w:endnote w:type="continuationSeparator" w:id="0">
    <w:p w14:paraId="19913359" w14:textId="77777777" w:rsidR="0038466F" w:rsidRDefault="0038466F" w:rsidP="006E6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440C8" w14:textId="77777777" w:rsidR="0038466F" w:rsidRDefault="0038466F" w:rsidP="006E6D49">
      <w:pPr>
        <w:spacing w:after="0" w:line="240" w:lineRule="auto"/>
      </w:pPr>
      <w:r>
        <w:separator/>
      </w:r>
    </w:p>
  </w:footnote>
  <w:footnote w:type="continuationSeparator" w:id="0">
    <w:p w14:paraId="337CEC9B" w14:textId="77777777" w:rsidR="0038466F" w:rsidRDefault="0038466F" w:rsidP="006E6D49">
      <w:pPr>
        <w:spacing w:after="0" w:line="240" w:lineRule="auto"/>
      </w:pPr>
      <w:r>
        <w:continuationSeparator/>
      </w:r>
    </w:p>
  </w:footnote>
  <w:footnote w:id="1">
    <w:p w14:paraId="4E0DCF59" w14:textId="1A50AC87" w:rsidR="002E5B3E" w:rsidRDefault="002E5B3E">
      <w:pPr>
        <w:pStyle w:val="FootnoteText"/>
        <w:rPr>
          <w:rFonts w:ascii="Times New Roman" w:hAnsi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944333" w:rsidRPr="00C62AAB">
        <w:rPr>
          <w:rFonts w:ascii="Times New Roman" w:hAnsi="Times New Roman"/>
          <w:sz w:val="16"/>
          <w:szCs w:val="16"/>
        </w:rPr>
        <w:t>Finanšu rādītāju mērvienība</w:t>
      </w:r>
      <w:r w:rsidR="002C1EA8" w:rsidRPr="00C62AAB">
        <w:rPr>
          <w:rFonts w:ascii="Times New Roman" w:hAnsi="Times New Roman"/>
          <w:sz w:val="16"/>
          <w:szCs w:val="16"/>
        </w:rPr>
        <w:t xml:space="preserve">- </w:t>
      </w:r>
      <w:r w:rsidR="00944333" w:rsidRPr="00C62AAB">
        <w:rPr>
          <w:rFonts w:ascii="Times New Roman" w:hAnsi="Times New Roman"/>
          <w:sz w:val="16"/>
          <w:szCs w:val="16"/>
        </w:rPr>
        <w:t xml:space="preserve"> Starpposma vērtība 2018. gadam ir attiecināmie izdevumi EUR sertificējošās iestādes uzskaites sistēmā līdz 30.06.2019. sertificētie izdevumi, kas finansējuma saņēmējiem radušies līdz 31.12.2018. Starpposma vērtības noteikšanā nedrīkst iekļaut snieguma rezerves apjomu 6 %, kamēr mērķis nosakāms iekļaujot rezerves apjomu.</w:t>
      </w:r>
    </w:p>
    <w:p w14:paraId="259CDA78" w14:textId="77777777" w:rsidR="002E5B3E" w:rsidRPr="00A66ADC" w:rsidRDefault="002E5B3E">
      <w:pPr>
        <w:pStyle w:val="FootnoteText"/>
        <w:rPr>
          <w:rFonts w:ascii="Times New Roman" w:hAnsi="Times New Roman"/>
          <w:sz w:val="16"/>
          <w:szCs w:val="16"/>
        </w:rPr>
      </w:pPr>
    </w:p>
  </w:footnote>
  <w:footnote w:id="2">
    <w:p w14:paraId="518628EF" w14:textId="3A028374" w:rsidR="002E5B3E" w:rsidRPr="00A66ADC" w:rsidRDefault="002E5B3E" w:rsidP="00A66ADC">
      <w:pPr>
        <w:rPr>
          <w:rFonts w:ascii="Times New Roman" w:hAnsi="Times New Roman"/>
          <w:sz w:val="16"/>
          <w:szCs w:val="16"/>
        </w:rPr>
      </w:pPr>
      <w:r w:rsidRPr="00A66ADC">
        <w:rPr>
          <w:rFonts w:ascii="Times New Roman" w:hAnsi="Times New Roman"/>
          <w:sz w:val="16"/>
          <w:szCs w:val="16"/>
        </w:rPr>
        <w:footnoteRef/>
      </w:r>
      <w:r w:rsidRPr="00A66ADC">
        <w:rPr>
          <w:rFonts w:ascii="Times New Roman" w:hAnsi="Times New Roman"/>
          <w:sz w:val="16"/>
          <w:szCs w:val="16"/>
          <w:lang w:val="x-none" w:eastAsia="x-none"/>
        </w:rPr>
        <w:t>. Rādītāja definīcija noteikta Eiropas Komisijas vadlīniju “Guidance document on Monitoring and Evaluation” 1.pielikumā; pieejamas  </w:t>
      </w:r>
      <w:hyperlink r:id="rId1" w:history="1">
        <w:r w:rsidRPr="00A66ADC">
          <w:rPr>
            <w:sz w:val="16"/>
            <w:szCs w:val="16"/>
          </w:rPr>
          <w:t>http://ec.europa.eu/regional_policy/sources/docoffic/2014/working/wd_2014_en.pdf</w:t>
        </w:r>
      </w:hyperlink>
      <w:r w:rsidRPr="00A66ADC">
        <w:rPr>
          <w:rFonts w:ascii="Times New Roman" w:hAnsi="Times New Roman"/>
          <w:sz w:val="16"/>
          <w:szCs w:val="16"/>
          <w:lang w:val="x-none" w:eastAsia="x-none"/>
        </w:rPr>
        <w:t xml:space="preserve"> </w:t>
      </w:r>
    </w:p>
  </w:footnote>
  <w:footnote w:id="3">
    <w:p w14:paraId="23EBBD6A" w14:textId="7A9E60BC" w:rsidR="002E5B3E" w:rsidRPr="00A66ADC" w:rsidRDefault="002E5B3E" w:rsidP="00A66ADC">
      <w:pPr>
        <w:rPr>
          <w:rFonts w:ascii="Times New Roman" w:hAnsi="Times New Roman"/>
          <w:sz w:val="16"/>
          <w:szCs w:val="16"/>
        </w:rPr>
      </w:pPr>
      <w:r w:rsidRPr="00A66ADC">
        <w:rPr>
          <w:rFonts w:ascii="Times New Roman" w:hAnsi="Times New Roman"/>
          <w:sz w:val="16"/>
          <w:szCs w:val="16"/>
        </w:rPr>
        <w:footnoteRef/>
      </w:r>
      <w:r w:rsidRPr="00A66ADC">
        <w:rPr>
          <w:rFonts w:ascii="Times New Roman" w:hAnsi="Times New Roman"/>
          <w:sz w:val="16"/>
          <w:szCs w:val="16"/>
          <w:lang w:val="x-none" w:eastAsia="x-none"/>
        </w:rPr>
        <w:t xml:space="preserve"> Rādītāja definīcija noteikta Eiropas Komisijas vadlīniju “Guidance document on Monitoring and Evaluation” 1.pielikumā; pieejamas  </w:t>
      </w:r>
      <w:hyperlink r:id="rId2" w:history="1">
        <w:r w:rsidRPr="00A66ADC">
          <w:rPr>
            <w:sz w:val="16"/>
            <w:szCs w:val="16"/>
          </w:rPr>
          <w:t>http://ec.europa.eu/regional_policy/sources/docoffic/2014/working/wd_2014_en.pdf</w:t>
        </w:r>
      </w:hyperlink>
      <w:r w:rsidRPr="00A66ADC">
        <w:rPr>
          <w:rFonts w:ascii="Times New Roman" w:hAnsi="Times New Roman"/>
          <w:sz w:val="16"/>
          <w:szCs w:val="16"/>
          <w:lang w:val="x-none" w:eastAsia="x-none"/>
        </w:rPr>
        <w:t xml:space="preserve"> </w:t>
      </w:r>
    </w:p>
    <w:p w14:paraId="17EBC0DE" w14:textId="0190C67E" w:rsidR="002E5B3E" w:rsidRPr="00A66ADC" w:rsidRDefault="002E5B3E">
      <w:pPr>
        <w:pStyle w:val="FootnoteText"/>
        <w:rPr>
          <w:lang w:val="lv-LV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904AD"/>
    <w:multiLevelType w:val="hybridMultilevel"/>
    <w:tmpl w:val="E4C261A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C20E5E"/>
    <w:multiLevelType w:val="hybridMultilevel"/>
    <w:tmpl w:val="BE4E422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49"/>
    <w:rsid w:val="0002213C"/>
    <w:rsid w:val="000422D0"/>
    <w:rsid w:val="00054C19"/>
    <w:rsid w:val="000C4C46"/>
    <w:rsid w:val="00100AA4"/>
    <w:rsid w:val="001173E0"/>
    <w:rsid w:val="0012190E"/>
    <w:rsid w:val="00150EDB"/>
    <w:rsid w:val="00151FE6"/>
    <w:rsid w:val="00153F05"/>
    <w:rsid w:val="00154A4D"/>
    <w:rsid w:val="001773F2"/>
    <w:rsid w:val="001778BD"/>
    <w:rsid w:val="00182664"/>
    <w:rsid w:val="001C3AD3"/>
    <w:rsid w:val="001F4B8E"/>
    <w:rsid w:val="0020529D"/>
    <w:rsid w:val="00262BEE"/>
    <w:rsid w:val="00263C13"/>
    <w:rsid w:val="00290BF3"/>
    <w:rsid w:val="002B3794"/>
    <w:rsid w:val="002B3D5D"/>
    <w:rsid w:val="002C1EA8"/>
    <w:rsid w:val="002E5B3E"/>
    <w:rsid w:val="00320A82"/>
    <w:rsid w:val="00375837"/>
    <w:rsid w:val="00380247"/>
    <w:rsid w:val="003822C7"/>
    <w:rsid w:val="0038466F"/>
    <w:rsid w:val="003D63D1"/>
    <w:rsid w:val="003F58A3"/>
    <w:rsid w:val="0044682B"/>
    <w:rsid w:val="00461077"/>
    <w:rsid w:val="00471C4A"/>
    <w:rsid w:val="004E400B"/>
    <w:rsid w:val="004E7426"/>
    <w:rsid w:val="004F20F3"/>
    <w:rsid w:val="004F6B88"/>
    <w:rsid w:val="00521F13"/>
    <w:rsid w:val="0058173A"/>
    <w:rsid w:val="005B5034"/>
    <w:rsid w:val="005C047F"/>
    <w:rsid w:val="005D1D80"/>
    <w:rsid w:val="00620EAC"/>
    <w:rsid w:val="00646EE7"/>
    <w:rsid w:val="00650F66"/>
    <w:rsid w:val="0067554C"/>
    <w:rsid w:val="00677380"/>
    <w:rsid w:val="00692949"/>
    <w:rsid w:val="00695E1A"/>
    <w:rsid w:val="006E6D49"/>
    <w:rsid w:val="007403FA"/>
    <w:rsid w:val="0076235F"/>
    <w:rsid w:val="007C73CE"/>
    <w:rsid w:val="00826933"/>
    <w:rsid w:val="0086037A"/>
    <w:rsid w:val="00870BBC"/>
    <w:rsid w:val="00872026"/>
    <w:rsid w:val="00881D3B"/>
    <w:rsid w:val="008B58AA"/>
    <w:rsid w:val="008F06DD"/>
    <w:rsid w:val="009226B8"/>
    <w:rsid w:val="0094303C"/>
    <w:rsid w:val="00944333"/>
    <w:rsid w:val="00954FD6"/>
    <w:rsid w:val="0096171D"/>
    <w:rsid w:val="0096398F"/>
    <w:rsid w:val="00995D93"/>
    <w:rsid w:val="009A2657"/>
    <w:rsid w:val="009A691D"/>
    <w:rsid w:val="009B7C89"/>
    <w:rsid w:val="00A122DF"/>
    <w:rsid w:val="00A2201E"/>
    <w:rsid w:val="00A34E75"/>
    <w:rsid w:val="00A42176"/>
    <w:rsid w:val="00A65CE0"/>
    <w:rsid w:val="00A66ADC"/>
    <w:rsid w:val="00A7446B"/>
    <w:rsid w:val="00AA36BC"/>
    <w:rsid w:val="00AB3A14"/>
    <w:rsid w:val="00AD2EF6"/>
    <w:rsid w:val="00AF33BA"/>
    <w:rsid w:val="00B2723C"/>
    <w:rsid w:val="00B44F84"/>
    <w:rsid w:val="00B612AA"/>
    <w:rsid w:val="00B62C2C"/>
    <w:rsid w:val="00B65F8A"/>
    <w:rsid w:val="00B80FF7"/>
    <w:rsid w:val="00B90DB2"/>
    <w:rsid w:val="00BD2BD4"/>
    <w:rsid w:val="00BE4912"/>
    <w:rsid w:val="00C16740"/>
    <w:rsid w:val="00C3157B"/>
    <w:rsid w:val="00C62AAB"/>
    <w:rsid w:val="00C64BBD"/>
    <w:rsid w:val="00C76CA9"/>
    <w:rsid w:val="00CE7CC5"/>
    <w:rsid w:val="00D07354"/>
    <w:rsid w:val="00D141B5"/>
    <w:rsid w:val="00D303E0"/>
    <w:rsid w:val="00D410B9"/>
    <w:rsid w:val="00D435B0"/>
    <w:rsid w:val="00D92E16"/>
    <w:rsid w:val="00E71A17"/>
    <w:rsid w:val="00EA12E9"/>
    <w:rsid w:val="00F069A7"/>
    <w:rsid w:val="00FA549B"/>
    <w:rsid w:val="00FE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0B326"/>
  <w15:chartTrackingRefBased/>
  <w15:docId w15:val="{D285B3E3-2127-414D-881C-8A030C75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D4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Fußnote,Footnote Text Char1,Footnote Text Char Char,Footnote Text Char1 Char Char,Footnote Text Char Char Char Char,Footnote Text Char1 Char Char1 Char Char,Footnote Text Char Char Char Char Char Char,f"/>
    <w:basedOn w:val="Normal"/>
    <w:link w:val="FootnoteTextChar"/>
    <w:uiPriority w:val="99"/>
    <w:unhideWhenUsed/>
    <w:rsid w:val="006E6D49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Char,Fußnote Char,Footnote Text Char1 Char,Footnote Text Char Char Char,Footnote Text Char1 Char Char Char,Footnote Text Char Char Char Char Char,Footnote Text Char1 Char Char1 Char Char Char,f Char"/>
    <w:link w:val="FootnoteText"/>
    <w:uiPriority w:val="99"/>
    <w:rsid w:val="006E6D4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Reference Number,Footnote symbol,Footnote Reference Superscript,Footnote Refernece,ftref,Odwołanie przypisu,BVI fnr,Footnotes refss,SUPERS,Ref,de nota al pie,-E Fußnotenzeichen,Footnote reference number,Times 10 Point,E,E FNZ"/>
    <w:uiPriority w:val="99"/>
    <w:unhideWhenUsed/>
    <w:rsid w:val="006E6D49"/>
    <w:rPr>
      <w:vertAlign w:val="superscript"/>
    </w:rPr>
  </w:style>
  <w:style w:type="paragraph" w:styleId="ListParagraph">
    <w:name w:val="List Paragraph"/>
    <w:basedOn w:val="Normal"/>
    <w:uiPriority w:val="34"/>
    <w:qFormat/>
    <w:rsid w:val="006E6D49"/>
    <w:pPr>
      <w:ind w:left="720"/>
      <w:contextualSpacing/>
    </w:pPr>
  </w:style>
  <w:style w:type="character" w:customStyle="1" w:styleId="st">
    <w:name w:val="st"/>
    <w:basedOn w:val="DefaultParagraphFont"/>
    <w:rsid w:val="006E6D49"/>
  </w:style>
  <w:style w:type="character" w:styleId="CommentReference">
    <w:name w:val="annotation reference"/>
    <w:uiPriority w:val="99"/>
    <w:semiHidden/>
    <w:unhideWhenUsed/>
    <w:rsid w:val="00B44F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4F8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B44F8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F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44F84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F84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44F84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63C13"/>
    <w:rPr>
      <w:rFonts w:ascii="Calibri" w:hAnsi="Calibri"/>
      <w:sz w:val="22"/>
      <w:szCs w:val="22"/>
      <w:lang w:eastAsia="en-US"/>
    </w:rPr>
  </w:style>
  <w:style w:type="character" w:styleId="Emphasis">
    <w:name w:val="Emphasis"/>
    <w:uiPriority w:val="20"/>
    <w:qFormat/>
    <w:rsid w:val="00320A8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E5B3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2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regional_policy/sources/docoffic/2014/working/wd_2014_en.pdf" TargetMode="External"/><Relationship Id="rId1" Type="http://schemas.openxmlformats.org/officeDocument/2006/relationships/hyperlink" Target="http://ec.europa.eu/regional_policy/sources/docoffic/2014/working/wd_2014_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CDEA860613EA764D817F892493A9F4E7" ma:contentTypeVersion="0" ma:contentTypeDescription="Izveidot jaunu dokumentu." ma:contentTypeScope="" ma:versionID="7ec00c100d33c5432cac3d74232d789e">
  <xsd:schema xmlns:xsd="http://www.w3.org/2001/XMLSchema" xmlns:p="http://schemas.microsoft.com/office/2006/metadata/properties" targetNamespace="http://schemas.microsoft.com/office/2006/metadata/properties" ma:root="true" ma:fieldsID="03f02128687e48d6f6cc7d7a99a2c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 ma:readOnly="true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DB261E-21A6-427C-81DC-98C85258BCDB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8F2E79-E55C-4412-A34A-68CEC969F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E48CA73-0CE6-42F9-8E83-86406D7FD0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3759</Words>
  <Characters>2144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Finanšu ministrija</Company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Alise Eglīte</dc:creator>
  <cp:keywords/>
  <cp:lastModifiedBy>Finanšu ministrija</cp:lastModifiedBy>
  <cp:revision>8</cp:revision>
  <cp:lastPrinted>2014-03-18T06:58:00Z</cp:lastPrinted>
  <dcterms:created xsi:type="dcterms:W3CDTF">2020-06-11T06:47:00Z</dcterms:created>
  <dcterms:modified xsi:type="dcterms:W3CDTF">2022-05-26T12:42:00Z</dcterms:modified>
</cp:coreProperties>
</file>