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7C118D" w14:textId="5730FF05" w:rsidR="00166206" w:rsidRPr="004A5C70" w:rsidRDefault="00166206" w:rsidP="008C258A">
      <w:pPr>
        <w:pStyle w:val="Caption"/>
        <w:keepNext/>
        <w:jc w:val="both"/>
        <w:rPr>
          <w:color w:val="auto"/>
        </w:rPr>
      </w:pPr>
      <w:r w:rsidRPr="004A5C70">
        <w:rPr>
          <w:color w:val="auto"/>
        </w:rPr>
        <w:t xml:space="preserve">Tabula </w:t>
      </w:r>
      <w:r w:rsidRPr="004A5C70">
        <w:rPr>
          <w:color w:val="auto"/>
        </w:rPr>
        <w:fldChar w:fldCharType="begin"/>
      </w:r>
      <w:r w:rsidRPr="004A5C70">
        <w:rPr>
          <w:color w:val="auto"/>
        </w:rPr>
        <w:instrText xml:space="preserve"> SEQ Tabula \* ARABIC </w:instrText>
      </w:r>
      <w:r w:rsidRPr="004A5C70">
        <w:rPr>
          <w:color w:val="auto"/>
        </w:rPr>
        <w:fldChar w:fldCharType="separate"/>
      </w:r>
      <w:r w:rsidR="009E1DB3" w:rsidRPr="004A5C70">
        <w:rPr>
          <w:noProof/>
          <w:color w:val="auto"/>
        </w:rPr>
        <w:t>1</w:t>
      </w:r>
      <w:r w:rsidRPr="004A5C70">
        <w:rPr>
          <w:color w:val="auto"/>
        </w:rPr>
        <w:fldChar w:fldCharType="end"/>
      </w:r>
      <w:r w:rsidRPr="004A5C70">
        <w:rPr>
          <w:color w:val="auto"/>
        </w:rPr>
        <w:t xml:space="preserve"> Rādītāju pase investīciju prioritātes specifiskajiem mērķiem</w:t>
      </w:r>
    </w:p>
    <w:tbl>
      <w:tblP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2"/>
        <w:gridCol w:w="1985"/>
        <w:gridCol w:w="1985"/>
        <w:gridCol w:w="1700"/>
        <w:gridCol w:w="2722"/>
        <w:gridCol w:w="3657"/>
        <w:gridCol w:w="2835"/>
      </w:tblGrid>
      <w:tr w:rsidR="00EE0120" w:rsidRPr="004A5C70" w14:paraId="2BFD9D5C" w14:textId="77777777" w:rsidTr="006A0B87">
        <w:tc>
          <w:tcPr>
            <w:tcW w:w="1242" w:type="dxa"/>
          </w:tcPr>
          <w:p w14:paraId="5EBA2271" w14:textId="77777777" w:rsidR="009D2C6F" w:rsidRPr="004A5C70" w:rsidRDefault="009D2C6F" w:rsidP="008C258A">
            <w:pPr>
              <w:jc w:val="both"/>
              <w:rPr>
                <w:b/>
                <w:sz w:val="18"/>
                <w:szCs w:val="18"/>
              </w:rPr>
            </w:pPr>
            <w:r w:rsidRPr="004A5C70">
              <w:rPr>
                <w:b/>
                <w:sz w:val="18"/>
                <w:szCs w:val="18"/>
              </w:rPr>
              <w:t>Investīciju prioritāte</w:t>
            </w:r>
          </w:p>
        </w:tc>
        <w:tc>
          <w:tcPr>
            <w:tcW w:w="1985" w:type="dxa"/>
          </w:tcPr>
          <w:p w14:paraId="25C82930" w14:textId="77777777" w:rsidR="009D2C6F" w:rsidRPr="004A5C70" w:rsidRDefault="009D2C6F" w:rsidP="008C258A">
            <w:pPr>
              <w:jc w:val="both"/>
              <w:rPr>
                <w:rFonts w:eastAsiaTheme="minorHAnsi"/>
                <w:b/>
                <w:sz w:val="18"/>
                <w:szCs w:val="18"/>
              </w:rPr>
            </w:pPr>
            <w:r w:rsidRPr="004A5C70">
              <w:rPr>
                <w:rFonts w:eastAsiaTheme="minorHAnsi"/>
                <w:b/>
                <w:sz w:val="18"/>
                <w:szCs w:val="18"/>
              </w:rPr>
              <w:t>Ieguldījumu prioritāte</w:t>
            </w:r>
          </w:p>
        </w:tc>
        <w:tc>
          <w:tcPr>
            <w:tcW w:w="1985" w:type="dxa"/>
          </w:tcPr>
          <w:p w14:paraId="0AE0CBA4" w14:textId="77777777" w:rsidR="009D2C6F" w:rsidRPr="004A5C70" w:rsidRDefault="009D2C6F" w:rsidP="008C258A">
            <w:pPr>
              <w:jc w:val="both"/>
              <w:rPr>
                <w:b/>
                <w:sz w:val="18"/>
                <w:szCs w:val="18"/>
              </w:rPr>
            </w:pPr>
            <w:r w:rsidRPr="004A5C70">
              <w:rPr>
                <w:rFonts w:eastAsiaTheme="minorHAnsi"/>
                <w:b/>
                <w:sz w:val="18"/>
                <w:szCs w:val="18"/>
              </w:rPr>
              <w:t>Investīciju prioritātes nosaukums</w:t>
            </w:r>
          </w:p>
        </w:tc>
        <w:tc>
          <w:tcPr>
            <w:tcW w:w="1700" w:type="dxa"/>
          </w:tcPr>
          <w:p w14:paraId="6CF104B4" w14:textId="77777777" w:rsidR="009D2C6F" w:rsidRPr="004A5C70" w:rsidRDefault="009D2C6F" w:rsidP="008C258A">
            <w:pPr>
              <w:jc w:val="both"/>
              <w:rPr>
                <w:b/>
                <w:sz w:val="18"/>
                <w:szCs w:val="18"/>
              </w:rPr>
            </w:pPr>
            <w:r w:rsidRPr="004A5C70">
              <w:rPr>
                <w:b/>
                <w:sz w:val="18"/>
                <w:szCs w:val="18"/>
              </w:rPr>
              <w:t>Specifiskie atbalsta mērķi (SAM)</w:t>
            </w:r>
          </w:p>
        </w:tc>
        <w:tc>
          <w:tcPr>
            <w:tcW w:w="2722" w:type="dxa"/>
          </w:tcPr>
          <w:p w14:paraId="754E5B15" w14:textId="77777777" w:rsidR="009D2C6F" w:rsidRPr="004A5C70" w:rsidRDefault="009D2C6F" w:rsidP="008C258A">
            <w:pPr>
              <w:jc w:val="both"/>
              <w:rPr>
                <w:b/>
                <w:sz w:val="18"/>
                <w:szCs w:val="18"/>
              </w:rPr>
            </w:pPr>
            <w:r w:rsidRPr="004A5C70">
              <w:rPr>
                <w:b/>
                <w:sz w:val="18"/>
                <w:szCs w:val="18"/>
              </w:rPr>
              <w:t>Rezultāta rādītāji</w:t>
            </w:r>
          </w:p>
        </w:tc>
        <w:tc>
          <w:tcPr>
            <w:tcW w:w="3657" w:type="dxa"/>
          </w:tcPr>
          <w:p w14:paraId="5A0931D5" w14:textId="77777777" w:rsidR="009D2C6F" w:rsidRPr="004A5C70" w:rsidRDefault="009D2C6F" w:rsidP="008C258A">
            <w:pPr>
              <w:jc w:val="both"/>
              <w:rPr>
                <w:b/>
                <w:sz w:val="18"/>
                <w:szCs w:val="18"/>
              </w:rPr>
            </w:pPr>
            <w:r w:rsidRPr="004A5C70">
              <w:rPr>
                <w:b/>
                <w:sz w:val="18"/>
                <w:szCs w:val="18"/>
              </w:rPr>
              <w:t>Iznākuma rādītāji (IR)</w:t>
            </w:r>
          </w:p>
        </w:tc>
        <w:tc>
          <w:tcPr>
            <w:tcW w:w="2835" w:type="dxa"/>
          </w:tcPr>
          <w:p w14:paraId="2DC9A64D" w14:textId="77777777" w:rsidR="009D2C6F" w:rsidRPr="004A5C70" w:rsidRDefault="009D2C6F" w:rsidP="008C258A">
            <w:pPr>
              <w:jc w:val="both"/>
              <w:rPr>
                <w:b/>
                <w:sz w:val="18"/>
                <w:szCs w:val="18"/>
              </w:rPr>
            </w:pPr>
            <w:r w:rsidRPr="004A5C70">
              <w:rPr>
                <w:b/>
                <w:sz w:val="18"/>
                <w:szCs w:val="18"/>
              </w:rPr>
              <w:t>Finanšu rādītāji</w:t>
            </w:r>
            <w:r w:rsidRPr="004A5C70">
              <w:rPr>
                <w:rStyle w:val="FootnoteReference"/>
                <w:b/>
                <w:sz w:val="18"/>
                <w:szCs w:val="18"/>
              </w:rPr>
              <w:footnoteReference w:id="1"/>
            </w:r>
          </w:p>
        </w:tc>
      </w:tr>
      <w:tr w:rsidR="00EE0120" w:rsidRPr="004A5C70" w14:paraId="73CD9C33" w14:textId="77777777" w:rsidTr="006A0B87">
        <w:tc>
          <w:tcPr>
            <w:tcW w:w="1242" w:type="dxa"/>
          </w:tcPr>
          <w:p w14:paraId="3B8A8D8A" w14:textId="77777777" w:rsidR="009D2C6F" w:rsidRPr="004A5C70" w:rsidRDefault="009D2C6F" w:rsidP="008C258A">
            <w:pPr>
              <w:jc w:val="both"/>
              <w:rPr>
                <w:sz w:val="18"/>
                <w:szCs w:val="18"/>
              </w:rPr>
            </w:pPr>
            <w:r w:rsidRPr="004A5C70">
              <w:rPr>
                <w:sz w:val="18"/>
                <w:szCs w:val="18"/>
              </w:rPr>
              <w:t>Investīciju prioritāte</w:t>
            </w:r>
          </w:p>
          <w:p w14:paraId="4D64CD09" w14:textId="77777777" w:rsidR="009D2C6F" w:rsidRPr="004A5C70" w:rsidRDefault="009D2C6F" w:rsidP="008C258A">
            <w:pPr>
              <w:jc w:val="both"/>
              <w:rPr>
                <w:b/>
                <w:sz w:val="18"/>
                <w:szCs w:val="18"/>
              </w:rPr>
            </w:pPr>
            <w:r w:rsidRPr="004A5C70">
              <w:rPr>
                <w:b/>
                <w:sz w:val="18"/>
                <w:szCs w:val="18"/>
              </w:rPr>
              <w:t xml:space="preserve">3. Mazo un vidējo komersantu konkurētspēja </w:t>
            </w:r>
          </w:p>
        </w:tc>
        <w:tc>
          <w:tcPr>
            <w:tcW w:w="1985" w:type="dxa"/>
          </w:tcPr>
          <w:p w14:paraId="2F1AAD4F" w14:textId="77777777" w:rsidR="009D2C6F" w:rsidRPr="004A5C70" w:rsidRDefault="009D2C6F" w:rsidP="008C258A">
            <w:pPr>
              <w:jc w:val="both"/>
              <w:rPr>
                <w:sz w:val="18"/>
                <w:szCs w:val="18"/>
              </w:rPr>
            </w:pPr>
            <w:r w:rsidRPr="004A5C70">
              <w:rPr>
                <w:sz w:val="18"/>
                <w:szCs w:val="18"/>
              </w:rPr>
              <w:t>Uzlabot publisko iestāžu un ieinteresēto personu institucionālās spējas un efektīvu valsts pārvaldi</w:t>
            </w:r>
          </w:p>
        </w:tc>
        <w:tc>
          <w:tcPr>
            <w:tcW w:w="1985" w:type="dxa"/>
          </w:tcPr>
          <w:p w14:paraId="2D777DC7" w14:textId="77777777" w:rsidR="009D2C6F" w:rsidRPr="004A5C70" w:rsidRDefault="009D2C6F" w:rsidP="008C258A">
            <w:pPr>
              <w:jc w:val="both"/>
              <w:rPr>
                <w:sz w:val="18"/>
                <w:szCs w:val="18"/>
              </w:rPr>
            </w:pPr>
            <w:r w:rsidRPr="004A5C70">
              <w:rPr>
                <w:sz w:val="18"/>
                <w:szCs w:val="18"/>
              </w:rPr>
              <w:t xml:space="preserve">3.4. </w:t>
            </w:r>
            <w:r w:rsidR="0051155A" w:rsidRPr="004A5C70">
              <w:rPr>
                <w:sz w:val="18"/>
                <w:szCs w:val="18"/>
              </w:rPr>
              <w:t xml:space="preserve">investīcijas institucionālajās spējās un efektīvā valsts pārvaldē un publiskajos pakalpojumos valsts, reģionālajā un vietējā līmenī, lai panāktu reformas, labāku regulējumu un labu pārvaldību </w:t>
            </w:r>
          </w:p>
        </w:tc>
        <w:tc>
          <w:tcPr>
            <w:tcW w:w="1700" w:type="dxa"/>
          </w:tcPr>
          <w:p w14:paraId="5C20F91B" w14:textId="77777777" w:rsidR="009D2C6F" w:rsidRPr="004A5C70" w:rsidRDefault="009D2C6F" w:rsidP="008C258A">
            <w:pPr>
              <w:jc w:val="both"/>
              <w:rPr>
                <w:sz w:val="18"/>
                <w:szCs w:val="18"/>
              </w:rPr>
            </w:pPr>
            <w:r w:rsidRPr="004A5C70">
              <w:rPr>
                <w:sz w:val="18"/>
                <w:szCs w:val="18"/>
              </w:rPr>
              <w:t>SAM1 Formulējums:</w:t>
            </w:r>
          </w:p>
          <w:p w14:paraId="78017B63" w14:textId="77777777" w:rsidR="009D2C6F" w:rsidRPr="004A5C70" w:rsidRDefault="009D2C6F" w:rsidP="008C258A">
            <w:pPr>
              <w:spacing w:after="27"/>
              <w:jc w:val="both"/>
              <w:rPr>
                <w:b/>
                <w:sz w:val="18"/>
                <w:szCs w:val="18"/>
              </w:rPr>
            </w:pPr>
            <w:r w:rsidRPr="004A5C70">
              <w:rPr>
                <w:b/>
                <w:sz w:val="18"/>
                <w:szCs w:val="18"/>
                <w:lang w:eastAsia="en-GB"/>
              </w:rPr>
              <w:t xml:space="preserve">3.4.1. </w:t>
            </w:r>
            <w:r w:rsidR="00CD5C8A" w:rsidRPr="004A5C70">
              <w:rPr>
                <w:b/>
                <w:sz w:val="18"/>
                <w:szCs w:val="18"/>
                <w:lang w:eastAsia="en-GB"/>
              </w:rPr>
              <w:t xml:space="preserve">paaugstināt </w:t>
            </w:r>
            <w:r w:rsidR="0051155A" w:rsidRPr="004A5C70">
              <w:rPr>
                <w:b/>
                <w:sz w:val="18"/>
                <w:szCs w:val="18"/>
                <w:lang w:eastAsia="en-GB"/>
              </w:rPr>
              <w:t>tiesu un tiesībsargājošo institūciju personāla kompetenc</w:t>
            </w:r>
            <w:r w:rsidR="00CD5C8A" w:rsidRPr="004A5C70">
              <w:rPr>
                <w:b/>
                <w:sz w:val="18"/>
                <w:szCs w:val="18"/>
                <w:lang w:eastAsia="en-GB"/>
              </w:rPr>
              <w:t xml:space="preserve">i </w:t>
            </w:r>
            <w:r w:rsidR="0051155A" w:rsidRPr="004A5C70">
              <w:rPr>
                <w:b/>
                <w:sz w:val="18"/>
                <w:szCs w:val="18"/>
                <w:lang w:eastAsia="en-GB"/>
              </w:rPr>
              <w:t>komercdarbības vides uzlabošanas sekmēšanai</w:t>
            </w:r>
          </w:p>
        </w:tc>
        <w:tc>
          <w:tcPr>
            <w:tcW w:w="2722" w:type="dxa"/>
          </w:tcPr>
          <w:p w14:paraId="6BE78B75" w14:textId="77777777" w:rsidR="009D2C6F" w:rsidRPr="004A5C70" w:rsidRDefault="009D2C6F" w:rsidP="008C258A">
            <w:pPr>
              <w:jc w:val="both"/>
              <w:rPr>
                <w:sz w:val="18"/>
                <w:szCs w:val="18"/>
              </w:rPr>
            </w:pPr>
            <w:r w:rsidRPr="004A5C70">
              <w:rPr>
                <w:i/>
                <w:sz w:val="18"/>
                <w:szCs w:val="18"/>
              </w:rPr>
              <w:t>Nosaukums un mērvienība</w:t>
            </w:r>
            <w:r w:rsidRPr="004A5C70">
              <w:rPr>
                <w:sz w:val="18"/>
                <w:szCs w:val="18"/>
              </w:rPr>
              <w:t>:</w:t>
            </w:r>
          </w:p>
          <w:p w14:paraId="2CDE0982" w14:textId="77777777" w:rsidR="009D2C6F" w:rsidRPr="004A5C70" w:rsidRDefault="009D2C6F" w:rsidP="008C258A">
            <w:pPr>
              <w:jc w:val="both"/>
              <w:rPr>
                <w:b/>
                <w:sz w:val="18"/>
                <w:szCs w:val="18"/>
              </w:rPr>
            </w:pPr>
          </w:p>
          <w:p w14:paraId="5D1F7965" w14:textId="77777777" w:rsidR="009D2C6F" w:rsidRPr="004A5C70" w:rsidRDefault="009D2C6F" w:rsidP="008C258A">
            <w:pPr>
              <w:jc w:val="both"/>
              <w:rPr>
                <w:b/>
                <w:sz w:val="18"/>
                <w:szCs w:val="18"/>
              </w:rPr>
            </w:pPr>
            <w:r w:rsidRPr="004A5C70">
              <w:rPr>
                <w:b/>
                <w:sz w:val="18"/>
                <w:szCs w:val="18"/>
              </w:rPr>
              <w:t>r.3.4.1.a</w:t>
            </w:r>
          </w:p>
          <w:p w14:paraId="1B81083C" w14:textId="77777777" w:rsidR="00914A8B" w:rsidRPr="004A5C70" w:rsidRDefault="00914A8B" w:rsidP="008C258A">
            <w:pPr>
              <w:jc w:val="both"/>
              <w:rPr>
                <w:b/>
                <w:sz w:val="18"/>
                <w:szCs w:val="18"/>
              </w:rPr>
            </w:pPr>
            <w:r w:rsidRPr="004A5C70">
              <w:rPr>
                <w:b/>
                <w:sz w:val="18"/>
                <w:szCs w:val="18"/>
              </w:rPr>
              <w:t>Tiesu, tiesībsargājošo institūciju un tiesu sistēmai piederīgo personu skaits, kuras paaugstinājušas profesionālo kompetenci komercdarbības vides uzlabošanas sekmēšanai</w:t>
            </w:r>
          </w:p>
          <w:p w14:paraId="4025B8E5" w14:textId="77777777" w:rsidR="008849B2" w:rsidRPr="004A5C70" w:rsidRDefault="00914A8B" w:rsidP="008C258A">
            <w:pPr>
              <w:jc w:val="both"/>
              <w:rPr>
                <w:b/>
                <w:sz w:val="18"/>
                <w:szCs w:val="18"/>
              </w:rPr>
            </w:pPr>
            <w:r w:rsidRPr="004A5C70">
              <w:rPr>
                <w:b/>
                <w:sz w:val="18"/>
                <w:szCs w:val="18"/>
              </w:rPr>
              <w:t xml:space="preserve"> </w:t>
            </w:r>
          </w:p>
          <w:p w14:paraId="0232ED88" w14:textId="77777777" w:rsidR="008849B2" w:rsidRPr="004A5C70" w:rsidRDefault="008849B2" w:rsidP="008C258A">
            <w:pPr>
              <w:jc w:val="both"/>
              <w:rPr>
                <w:i/>
                <w:sz w:val="18"/>
                <w:szCs w:val="18"/>
              </w:rPr>
            </w:pPr>
          </w:p>
          <w:p w14:paraId="76CF20B1" w14:textId="641A5DB3" w:rsidR="00F14667" w:rsidRPr="004A5C70" w:rsidRDefault="008849B2" w:rsidP="008C258A">
            <w:pPr>
              <w:jc w:val="both"/>
              <w:rPr>
                <w:sz w:val="18"/>
                <w:szCs w:val="18"/>
              </w:rPr>
            </w:pPr>
            <w:r w:rsidRPr="004A5C70">
              <w:rPr>
                <w:i/>
                <w:sz w:val="18"/>
                <w:szCs w:val="18"/>
              </w:rPr>
              <w:t>Definīcija</w:t>
            </w:r>
            <w:r w:rsidRPr="004A5C70">
              <w:rPr>
                <w:rStyle w:val="FootnoteReference"/>
                <w:i/>
                <w:sz w:val="18"/>
                <w:szCs w:val="18"/>
              </w:rPr>
              <w:footnoteReference w:id="2"/>
            </w:r>
            <w:r w:rsidRPr="004A5C70">
              <w:rPr>
                <w:i/>
                <w:sz w:val="18"/>
                <w:szCs w:val="18"/>
              </w:rPr>
              <w:t>:</w:t>
            </w:r>
            <w:r w:rsidRPr="004A5C70">
              <w:rPr>
                <w:sz w:val="18"/>
                <w:szCs w:val="18"/>
              </w:rPr>
              <w:t xml:space="preserve"> </w:t>
            </w:r>
            <w:r w:rsidR="00641F44" w:rsidRPr="004A5C70">
              <w:rPr>
                <w:sz w:val="18"/>
                <w:szCs w:val="18"/>
              </w:rPr>
              <w:t xml:space="preserve">Rādītājs raksturo </w:t>
            </w:r>
            <w:r w:rsidR="00C37196" w:rsidRPr="004A5C70">
              <w:rPr>
                <w:sz w:val="18"/>
                <w:szCs w:val="18"/>
              </w:rPr>
              <w:t>t</w:t>
            </w:r>
            <w:r w:rsidRPr="004A5C70">
              <w:rPr>
                <w:sz w:val="18"/>
                <w:szCs w:val="18"/>
              </w:rPr>
              <w:t>iesu varas, tiesībaizsardzības iest</w:t>
            </w:r>
            <w:r w:rsidR="00C37196" w:rsidRPr="004A5C70">
              <w:rPr>
                <w:sz w:val="18"/>
                <w:szCs w:val="18"/>
              </w:rPr>
              <w:t>āžu un tiesu sistēmai piederīgām personām</w:t>
            </w:r>
            <w:r w:rsidRPr="004A5C70">
              <w:rPr>
                <w:sz w:val="18"/>
                <w:szCs w:val="18"/>
              </w:rPr>
              <w:t xml:space="preserve"> (tiesneši, tiesu darbinieki, zvērināti notāri, zvērināti advokāti, zvērināti tiesu izpildītāji, prokurori, izmeklētāji, tiesu eksperti, mediatori</w:t>
            </w:r>
            <w:r w:rsidR="00C37196" w:rsidRPr="004A5C70">
              <w:rPr>
                <w:sz w:val="18"/>
                <w:szCs w:val="18"/>
              </w:rPr>
              <w:t>, šķīrējtiesneši,</w:t>
            </w:r>
            <w:r w:rsidR="007E1076" w:rsidRPr="004A5C70">
              <w:rPr>
                <w:sz w:val="18"/>
                <w:szCs w:val="18"/>
              </w:rPr>
              <w:t xml:space="preserve"> </w:t>
            </w:r>
            <w:r w:rsidR="00C37196" w:rsidRPr="004A5C70">
              <w:rPr>
                <w:sz w:val="18"/>
                <w:szCs w:val="18"/>
              </w:rPr>
              <w:t>maksātnespējas</w:t>
            </w:r>
            <w:r w:rsidR="0099413E" w:rsidRPr="004A5C70">
              <w:rPr>
                <w:sz w:val="18"/>
                <w:szCs w:val="18"/>
              </w:rPr>
              <w:t xml:space="preserve"> administratori, </w:t>
            </w:r>
            <w:r w:rsidR="00C37196" w:rsidRPr="004A5C70">
              <w:rPr>
                <w:sz w:val="18"/>
                <w:szCs w:val="18"/>
              </w:rPr>
              <w:t>politikas veidotāji</w:t>
            </w:r>
            <w:r w:rsidR="0099413E" w:rsidRPr="004A5C70">
              <w:rPr>
                <w:sz w:val="18"/>
                <w:szCs w:val="18"/>
              </w:rPr>
              <w:t xml:space="preserve"> un </w:t>
            </w:r>
            <w:r w:rsidR="00890C91" w:rsidRPr="004A5C70">
              <w:rPr>
                <w:sz w:val="18"/>
                <w:szCs w:val="18"/>
              </w:rPr>
              <w:t xml:space="preserve">politikas </w:t>
            </w:r>
            <w:r w:rsidR="0099413E" w:rsidRPr="004A5C70">
              <w:rPr>
                <w:sz w:val="18"/>
                <w:szCs w:val="18"/>
              </w:rPr>
              <w:t>ieviesēji</w:t>
            </w:r>
            <w:r w:rsidR="00954B1C" w:rsidRPr="004A5C70">
              <w:rPr>
                <w:sz w:val="18"/>
                <w:szCs w:val="18"/>
              </w:rPr>
              <w:t>, kā arī sociālo partneru un nevalstisko organizāciju pārstāvji</w:t>
            </w:r>
            <w:r w:rsidR="00D762E1" w:rsidRPr="004A5C70">
              <w:rPr>
                <w:sz w:val="18"/>
                <w:szCs w:val="18"/>
              </w:rPr>
              <w:t>,</w:t>
            </w:r>
            <w:r w:rsidR="00D762E1" w:rsidRPr="004A5C70">
              <w:t xml:space="preserve"> </w:t>
            </w:r>
            <w:r w:rsidR="00D762E1" w:rsidRPr="004A5C70">
              <w:rPr>
                <w:sz w:val="18"/>
                <w:szCs w:val="18"/>
              </w:rPr>
              <w:t>kuru darbība ir saistīta ar uzņēmējdarbības vides uzlabošanas jautājumiem</w:t>
            </w:r>
            <w:r w:rsidR="006129EF" w:rsidRPr="004A5C70">
              <w:rPr>
                <w:sz w:val="18"/>
                <w:szCs w:val="18"/>
              </w:rPr>
              <w:t xml:space="preserve">) </w:t>
            </w:r>
            <w:r w:rsidR="00C37196" w:rsidRPr="004A5C70">
              <w:rPr>
                <w:sz w:val="18"/>
                <w:szCs w:val="18"/>
              </w:rPr>
              <w:t>izsniegto sertifikātu</w:t>
            </w:r>
            <w:r w:rsidR="003877BB" w:rsidRPr="004A5C70">
              <w:rPr>
                <w:sz w:val="18"/>
                <w:szCs w:val="18"/>
              </w:rPr>
              <w:t xml:space="preserve"> un apliecinājumu</w:t>
            </w:r>
            <w:r w:rsidR="00C37196" w:rsidRPr="004A5C70">
              <w:rPr>
                <w:sz w:val="18"/>
                <w:szCs w:val="18"/>
              </w:rPr>
              <w:t xml:space="preserve"> par kompetences paaugstināšanu skaitu (nevis unikālo </w:t>
            </w:r>
            <w:r w:rsidR="000C6AA2" w:rsidRPr="004A5C70">
              <w:rPr>
                <w:sz w:val="18"/>
                <w:szCs w:val="18"/>
              </w:rPr>
              <w:t>personu</w:t>
            </w:r>
            <w:r w:rsidR="00C37196" w:rsidRPr="004A5C70">
              <w:rPr>
                <w:sz w:val="18"/>
                <w:szCs w:val="18"/>
              </w:rPr>
              <w:t xml:space="preserve"> skaitu).</w:t>
            </w:r>
          </w:p>
          <w:p w14:paraId="03261F8B" w14:textId="77777777" w:rsidR="00905C15" w:rsidRPr="004A5C70" w:rsidRDefault="00905C15" w:rsidP="008C258A">
            <w:pPr>
              <w:jc w:val="both"/>
              <w:rPr>
                <w:i/>
                <w:sz w:val="18"/>
                <w:szCs w:val="18"/>
              </w:rPr>
            </w:pPr>
          </w:p>
          <w:p w14:paraId="6894B7A3" w14:textId="77777777" w:rsidR="008C258A" w:rsidRPr="004A5C70" w:rsidRDefault="008849B2" w:rsidP="008C258A">
            <w:pPr>
              <w:jc w:val="both"/>
              <w:rPr>
                <w:b/>
                <w:sz w:val="18"/>
                <w:szCs w:val="18"/>
              </w:rPr>
            </w:pPr>
            <w:r w:rsidRPr="004A5C70">
              <w:rPr>
                <w:i/>
                <w:sz w:val="18"/>
                <w:szCs w:val="18"/>
              </w:rPr>
              <w:t>Bāzes vērtība un tās noteikšanas gads</w:t>
            </w:r>
            <w:r w:rsidRPr="004A5C70">
              <w:rPr>
                <w:sz w:val="18"/>
                <w:szCs w:val="18"/>
              </w:rPr>
              <w:t xml:space="preserve">: </w:t>
            </w:r>
            <w:r w:rsidR="008C258A" w:rsidRPr="004A5C70">
              <w:rPr>
                <w:sz w:val="18"/>
                <w:szCs w:val="18"/>
              </w:rPr>
              <w:t>614 (2013)</w:t>
            </w:r>
          </w:p>
          <w:p w14:paraId="2C55E580" w14:textId="77777777" w:rsidR="008C258A" w:rsidRPr="004A5C70" w:rsidRDefault="008C258A" w:rsidP="008C258A">
            <w:pPr>
              <w:jc w:val="both"/>
              <w:rPr>
                <w:b/>
                <w:sz w:val="18"/>
                <w:szCs w:val="18"/>
              </w:rPr>
            </w:pPr>
          </w:p>
          <w:p w14:paraId="76521E96" w14:textId="1A5A8F32" w:rsidR="008849B2" w:rsidRPr="004A5C70" w:rsidRDefault="008C258A" w:rsidP="008C258A">
            <w:pPr>
              <w:jc w:val="both"/>
              <w:rPr>
                <w:b/>
                <w:sz w:val="18"/>
                <w:szCs w:val="18"/>
              </w:rPr>
            </w:pPr>
            <w:r w:rsidRPr="004A5C70">
              <w:rPr>
                <w:sz w:val="18"/>
                <w:szCs w:val="18"/>
              </w:rPr>
              <w:t xml:space="preserve">Bāzes vērtības dati ir balstīti uz 2013.gadā EK īpašo programmu  ietvaros īstenoto projektu </w:t>
            </w:r>
            <w:r w:rsidRPr="004A5C70">
              <w:rPr>
                <w:sz w:val="18"/>
                <w:szCs w:val="18"/>
              </w:rPr>
              <w:lastRenderedPageBreak/>
              <w:t xml:space="preserve">aktivitātēm, kas ir līdzīgas, bet ne identiskas, plānotā aktivitāšu veida (apmācības) saturam un intensitātei (laika un investīciju apjoma ziņā). Bāzes vērtībā norādīts </w:t>
            </w:r>
            <w:r w:rsidR="000C6AA2" w:rsidRPr="004A5C70">
              <w:rPr>
                <w:sz w:val="18"/>
                <w:szCs w:val="18"/>
              </w:rPr>
              <w:t>personu</w:t>
            </w:r>
            <w:r w:rsidRPr="004A5C70">
              <w:rPr>
                <w:sz w:val="18"/>
                <w:szCs w:val="18"/>
              </w:rPr>
              <w:t xml:space="preserve"> skaits, kuri pabeiguši dalību minētajos projektos.</w:t>
            </w:r>
          </w:p>
          <w:p w14:paraId="476C5E72" w14:textId="77777777" w:rsidR="008849B2" w:rsidRPr="004A5C70" w:rsidRDefault="008849B2" w:rsidP="008C258A">
            <w:pPr>
              <w:jc w:val="both"/>
              <w:rPr>
                <w:b/>
                <w:sz w:val="18"/>
                <w:szCs w:val="18"/>
              </w:rPr>
            </w:pPr>
          </w:p>
          <w:p w14:paraId="2370224B" w14:textId="77777777" w:rsidR="008849B2" w:rsidRPr="004A5C70" w:rsidRDefault="008849B2" w:rsidP="008C258A">
            <w:pPr>
              <w:jc w:val="both"/>
              <w:rPr>
                <w:sz w:val="18"/>
                <w:szCs w:val="18"/>
              </w:rPr>
            </w:pPr>
            <w:r w:rsidRPr="004A5C70">
              <w:rPr>
                <w:i/>
                <w:sz w:val="18"/>
                <w:szCs w:val="18"/>
              </w:rPr>
              <w:t>Datu avots</w:t>
            </w:r>
            <w:r w:rsidRPr="004A5C70">
              <w:rPr>
                <w:b/>
                <w:sz w:val="18"/>
                <w:szCs w:val="18"/>
              </w:rPr>
              <w:t xml:space="preserve">: </w:t>
            </w:r>
            <w:r w:rsidR="0010713C" w:rsidRPr="004A5C70">
              <w:rPr>
                <w:sz w:val="18"/>
                <w:szCs w:val="18"/>
              </w:rPr>
              <w:t xml:space="preserve">Projekta uzraudzības dati </w:t>
            </w:r>
          </w:p>
          <w:p w14:paraId="1FE059C9" w14:textId="77777777" w:rsidR="0010713C" w:rsidRPr="004A5C70" w:rsidRDefault="0010713C" w:rsidP="008C258A">
            <w:pPr>
              <w:jc w:val="both"/>
              <w:rPr>
                <w:sz w:val="18"/>
                <w:szCs w:val="18"/>
              </w:rPr>
            </w:pPr>
          </w:p>
          <w:p w14:paraId="7CE132E2" w14:textId="77777777" w:rsidR="00BC4DD3" w:rsidRPr="004A5C70" w:rsidRDefault="00BC4DD3" w:rsidP="008C258A">
            <w:pPr>
              <w:jc w:val="both"/>
              <w:rPr>
                <w:sz w:val="18"/>
                <w:szCs w:val="18"/>
              </w:rPr>
            </w:pPr>
            <w:r w:rsidRPr="004A5C70">
              <w:rPr>
                <w:i/>
                <w:sz w:val="18"/>
                <w:szCs w:val="18"/>
              </w:rPr>
              <w:t>Apkopošanas biežums un ieguves metodoloģija</w:t>
            </w:r>
            <w:r w:rsidRPr="004A5C70">
              <w:rPr>
                <w:rStyle w:val="FootnoteReference"/>
                <w:i/>
                <w:sz w:val="18"/>
                <w:szCs w:val="18"/>
              </w:rPr>
              <w:footnoteReference w:id="3"/>
            </w:r>
            <w:r w:rsidRPr="004A5C70">
              <w:rPr>
                <w:i/>
                <w:sz w:val="18"/>
                <w:szCs w:val="18"/>
              </w:rPr>
              <w:t>:</w:t>
            </w:r>
            <w:r w:rsidR="00773EBF" w:rsidRPr="004A5C70">
              <w:rPr>
                <w:i/>
                <w:sz w:val="18"/>
                <w:szCs w:val="18"/>
              </w:rPr>
              <w:t xml:space="preserve"> </w:t>
            </w:r>
            <w:r w:rsidR="0010713C" w:rsidRPr="004A5C70">
              <w:rPr>
                <w:sz w:val="18"/>
                <w:szCs w:val="18"/>
              </w:rPr>
              <w:t>Projekta progresa pārskati ar datu apkopošanas biežumu reizi gadā</w:t>
            </w:r>
            <w:r w:rsidR="00862CCE" w:rsidRPr="004A5C70">
              <w:rPr>
                <w:sz w:val="18"/>
                <w:szCs w:val="18"/>
              </w:rPr>
              <w:t>.</w:t>
            </w:r>
          </w:p>
          <w:p w14:paraId="6669F126" w14:textId="77777777" w:rsidR="008849B2" w:rsidRPr="004A5C70" w:rsidRDefault="008849B2" w:rsidP="008C258A">
            <w:pPr>
              <w:jc w:val="both"/>
              <w:rPr>
                <w:sz w:val="18"/>
                <w:szCs w:val="18"/>
              </w:rPr>
            </w:pPr>
          </w:p>
          <w:p w14:paraId="0955321F" w14:textId="04FBB6AA" w:rsidR="008849B2" w:rsidRPr="004A5C70" w:rsidRDefault="00BC4DD3" w:rsidP="008C258A">
            <w:pPr>
              <w:jc w:val="both"/>
              <w:rPr>
                <w:sz w:val="18"/>
                <w:szCs w:val="18"/>
              </w:rPr>
            </w:pPr>
            <w:r w:rsidRPr="004A5C70">
              <w:rPr>
                <w:i/>
                <w:sz w:val="18"/>
                <w:szCs w:val="18"/>
              </w:rPr>
              <w:t>Mērķis 2023</w:t>
            </w:r>
            <w:r w:rsidRPr="004A5C70">
              <w:rPr>
                <w:sz w:val="18"/>
                <w:szCs w:val="18"/>
              </w:rPr>
              <w:t xml:space="preserve">: </w:t>
            </w:r>
            <w:r w:rsidR="002F3F56" w:rsidRPr="004A5C70">
              <w:rPr>
                <w:sz w:val="18"/>
                <w:szCs w:val="18"/>
              </w:rPr>
              <w:t>2427</w:t>
            </w:r>
            <w:r w:rsidR="00EA5F54" w:rsidRPr="004A5C70">
              <w:rPr>
                <w:sz w:val="18"/>
                <w:szCs w:val="18"/>
              </w:rPr>
              <w:t xml:space="preserve"> </w:t>
            </w:r>
            <w:r w:rsidR="00773EBF" w:rsidRPr="004A5C70">
              <w:rPr>
                <w:sz w:val="18"/>
                <w:szCs w:val="18"/>
              </w:rPr>
              <w:t>sertifikāti</w:t>
            </w:r>
            <w:r w:rsidR="00EA5F54" w:rsidRPr="004A5C70">
              <w:rPr>
                <w:sz w:val="18"/>
                <w:szCs w:val="18"/>
              </w:rPr>
              <w:t xml:space="preserve"> un apliecinājumi</w:t>
            </w:r>
          </w:p>
          <w:p w14:paraId="247097A5" w14:textId="77777777" w:rsidR="008849B2" w:rsidRPr="004A5C70" w:rsidRDefault="008849B2" w:rsidP="008C258A">
            <w:pPr>
              <w:jc w:val="both"/>
              <w:rPr>
                <w:sz w:val="18"/>
                <w:szCs w:val="18"/>
              </w:rPr>
            </w:pPr>
          </w:p>
          <w:p w14:paraId="0E765A41" w14:textId="77777777" w:rsidR="008849B2" w:rsidRPr="004A5C70" w:rsidRDefault="00BC4DD3" w:rsidP="008C258A">
            <w:pPr>
              <w:jc w:val="both"/>
              <w:rPr>
                <w:sz w:val="18"/>
                <w:szCs w:val="18"/>
              </w:rPr>
            </w:pPr>
            <w:r w:rsidRPr="004A5C70">
              <w:rPr>
                <w:i/>
                <w:sz w:val="18"/>
                <w:szCs w:val="18"/>
              </w:rPr>
              <w:t>Mērķa vērtības noteikšanas principi/metodoloģija</w:t>
            </w:r>
            <w:r w:rsidRPr="004A5C70">
              <w:rPr>
                <w:sz w:val="18"/>
                <w:szCs w:val="18"/>
              </w:rPr>
              <w:t>:</w:t>
            </w:r>
          </w:p>
          <w:p w14:paraId="6D7123C3" w14:textId="77777777" w:rsidR="00F72BD8" w:rsidRPr="004A5C70" w:rsidRDefault="00F72BD8" w:rsidP="008C258A">
            <w:pPr>
              <w:jc w:val="both"/>
              <w:rPr>
                <w:strike/>
                <w:sz w:val="18"/>
                <w:szCs w:val="18"/>
              </w:rPr>
            </w:pPr>
          </w:p>
          <w:p w14:paraId="2875D9DD" w14:textId="2A19B1D9" w:rsidR="00B52936" w:rsidRPr="004A5C70" w:rsidRDefault="00B52936" w:rsidP="008C258A">
            <w:pPr>
              <w:jc w:val="both"/>
              <w:rPr>
                <w:sz w:val="18"/>
                <w:szCs w:val="18"/>
              </w:rPr>
            </w:pPr>
            <w:r w:rsidRPr="004A5C70">
              <w:rPr>
                <w:sz w:val="18"/>
                <w:szCs w:val="18"/>
              </w:rPr>
              <w:t xml:space="preserve">Mērķa vērtība noteikta, </w:t>
            </w:r>
            <w:r w:rsidR="00837C2B" w:rsidRPr="004A5C70">
              <w:rPr>
                <w:sz w:val="18"/>
                <w:szCs w:val="18"/>
              </w:rPr>
              <w:t xml:space="preserve">veicot indikatīvu aprēķinu </w:t>
            </w:r>
            <w:r w:rsidRPr="004A5C70">
              <w:rPr>
                <w:sz w:val="18"/>
                <w:szCs w:val="18"/>
              </w:rPr>
              <w:t>par tiesu varas, tiesībaizsardzības iestāžu un tiesu sistēmai piederīgo personu skaitu, kuras</w:t>
            </w:r>
            <w:r w:rsidR="00AA1885" w:rsidRPr="004A5C70">
              <w:rPr>
                <w:sz w:val="18"/>
                <w:szCs w:val="18"/>
              </w:rPr>
              <w:t xml:space="preserve"> potenciāli varētu piedalīties</w:t>
            </w:r>
            <w:r w:rsidR="00837C2B" w:rsidRPr="004A5C70">
              <w:rPr>
                <w:sz w:val="18"/>
                <w:szCs w:val="18"/>
              </w:rPr>
              <w:t xml:space="preserve"> profesionālās kompetences paaugstināšanas apmācībās, par to </w:t>
            </w:r>
            <w:r w:rsidR="00F72BD8" w:rsidRPr="004A5C70">
              <w:rPr>
                <w:sz w:val="18"/>
                <w:szCs w:val="18"/>
              </w:rPr>
              <w:t>saņemot attiecīgu sertifikātu</w:t>
            </w:r>
            <w:r w:rsidR="00EA5F54" w:rsidRPr="004A5C70">
              <w:rPr>
                <w:sz w:val="18"/>
                <w:szCs w:val="18"/>
              </w:rPr>
              <w:t xml:space="preserve"> vai apliecinājumu</w:t>
            </w:r>
            <w:r w:rsidR="00F72BD8" w:rsidRPr="004A5C70">
              <w:rPr>
                <w:sz w:val="18"/>
                <w:szCs w:val="18"/>
              </w:rPr>
              <w:t>.</w:t>
            </w:r>
          </w:p>
          <w:p w14:paraId="4C33CE06" w14:textId="326CB6EC" w:rsidR="00837C2B" w:rsidRPr="004A5C70" w:rsidRDefault="00837C2B" w:rsidP="008C258A">
            <w:pPr>
              <w:jc w:val="both"/>
              <w:rPr>
                <w:sz w:val="18"/>
                <w:szCs w:val="18"/>
              </w:rPr>
            </w:pPr>
            <w:r w:rsidRPr="004A5C70">
              <w:rPr>
                <w:sz w:val="18"/>
                <w:szCs w:val="18"/>
              </w:rPr>
              <w:t>Aprēķins veikts, pieņemot, ka aptuveni 20% no kopējā apmācības apmeklējušo personu skaita būs piedalījušies profesionālās kompetences paaugstināšanas specifiskajās apmācībās un sekmīgi nokārtojuši gala pārbaudījumu mācību noslēgumā (ja tāds paredzēts), par to saņemot attiecīgu sertifikātu</w:t>
            </w:r>
            <w:r w:rsidR="00EA5F54" w:rsidRPr="004A5C70">
              <w:rPr>
                <w:sz w:val="18"/>
                <w:szCs w:val="18"/>
              </w:rPr>
              <w:t xml:space="preserve"> vai apliecinājumu</w:t>
            </w:r>
            <w:r w:rsidRPr="004A5C70">
              <w:rPr>
                <w:sz w:val="18"/>
                <w:szCs w:val="18"/>
              </w:rPr>
              <w:t>.</w:t>
            </w:r>
          </w:p>
          <w:p w14:paraId="6E910723" w14:textId="2C96F07A" w:rsidR="00C77E73" w:rsidRPr="004A5C70" w:rsidRDefault="002F3F56" w:rsidP="008C258A">
            <w:pPr>
              <w:jc w:val="both"/>
              <w:rPr>
                <w:sz w:val="18"/>
                <w:szCs w:val="18"/>
              </w:rPr>
            </w:pPr>
            <w:r w:rsidRPr="004A5C70">
              <w:rPr>
                <w:sz w:val="18"/>
                <w:szCs w:val="18"/>
              </w:rPr>
              <w:t xml:space="preserve"> Saņemot apstiprinājumu par snieguma ietvara rezerves </w:t>
            </w:r>
            <w:r w:rsidRPr="004A5C70">
              <w:rPr>
                <w:sz w:val="18"/>
                <w:szCs w:val="18"/>
              </w:rPr>
              <w:lastRenderedPageBreak/>
              <w:t>finansējuma pieejamību</w:t>
            </w:r>
            <w:r w:rsidR="007E1076" w:rsidRPr="004A5C70">
              <w:rPr>
                <w:sz w:val="18"/>
                <w:szCs w:val="18"/>
              </w:rPr>
              <w:t>,</w:t>
            </w:r>
            <w:r w:rsidRPr="004A5C70">
              <w:rPr>
                <w:sz w:val="18"/>
                <w:szCs w:val="18"/>
              </w:rPr>
              <w:t xml:space="preserve"> rezultāta </w:t>
            </w:r>
            <w:r w:rsidR="00EB34AA" w:rsidRPr="004A5C70">
              <w:rPr>
                <w:sz w:val="18"/>
                <w:szCs w:val="18"/>
              </w:rPr>
              <w:t xml:space="preserve">rādītāja </w:t>
            </w:r>
            <w:r w:rsidRPr="004A5C70">
              <w:rPr>
                <w:sz w:val="18"/>
                <w:szCs w:val="18"/>
              </w:rPr>
              <w:t>mērķa vērtība tiek palielināta proporcionāli iznākuma rādītāja vērtībai.</w:t>
            </w:r>
          </w:p>
          <w:p w14:paraId="3F871FB5" w14:textId="3DD83420" w:rsidR="00C77E73" w:rsidRPr="004A5C70" w:rsidRDefault="00C77E73" w:rsidP="008C258A">
            <w:pPr>
              <w:jc w:val="both"/>
              <w:rPr>
                <w:sz w:val="18"/>
                <w:szCs w:val="18"/>
              </w:rPr>
            </w:pPr>
          </w:p>
          <w:p w14:paraId="2A549382" w14:textId="31A57DDE" w:rsidR="00C77E73" w:rsidRPr="004A5C70" w:rsidRDefault="00C77E73" w:rsidP="008C258A">
            <w:pPr>
              <w:jc w:val="both"/>
              <w:rPr>
                <w:sz w:val="18"/>
                <w:szCs w:val="18"/>
              </w:rPr>
            </w:pPr>
            <w:r w:rsidRPr="004A5C70">
              <w:rPr>
                <w:sz w:val="18"/>
                <w:szCs w:val="18"/>
              </w:rPr>
              <w:t>Darbības līmenis:</w:t>
            </w:r>
            <w:r w:rsidR="00572584" w:rsidRPr="004A5C70">
              <w:rPr>
                <w:sz w:val="18"/>
                <w:szCs w:val="18"/>
              </w:rPr>
              <w:t xml:space="preserve"> projekts</w:t>
            </w:r>
          </w:p>
          <w:p w14:paraId="7A7394BE" w14:textId="77777777" w:rsidR="00BC4DD3" w:rsidRPr="004A5C70" w:rsidRDefault="00BC4DD3" w:rsidP="008C258A">
            <w:pPr>
              <w:jc w:val="both"/>
              <w:rPr>
                <w:b/>
                <w:sz w:val="18"/>
                <w:szCs w:val="18"/>
              </w:rPr>
            </w:pPr>
          </w:p>
          <w:p w14:paraId="3054F23A" w14:textId="77777777" w:rsidR="00F01874" w:rsidRPr="004A5C70" w:rsidRDefault="00F01874" w:rsidP="00F01874">
            <w:pPr>
              <w:jc w:val="both"/>
              <w:rPr>
                <w:b/>
                <w:sz w:val="18"/>
                <w:szCs w:val="18"/>
              </w:rPr>
            </w:pPr>
            <w:r w:rsidRPr="004A5C70">
              <w:rPr>
                <w:b/>
                <w:bCs/>
                <w:color w:val="000000"/>
                <w:sz w:val="16"/>
                <w:szCs w:val="16"/>
              </w:rPr>
              <w:t>Darbības, kas liek uzskatīt mērķa vērtību par izpildītu:</w:t>
            </w:r>
            <w:r w:rsidRPr="004A5C70">
              <w:rPr>
                <w:color w:val="000000"/>
                <w:sz w:val="18"/>
                <w:szCs w:val="18"/>
                <w:shd w:val="clear" w:color="auto" w:fill="FFFFFF"/>
              </w:rPr>
              <w:t xml:space="preserve"> persona pēc kompetences paaugstināšanas specifiskās apmācībās saņēmusi sertifikātu.</w:t>
            </w:r>
          </w:p>
          <w:p w14:paraId="0464FFBD" w14:textId="77777777" w:rsidR="009D2C6F" w:rsidRPr="004A5C70" w:rsidRDefault="009D2C6F" w:rsidP="006A5AFB">
            <w:pPr>
              <w:jc w:val="both"/>
              <w:rPr>
                <w:b/>
                <w:sz w:val="18"/>
                <w:szCs w:val="18"/>
              </w:rPr>
            </w:pPr>
          </w:p>
          <w:p w14:paraId="31B39E1F" w14:textId="77777777" w:rsidR="0077001A" w:rsidRPr="004A5C70" w:rsidRDefault="0077001A" w:rsidP="006A5AFB">
            <w:pPr>
              <w:jc w:val="both"/>
              <w:rPr>
                <w:b/>
                <w:sz w:val="18"/>
                <w:szCs w:val="18"/>
              </w:rPr>
            </w:pPr>
          </w:p>
          <w:p w14:paraId="52C5E866" w14:textId="77777777" w:rsidR="0077001A" w:rsidRPr="004A5C70" w:rsidRDefault="0077001A" w:rsidP="006A5AFB">
            <w:pPr>
              <w:jc w:val="both"/>
              <w:rPr>
                <w:b/>
                <w:sz w:val="18"/>
                <w:szCs w:val="18"/>
              </w:rPr>
            </w:pPr>
          </w:p>
          <w:p w14:paraId="0D71626E" w14:textId="77777777" w:rsidR="0077001A" w:rsidRPr="004A5C70" w:rsidRDefault="0077001A" w:rsidP="006A5AFB">
            <w:pPr>
              <w:jc w:val="both"/>
              <w:rPr>
                <w:b/>
                <w:sz w:val="18"/>
                <w:szCs w:val="18"/>
              </w:rPr>
            </w:pPr>
          </w:p>
          <w:p w14:paraId="51D9D37A" w14:textId="77777777" w:rsidR="0077001A" w:rsidRPr="004A5C70" w:rsidRDefault="0077001A" w:rsidP="006A5AFB">
            <w:pPr>
              <w:jc w:val="both"/>
              <w:rPr>
                <w:b/>
                <w:sz w:val="18"/>
                <w:szCs w:val="18"/>
              </w:rPr>
            </w:pPr>
          </w:p>
          <w:p w14:paraId="2C92CE08" w14:textId="2C12AF25" w:rsidR="0077001A" w:rsidRPr="004A5C70" w:rsidRDefault="0077001A" w:rsidP="006A5AFB">
            <w:pPr>
              <w:jc w:val="both"/>
              <w:rPr>
                <w:b/>
                <w:sz w:val="28"/>
                <w:szCs w:val="28"/>
              </w:rPr>
            </w:pPr>
          </w:p>
        </w:tc>
        <w:tc>
          <w:tcPr>
            <w:tcW w:w="3657" w:type="dxa"/>
          </w:tcPr>
          <w:p w14:paraId="16F6D32A" w14:textId="77777777" w:rsidR="009D2C6F" w:rsidRPr="004A5C70" w:rsidRDefault="009D2C6F" w:rsidP="008C258A">
            <w:pPr>
              <w:jc w:val="both"/>
              <w:rPr>
                <w:sz w:val="18"/>
                <w:szCs w:val="18"/>
              </w:rPr>
            </w:pPr>
          </w:p>
          <w:p w14:paraId="160FA5F6" w14:textId="77777777" w:rsidR="009D2C6F" w:rsidRPr="004A5C70" w:rsidRDefault="009D2C6F" w:rsidP="008C258A">
            <w:pPr>
              <w:tabs>
                <w:tab w:val="left" w:pos="665"/>
              </w:tabs>
              <w:jc w:val="both"/>
              <w:rPr>
                <w:b/>
                <w:sz w:val="18"/>
                <w:szCs w:val="18"/>
              </w:rPr>
            </w:pPr>
            <w:r w:rsidRPr="004A5C70">
              <w:rPr>
                <w:b/>
                <w:i/>
                <w:sz w:val="18"/>
                <w:szCs w:val="18"/>
              </w:rPr>
              <w:t>IR1</w:t>
            </w:r>
            <w:r w:rsidRPr="004A5C70">
              <w:rPr>
                <w:i/>
                <w:sz w:val="18"/>
                <w:szCs w:val="18"/>
              </w:rPr>
              <w:t xml:space="preserve"> nosaukums un mērvienība</w:t>
            </w:r>
            <w:r w:rsidRPr="004A5C70">
              <w:rPr>
                <w:sz w:val="18"/>
                <w:szCs w:val="18"/>
              </w:rPr>
              <w:t>:</w:t>
            </w:r>
            <w:r w:rsidR="00A6062F" w:rsidRPr="004A5C70">
              <w:rPr>
                <w:b/>
                <w:sz w:val="18"/>
                <w:szCs w:val="18"/>
              </w:rPr>
              <w:t xml:space="preserve"> i.3.4.1.a </w:t>
            </w:r>
            <w:r w:rsidR="00F2082E" w:rsidRPr="004A5C70">
              <w:rPr>
                <w:b/>
                <w:sz w:val="18"/>
                <w:szCs w:val="18"/>
              </w:rPr>
              <w:t>Tiesu varas, tiesībaizsardzības iestāžu un tiesu sistēma</w:t>
            </w:r>
            <w:r w:rsidR="00B440E3" w:rsidRPr="004A5C70">
              <w:rPr>
                <w:b/>
                <w:sz w:val="18"/>
                <w:szCs w:val="18"/>
              </w:rPr>
              <w:t>i piederīgo personu skaits, kuras</w:t>
            </w:r>
            <w:r w:rsidR="00F2082E" w:rsidRPr="004A5C70">
              <w:rPr>
                <w:b/>
                <w:sz w:val="18"/>
                <w:szCs w:val="18"/>
              </w:rPr>
              <w:t xml:space="preserve"> piedalījušies apmācībās komercdarbības vides uzlabošanas sekmēšanai</w:t>
            </w:r>
          </w:p>
          <w:p w14:paraId="715E8E94" w14:textId="77777777" w:rsidR="009D2C6F" w:rsidRPr="004A5C70" w:rsidRDefault="009D2C6F" w:rsidP="008C258A">
            <w:pPr>
              <w:jc w:val="both"/>
              <w:rPr>
                <w:i/>
                <w:sz w:val="18"/>
                <w:szCs w:val="18"/>
              </w:rPr>
            </w:pPr>
          </w:p>
          <w:p w14:paraId="5390B728" w14:textId="2C06A9F2" w:rsidR="009D2C6F" w:rsidRPr="004A5C70" w:rsidRDefault="009D2C6F" w:rsidP="00016805">
            <w:pPr>
              <w:jc w:val="both"/>
              <w:rPr>
                <w:sz w:val="18"/>
                <w:szCs w:val="18"/>
              </w:rPr>
            </w:pPr>
            <w:r w:rsidRPr="004A5C70">
              <w:rPr>
                <w:i/>
                <w:sz w:val="18"/>
                <w:szCs w:val="18"/>
              </w:rPr>
              <w:t>Definīcija:</w:t>
            </w:r>
            <w:r w:rsidRPr="004A5C70">
              <w:rPr>
                <w:b/>
                <w:i/>
                <w:sz w:val="18"/>
                <w:szCs w:val="18"/>
              </w:rPr>
              <w:t xml:space="preserve"> </w:t>
            </w:r>
            <w:r w:rsidR="00C632D5" w:rsidRPr="004A5C70">
              <w:rPr>
                <w:sz w:val="18"/>
                <w:szCs w:val="18"/>
              </w:rPr>
              <w:t>Rādītājs raksturo</w:t>
            </w:r>
            <w:r w:rsidR="004154CD" w:rsidRPr="004A5C70">
              <w:rPr>
                <w:sz w:val="18"/>
                <w:szCs w:val="18"/>
              </w:rPr>
              <w:t xml:space="preserve"> apmācību apmeklējumu skaitu (nevis unikālo apmācību  </w:t>
            </w:r>
            <w:r w:rsidR="000C6AA2" w:rsidRPr="004A5C70">
              <w:rPr>
                <w:sz w:val="18"/>
                <w:szCs w:val="18"/>
              </w:rPr>
              <w:t xml:space="preserve">personu </w:t>
            </w:r>
            <w:r w:rsidR="004154CD" w:rsidRPr="004A5C70">
              <w:rPr>
                <w:sz w:val="18"/>
                <w:szCs w:val="18"/>
              </w:rPr>
              <w:t xml:space="preserve">skaitu), t.i. rādītājs atspoguļo, cik reizes </w:t>
            </w:r>
            <w:r w:rsidR="00B52936" w:rsidRPr="004A5C70">
              <w:rPr>
                <w:sz w:val="18"/>
                <w:szCs w:val="18"/>
              </w:rPr>
              <w:t>tiesu varas, tiesībaizsardzības iestāž</w:t>
            </w:r>
            <w:r w:rsidR="00C632D5" w:rsidRPr="004A5C70">
              <w:rPr>
                <w:sz w:val="18"/>
                <w:szCs w:val="18"/>
              </w:rPr>
              <w:t>u un tiesu sistēmai piederīg</w:t>
            </w:r>
            <w:r w:rsidR="004154CD" w:rsidRPr="004A5C70">
              <w:rPr>
                <w:sz w:val="18"/>
                <w:szCs w:val="18"/>
              </w:rPr>
              <w:t>ās</w:t>
            </w:r>
            <w:r w:rsidR="00C632D5" w:rsidRPr="004A5C70">
              <w:rPr>
                <w:sz w:val="18"/>
                <w:szCs w:val="18"/>
              </w:rPr>
              <w:t xml:space="preserve"> person</w:t>
            </w:r>
            <w:r w:rsidR="004154CD" w:rsidRPr="004A5C70">
              <w:rPr>
                <w:sz w:val="18"/>
                <w:szCs w:val="18"/>
              </w:rPr>
              <w:t>as</w:t>
            </w:r>
            <w:r w:rsidR="00B52936" w:rsidRPr="004A5C70">
              <w:rPr>
                <w:sz w:val="18"/>
                <w:szCs w:val="18"/>
              </w:rPr>
              <w:t xml:space="preserve"> (tiesneši, tiesu darbinieki, zvērināti notāri, zvērināti advokāti, zvērināti tiesu izpildītāji, prokurori, izmeklētā</w:t>
            </w:r>
            <w:r w:rsidR="00BC4177" w:rsidRPr="004A5C70">
              <w:rPr>
                <w:sz w:val="18"/>
                <w:szCs w:val="18"/>
              </w:rPr>
              <w:t>ji, tiesu eksperti, mediatori</w:t>
            </w:r>
            <w:r w:rsidR="00C632D5" w:rsidRPr="004A5C70">
              <w:rPr>
                <w:sz w:val="18"/>
                <w:szCs w:val="18"/>
              </w:rPr>
              <w:t>, šķīrējtiesneši, m</w:t>
            </w:r>
            <w:r w:rsidR="0099413E" w:rsidRPr="004A5C70">
              <w:rPr>
                <w:sz w:val="18"/>
                <w:szCs w:val="18"/>
              </w:rPr>
              <w:t xml:space="preserve">aksātnespējas administratori, </w:t>
            </w:r>
            <w:r w:rsidR="00C632D5" w:rsidRPr="004A5C70">
              <w:rPr>
                <w:sz w:val="18"/>
                <w:szCs w:val="18"/>
              </w:rPr>
              <w:t>politikas veidotāji</w:t>
            </w:r>
            <w:r w:rsidR="0099413E" w:rsidRPr="004A5C70">
              <w:rPr>
                <w:sz w:val="18"/>
                <w:szCs w:val="18"/>
              </w:rPr>
              <w:t xml:space="preserve"> un </w:t>
            </w:r>
            <w:r w:rsidR="00EA5F54" w:rsidRPr="004A5C70">
              <w:rPr>
                <w:sz w:val="18"/>
                <w:szCs w:val="18"/>
              </w:rPr>
              <w:t xml:space="preserve">politikas </w:t>
            </w:r>
            <w:r w:rsidR="0099413E" w:rsidRPr="004A5C70">
              <w:rPr>
                <w:sz w:val="18"/>
                <w:szCs w:val="18"/>
              </w:rPr>
              <w:t>ieviesēji</w:t>
            </w:r>
            <w:r w:rsidR="00954B1C" w:rsidRPr="004A5C70">
              <w:rPr>
                <w:sz w:val="18"/>
                <w:szCs w:val="18"/>
              </w:rPr>
              <w:t>, kā arī sociālo partneru un nevalstisko organizāciju pārstāvji</w:t>
            </w:r>
            <w:r w:rsidR="00D762E1" w:rsidRPr="004A5C70">
              <w:rPr>
                <w:sz w:val="18"/>
                <w:szCs w:val="18"/>
              </w:rPr>
              <w:t>,</w:t>
            </w:r>
            <w:r w:rsidR="00D762E1" w:rsidRPr="004A5C70">
              <w:t xml:space="preserve"> </w:t>
            </w:r>
            <w:r w:rsidR="00D762E1" w:rsidRPr="004A5C70">
              <w:rPr>
                <w:sz w:val="18"/>
                <w:szCs w:val="18"/>
              </w:rPr>
              <w:t>kuru darbība ir saistīta ar uzņēmējdarbības vides uzlabošanas jautājumiem</w:t>
            </w:r>
            <w:r w:rsidR="00BC4177" w:rsidRPr="004A5C70">
              <w:rPr>
                <w:sz w:val="18"/>
                <w:szCs w:val="18"/>
              </w:rPr>
              <w:t>)</w:t>
            </w:r>
            <w:r w:rsidR="00B25F9A" w:rsidRPr="004A5C70">
              <w:rPr>
                <w:sz w:val="18"/>
                <w:szCs w:val="18"/>
              </w:rPr>
              <w:t xml:space="preserve"> </w:t>
            </w:r>
            <w:r w:rsidR="004154CD" w:rsidRPr="004A5C70">
              <w:rPr>
                <w:sz w:val="18"/>
                <w:szCs w:val="18"/>
              </w:rPr>
              <w:t xml:space="preserve">ir piedalījušās tiesībsargājošo institūciju personāla kompetences paaugstināšanas apmācībās komercdarbības vides uzlabošanas sekmēšanai. </w:t>
            </w:r>
          </w:p>
          <w:p w14:paraId="308F7B86" w14:textId="7823D146" w:rsidR="000C6AA2" w:rsidRPr="004A5C70" w:rsidRDefault="004B162C" w:rsidP="00016805">
            <w:pPr>
              <w:jc w:val="both"/>
              <w:rPr>
                <w:sz w:val="18"/>
                <w:szCs w:val="18"/>
              </w:rPr>
            </w:pPr>
            <w:r w:rsidRPr="004A5C70">
              <w:rPr>
                <w:sz w:val="18"/>
                <w:szCs w:val="18"/>
              </w:rPr>
              <w:t>Personu</w:t>
            </w:r>
            <w:r w:rsidR="008E4861" w:rsidRPr="004A5C70">
              <w:rPr>
                <w:sz w:val="18"/>
                <w:szCs w:val="18"/>
              </w:rPr>
              <w:t xml:space="preserve"> d</w:t>
            </w:r>
            <w:r w:rsidR="000C6AA2" w:rsidRPr="004A5C70">
              <w:rPr>
                <w:sz w:val="18"/>
                <w:szCs w:val="18"/>
              </w:rPr>
              <w:t>atu uzkrāšana par Eiropas Sociāla fonda kopējiem tūlītējiem rezultāta rādītājiem</w:t>
            </w:r>
            <w:r w:rsidR="008E4861" w:rsidRPr="004A5C70">
              <w:rPr>
                <w:rStyle w:val="FootnoteReference"/>
                <w:sz w:val="18"/>
                <w:szCs w:val="18"/>
              </w:rPr>
              <w:footnoteReference w:id="4"/>
            </w:r>
            <w:r w:rsidR="000C6AA2" w:rsidRPr="004A5C70">
              <w:rPr>
                <w:sz w:val="18"/>
                <w:szCs w:val="18"/>
              </w:rPr>
              <w:t xml:space="preserve"> ir attiecināma uz apmācībām, kuru ilgums pārsniedz 64 apmācību stundas.</w:t>
            </w:r>
          </w:p>
          <w:p w14:paraId="71CF48E1" w14:textId="77777777" w:rsidR="00C632D5" w:rsidRPr="004A5C70" w:rsidRDefault="00C632D5" w:rsidP="008C258A">
            <w:pPr>
              <w:jc w:val="both"/>
              <w:rPr>
                <w:i/>
                <w:sz w:val="18"/>
                <w:szCs w:val="18"/>
              </w:rPr>
            </w:pPr>
          </w:p>
          <w:p w14:paraId="382BC74A" w14:textId="77777777" w:rsidR="009D2C6F" w:rsidRPr="004A5C70" w:rsidRDefault="009D2C6F" w:rsidP="008C258A">
            <w:pPr>
              <w:jc w:val="both"/>
              <w:rPr>
                <w:strike/>
                <w:sz w:val="18"/>
                <w:szCs w:val="18"/>
              </w:rPr>
            </w:pPr>
            <w:r w:rsidRPr="004A5C70">
              <w:rPr>
                <w:i/>
                <w:sz w:val="18"/>
                <w:szCs w:val="18"/>
              </w:rPr>
              <w:t>Datu avots</w:t>
            </w:r>
            <w:r w:rsidRPr="004A5C70">
              <w:rPr>
                <w:sz w:val="18"/>
                <w:szCs w:val="18"/>
              </w:rPr>
              <w:t>:</w:t>
            </w:r>
            <w:r w:rsidRPr="004A5C70">
              <w:rPr>
                <w:i/>
                <w:sz w:val="18"/>
                <w:szCs w:val="18"/>
              </w:rPr>
              <w:t xml:space="preserve"> </w:t>
            </w:r>
            <w:r w:rsidRPr="004A5C70">
              <w:rPr>
                <w:sz w:val="18"/>
                <w:szCs w:val="18"/>
              </w:rPr>
              <w:t>Projekt</w:t>
            </w:r>
            <w:r w:rsidR="00752C81" w:rsidRPr="004A5C70">
              <w:rPr>
                <w:sz w:val="18"/>
                <w:szCs w:val="18"/>
              </w:rPr>
              <w:t xml:space="preserve">a uzraudzības </w:t>
            </w:r>
            <w:r w:rsidRPr="004A5C70">
              <w:rPr>
                <w:sz w:val="18"/>
                <w:szCs w:val="18"/>
              </w:rPr>
              <w:t xml:space="preserve">dati </w:t>
            </w:r>
          </w:p>
          <w:p w14:paraId="02893CED" w14:textId="77777777" w:rsidR="009D2C6F" w:rsidRPr="004A5C70" w:rsidRDefault="009D2C6F" w:rsidP="008C258A">
            <w:pPr>
              <w:jc w:val="both"/>
              <w:rPr>
                <w:sz w:val="18"/>
                <w:szCs w:val="18"/>
              </w:rPr>
            </w:pPr>
          </w:p>
          <w:p w14:paraId="65F2F7CF" w14:textId="77777777" w:rsidR="009D2C6F" w:rsidRPr="004A5C70" w:rsidRDefault="009D2C6F" w:rsidP="008C258A">
            <w:pPr>
              <w:jc w:val="both"/>
              <w:rPr>
                <w:i/>
                <w:sz w:val="18"/>
                <w:szCs w:val="18"/>
              </w:rPr>
            </w:pPr>
            <w:r w:rsidRPr="004A5C70">
              <w:rPr>
                <w:i/>
                <w:sz w:val="18"/>
                <w:szCs w:val="18"/>
              </w:rPr>
              <w:t>Apkopošanas biežums un ieguves metodoloģija:</w:t>
            </w:r>
          </w:p>
          <w:p w14:paraId="3519A462" w14:textId="77777777" w:rsidR="009D2C6F" w:rsidRPr="004A5C70" w:rsidRDefault="009B2EAF" w:rsidP="008C258A">
            <w:pPr>
              <w:jc w:val="both"/>
              <w:rPr>
                <w:strike/>
                <w:sz w:val="18"/>
                <w:szCs w:val="18"/>
              </w:rPr>
            </w:pPr>
            <w:r w:rsidRPr="004A5C70">
              <w:rPr>
                <w:sz w:val="18"/>
                <w:szCs w:val="18"/>
              </w:rPr>
              <w:t>1 reizi gadā</w:t>
            </w:r>
          </w:p>
          <w:p w14:paraId="33C40876" w14:textId="77777777" w:rsidR="009D2C6F" w:rsidRPr="004A5C70" w:rsidRDefault="009D2C6F" w:rsidP="008C258A">
            <w:pPr>
              <w:jc w:val="both"/>
              <w:rPr>
                <w:i/>
                <w:sz w:val="18"/>
                <w:szCs w:val="18"/>
              </w:rPr>
            </w:pPr>
          </w:p>
          <w:p w14:paraId="02856DF0" w14:textId="3074EE4A" w:rsidR="00957C29" w:rsidRPr="004A5C70" w:rsidRDefault="009D2C6F" w:rsidP="008C258A">
            <w:pPr>
              <w:jc w:val="both"/>
              <w:rPr>
                <w:b/>
                <w:sz w:val="18"/>
                <w:szCs w:val="18"/>
              </w:rPr>
            </w:pPr>
            <w:r w:rsidRPr="004A5C70">
              <w:rPr>
                <w:i/>
                <w:sz w:val="18"/>
                <w:szCs w:val="18"/>
              </w:rPr>
              <w:t>Starpposma vērtība 2018:</w:t>
            </w:r>
            <w:r w:rsidR="00C81890" w:rsidRPr="004A5C70">
              <w:rPr>
                <w:i/>
                <w:sz w:val="18"/>
                <w:szCs w:val="18"/>
              </w:rPr>
              <w:t xml:space="preserve"> </w:t>
            </w:r>
            <w:r w:rsidR="00653181" w:rsidRPr="004A5C70">
              <w:rPr>
                <w:i/>
                <w:sz w:val="18"/>
                <w:szCs w:val="18"/>
              </w:rPr>
              <w:t xml:space="preserve">456 </w:t>
            </w:r>
          </w:p>
          <w:p w14:paraId="53D74636" w14:textId="77777777" w:rsidR="009D2C6F" w:rsidRPr="004A5C70" w:rsidRDefault="009D2C6F" w:rsidP="008C258A">
            <w:pPr>
              <w:jc w:val="both"/>
              <w:rPr>
                <w:i/>
                <w:sz w:val="18"/>
                <w:szCs w:val="18"/>
              </w:rPr>
            </w:pPr>
          </w:p>
          <w:p w14:paraId="04AD5E0A" w14:textId="11206684" w:rsidR="009D2C6F" w:rsidRPr="004A5C70" w:rsidRDefault="009D2C6F" w:rsidP="008C258A">
            <w:pPr>
              <w:jc w:val="both"/>
              <w:rPr>
                <w:i/>
                <w:sz w:val="18"/>
                <w:szCs w:val="18"/>
              </w:rPr>
            </w:pPr>
            <w:r w:rsidRPr="004A5C70">
              <w:rPr>
                <w:i/>
                <w:sz w:val="18"/>
                <w:szCs w:val="18"/>
              </w:rPr>
              <w:t>Mērķis 2023</w:t>
            </w:r>
            <w:r w:rsidRPr="004A5C70">
              <w:rPr>
                <w:sz w:val="18"/>
                <w:szCs w:val="18"/>
              </w:rPr>
              <w:t>:</w:t>
            </w:r>
            <w:r w:rsidR="003D7CD8" w:rsidRPr="004A5C70">
              <w:rPr>
                <w:sz w:val="18"/>
                <w:szCs w:val="18"/>
              </w:rPr>
              <w:t xml:space="preserve"> </w:t>
            </w:r>
            <w:r w:rsidR="002F3F56" w:rsidRPr="004A5C70">
              <w:rPr>
                <w:sz w:val="18"/>
                <w:szCs w:val="18"/>
              </w:rPr>
              <w:t>12 133</w:t>
            </w:r>
            <w:r w:rsidR="003D7CD8" w:rsidRPr="004A5C70">
              <w:rPr>
                <w:sz w:val="18"/>
                <w:szCs w:val="18"/>
              </w:rPr>
              <w:t xml:space="preserve"> </w:t>
            </w:r>
          </w:p>
          <w:p w14:paraId="44F77A5A" w14:textId="77777777" w:rsidR="00954B1C" w:rsidRPr="004A5C70" w:rsidRDefault="00954B1C" w:rsidP="008C258A">
            <w:pPr>
              <w:jc w:val="both"/>
              <w:rPr>
                <w:i/>
                <w:sz w:val="18"/>
                <w:szCs w:val="18"/>
              </w:rPr>
            </w:pPr>
          </w:p>
          <w:p w14:paraId="651D9AE5" w14:textId="1DA0CFBA" w:rsidR="00954B1C" w:rsidRPr="004A5C70" w:rsidRDefault="00954B1C" w:rsidP="008C258A">
            <w:pPr>
              <w:jc w:val="both"/>
              <w:rPr>
                <w:i/>
                <w:sz w:val="18"/>
                <w:szCs w:val="18"/>
              </w:rPr>
            </w:pPr>
            <w:r w:rsidRPr="004A5C70">
              <w:rPr>
                <w:i/>
                <w:sz w:val="18"/>
                <w:szCs w:val="18"/>
              </w:rPr>
              <w:lastRenderedPageBreak/>
              <w:t xml:space="preserve">Projekta īstenošanas laiks:  </w:t>
            </w:r>
            <w:r w:rsidR="003D7CD8" w:rsidRPr="004A5C70">
              <w:rPr>
                <w:i/>
                <w:sz w:val="18"/>
                <w:szCs w:val="18"/>
              </w:rPr>
              <w:t xml:space="preserve">2016.gada I </w:t>
            </w:r>
            <w:r w:rsidRPr="004A5C70">
              <w:rPr>
                <w:i/>
                <w:sz w:val="18"/>
                <w:szCs w:val="18"/>
              </w:rPr>
              <w:t>ceturksnis</w:t>
            </w:r>
            <w:r w:rsidR="003D7CD8" w:rsidRPr="004A5C70">
              <w:rPr>
                <w:i/>
                <w:sz w:val="18"/>
                <w:szCs w:val="18"/>
              </w:rPr>
              <w:t xml:space="preserve"> – 2022.gada IV </w:t>
            </w:r>
            <w:r w:rsidRPr="004A5C70">
              <w:rPr>
                <w:i/>
                <w:sz w:val="18"/>
                <w:szCs w:val="18"/>
              </w:rPr>
              <w:t>ceturksnis.</w:t>
            </w:r>
          </w:p>
          <w:p w14:paraId="083301F9" w14:textId="77777777" w:rsidR="007E6CF8" w:rsidRPr="004A5C70" w:rsidRDefault="007E6CF8" w:rsidP="00186A9E">
            <w:pPr>
              <w:jc w:val="both"/>
              <w:rPr>
                <w:i/>
                <w:sz w:val="18"/>
                <w:szCs w:val="18"/>
              </w:rPr>
            </w:pPr>
          </w:p>
          <w:p w14:paraId="09FD56A4" w14:textId="27050F91" w:rsidR="00186A9E" w:rsidRPr="004A5C70" w:rsidRDefault="00186A9E" w:rsidP="00186A9E">
            <w:pPr>
              <w:jc w:val="both"/>
              <w:rPr>
                <w:rFonts w:eastAsiaTheme="minorHAnsi"/>
                <w:i/>
                <w:sz w:val="18"/>
                <w:szCs w:val="18"/>
              </w:rPr>
            </w:pPr>
            <w:r w:rsidRPr="004A5C70">
              <w:rPr>
                <w:i/>
                <w:sz w:val="18"/>
                <w:szCs w:val="18"/>
              </w:rPr>
              <w:t>Darbības līmenis: Projekts</w:t>
            </w:r>
          </w:p>
          <w:p w14:paraId="56F17D1C" w14:textId="77777777" w:rsidR="00186A9E" w:rsidRPr="004A5C70" w:rsidRDefault="00186A9E" w:rsidP="008C258A">
            <w:pPr>
              <w:jc w:val="both"/>
              <w:rPr>
                <w:i/>
                <w:sz w:val="18"/>
                <w:szCs w:val="18"/>
              </w:rPr>
            </w:pPr>
          </w:p>
          <w:p w14:paraId="4AFB8275" w14:textId="38A430E9" w:rsidR="009D2C6F" w:rsidRPr="004A5C70" w:rsidRDefault="00115970" w:rsidP="008C258A">
            <w:pPr>
              <w:jc w:val="both"/>
              <w:rPr>
                <w:i/>
                <w:sz w:val="18"/>
                <w:szCs w:val="18"/>
              </w:rPr>
            </w:pPr>
            <w:r w:rsidRPr="004A5C70">
              <w:rPr>
                <w:i/>
                <w:sz w:val="18"/>
                <w:szCs w:val="18"/>
              </w:rPr>
              <w:t>V</w:t>
            </w:r>
            <w:r w:rsidR="006068CE" w:rsidRPr="004A5C70">
              <w:rPr>
                <w:i/>
                <w:sz w:val="18"/>
                <w:szCs w:val="18"/>
              </w:rPr>
              <w:t xml:space="preserve">ienas vienības izmaksas: </w:t>
            </w:r>
            <w:r w:rsidR="00206627" w:rsidRPr="004A5C70">
              <w:rPr>
                <w:i/>
                <w:sz w:val="18"/>
                <w:szCs w:val="18"/>
              </w:rPr>
              <w:t>895.03</w:t>
            </w:r>
            <w:r w:rsidR="00EF31FF" w:rsidRPr="004A5C70">
              <w:rPr>
                <w:i/>
                <w:sz w:val="18"/>
                <w:szCs w:val="18"/>
              </w:rPr>
              <w:t xml:space="preserve"> </w:t>
            </w:r>
            <w:proofErr w:type="spellStart"/>
            <w:r w:rsidR="00E86980" w:rsidRPr="004A5C70">
              <w:rPr>
                <w:i/>
                <w:sz w:val="18"/>
                <w:szCs w:val="18"/>
              </w:rPr>
              <w:t>euro</w:t>
            </w:r>
            <w:proofErr w:type="spellEnd"/>
          </w:p>
          <w:p w14:paraId="2DC88F62" w14:textId="77777777" w:rsidR="00115970" w:rsidRPr="004A5C70" w:rsidRDefault="00115970" w:rsidP="008C258A">
            <w:pPr>
              <w:jc w:val="both"/>
              <w:rPr>
                <w:i/>
                <w:sz w:val="18"/>
                <w:szCs w:val="18"/>
              </w:rPr>
            </w:pPr>
          </w:p>
          <w:p w14:paraId="21F91390" w14:textId="102DEA47" w:rsidR="007D4AB6" w:rsidRPr="004A5C70" w:rsidRDefault="00FB1EEA" w:rsidP="007D4AB6">
            <w:pPr>
              <w:jc w:val="both"/>
              <w:rPr>
                <w:sz w:val="18"/>
                <w:szCs w:val="18"/>
              </w:rPr>
            </w:pPr>
            <w:r w:rsidRPr="004A5C70">
              <w:rPr>
                <w:sz w:val="18"/>
                <w:szCs w:val="18"/>
              </w:rPr>
              <w:t xml:space="preserve">Vienas vienības izmaksas tika aprēķinātas balstoties uz pieņēmumiem, uz plānošanas laikā pieejamo iepriekšējo pieredzi apmācību jomā un 2015. gada  tirgus cenām. Tika pieņemts, ka dažādu veidu apmācību izmaksas uz vienu personu atšķirsies – piemēram, svešvalodu apmācība vidēji 500 </w:t>
            </w:r>
            <w:proofErr w:type="spellStart"/>
            <w:r w:rsidR="005D5F7B" w:rsidRPr="004A5C70">
              <w:rPr>
                <w:i/>
                <w:sz w:val="18"/>
                <w:szCs w:val="18"/>
              </w:rPr>
              <w:t>euro</w:t>
            </w:r>
            <w:proofErr w:type="spellEnd"/>
            <w:r w:rsidRPr="004A5C70">
              <w:rPr>
                <w:sz w:val="18"/>
                <w:szCs w:val="18"/>
              </w:rPr>
              <w:t xml:space="preserve">/pers., profesionālās jomas apmācības 550 </w:t>
            </w:r>
            <w:proofErr w:type="spellStart"/>
            <w:r w:rsidR="005D5F7B" w:rsidRPr="004A5C70">
              <w:rPr>
                <w:i/>
                <w:sz w:val="18"/>
                <w:szCs w:val="18"/>
              </w:rPr>
              <w:t>euro</w:t>
            </w:r>
            <w:proofErr w:type="spellEnd"/>
            <w:r w:rsidRPr="004A5C70">
              <w:rPr>
                <w:sz w:val="18"/>
                <w:szCs w:val="18"/>
              </w:rPr>
              <w:t>/</w:t>
            </w:r>
            <w:proofErr w:type="spellStart"/>
            <w:r w:rsidRPr="004A5C70">
              <w:rPr>
                <w:sz w:val="18"/>
                <w:szCs w:val="18"/>
              </w:rPr>
              <w:t>pers</w:t>
            </w:r>
            <w:proofErr w:type="spellEnd"/>
            <w:r w:rsidRPr="004A5C70">
              <w:rPr>
                <w:sz w:val="18"/>
                <w:szCs w:val="18"/>
              </w:rPr>
              <w:t xml:space="preserve">, tiesnešu stažēšanās 1452 </w:t>
            </w:r>
            <w:proofErr w:type="spellStart"/>
            <w:r w:rsidR="005D5F7B" w:rsidRPr="004A5C70">
              <w:rPr>
                <w:i/>
                <w:sz w:val="18"/>
                <w:szCs w:val="18"/>
              </w:rPr>
              <w:t>euro</w:t>
            </w:r>
            <w:proofErr w:type="spellEnd"/>
            <w:r w:rsidRPr="004A5C70">
              <w:rPr>
                <w:sz w:val="18"/>
                <w:szCs w:val="18"/>
              </w:rPr>
              <w:t>/</w:t>
            </w:r>
            <w:proofErr w:type="spellStart"/>
            <w:r w:rsidRPr="004A5C70">
              <w:rPr>
                <w:sz w:val="18"/>
                <w:szCs w:val="18"/>
              </w:rPr>
              <w:t>pers</w:t>
            </w:r>
            <w:proofErr w:type="spellEnd"/>
            <w:r w:rsidRPr="004A5C70">
              <w:rPr>
                <w:sz w:val="18"/>
                <w:szCs w:val="18"/>
              </w:rPr>
              <w:t>, bet komunikāciju un prasmju pilnveides apmācīb</w:t>
            </w:r>
            <w:r w:rsidR="00BF5918" w:rsidRPr="004A5C70">
              <w:rPr>
                <w:sz w:val="18"/>
                <w:szCs w:val="18"/>
              </w:rPr>
              <w:t>u</w:t>
            </w:r>
            <w:r w:rsidRPr="004A5C70">
              <w:rPr>
                <w:sz w:val="18"/>
                <w:szCs w:val="18"/>
              </w:rPr>
              <w:t xml:space="preserve"> izmaksas vidēji ir 300 </w:t>
            </w:r>
            <w:proofErr w:type="spellStart"/>
            <w:r w:rsidR="005D5F7B" w:rsidRPr="004A5C70">
              <w:rPr>
                <w:i/>
                <w:sz w:val="18"/>
                <w:szCs w:val="18"/>
              </w:rPr>
              <w:t>euro</w:t>
            </w:r>
            <w:proofErr w:type="spellEnd"/>
            <w:r w:rsidRPr="004A5C70">
              <w:rPr>
                <w:sz w:val="18"/>
                <w:szCs w:val="18"/>
              </w:rPr>
              <w:t>/pers.</w:t>
            </w:r>
            <w:r w:rsidR="00BF5918" w:rsidRPr="004A5C70">
              <w:rPr>
                <w:sz w:val="18"/>
                <w:szCs w:val="18"/>
              </w:rPr>
              <w:t xml:space="preserve"> </w:t>
            </w:r>
            <w:r w:rsidR="000652C4" w:rsidRPr="004A5C70">
              <w:rPr>
                <w:sz w:val="18"/>
                <w:szCs w:val="18"/>
              </w:rPr>
              <w:t>Vienas vienības izmaksas aprēķin</w:t>
            </w:r>
            <w:r w:rsidR="00804069" w:rsidRPr="004A5C70">
              <w:rPr>
                <w:sz w:val="18"/>
                <w:szCs w:val="18"/>
              </w:rPr>
              <w:t xml:space="preserve">s balstīts uz pieņēmumu, ka </w:t>
            </w:r>
            <w:r w:rsidR="007D4AB6" w:rsidRPr="004A5C70">
              <w:rPr>
                <w:sz w:val="18"/>
                <w:szCs w:val="18"/>
              </w:rPr>
              <w:t xml:space="preserve">pilnīgi </w:t>
            </w:r>
            <w:r w:rsidR="00804069" w:rsidRPr="004A5C70">
              <w:rPr>
                <w:sz w:val="18"/>
                <w:szCs w:val="18"/>
              </w:rPr>
              <w:t>visas aktivitātes (t.sk.</w:t>
            </w:r>
            <w:r w:rsidR="007D4AB6" w:rsidRPr="004A5C70">
              <w:rPr>
                <w:sz w:val="18"/>
                <w:szCs w:val="18"/>
              </w:rPr>
              <w:t xml:space="preserve"> </w:t>
            </w:r>
            <w:r w:rsidR="00804069" w:rsidRPr="004A5C70">
              <w:rPr>
                <w:sz w:val="18"/>
                <w:szCs w:val="18"/>
              </w:rPr>
              <w:t xml:space="preserve">mācību vajadzību apzināšana un izvērtēšana, profesionālo kompetenču attīstīšanas programmu, mācību moduļu, metodiku, rokasgrāmatu, mācību programmu un materiālu izstrāde un pilnveidošana, </w:t>
            </w:r>
            <w:r w:rsidR="00BF5918" w:rsidRPr="004A5C70">
              <w:rPr>
                <w:sz w:val="18"/>
                <w:szCs w:val="18"/>
              </w:rPr>
              <w:t xml:space="preserve">vienotas tiesu prakses piemēru un judikatūras apkopošana un publicēšana, </w:t>
            </w:r>
            <w:r w:rsidR="00804069" w:rsidRPr="004A5C70">
              <w:rPr>
                <w:sz w:val="18"/>
                <w:szCs w:val="18"/>
              </w:rPr>
              <w:t>tiesu sistēmas novērtējuma nodrošināšana, saturisko un valodu mācību, semināru, konferenču, darba grupu un pieredzes apmaiņas organizēšana un īstenošana</w:t>
            </w:r>
            <w:r w:rsidR="007D4AB6" w:rsidRPr="004A5C70">
              <w:rPr>
                <w:sz w:val="18"/>
                <w:szCs w:val="18"/>
              </w:rPr>
              <w:t xml:space="preserve">, </w:t>
            </w:r>
            <w:r w:rsidR="00BF5918" w:rsidRPr="004A5C70">
              <w:rPr>
                <w:sz w:val="18"/>
                <w:szCs w:val="18"/>
              </w:rPr>
              <w:t xml:space="preserve">kompetenču modeļa izstrāde, </w:t>
            </w:r>
            <w:r w:rsidR="007D4AB6" w:rsidRPr="004A5C70">
              <w:rPr>
                <w:sz w:val="18"/>
                <w:szCs w:val="18"/>
              </w:rPr>
              <w:t>mācību dokumentu un mācību materiālu vadības sistēmas izveide un pilnveidošana, k</w:t>
            </w:r>
            <w:r w:rsidR="00BF5918" w:rsidRPr="004A5C70">
              <w:rPr>
                <w:sz w:val="18"/>
                <w:szCs w:val="18"/>
              </w:rPr>
              <w:t>ā arī nepieciešamo datubāzu izstrāde, pilnveidošana un pielāgošana, tiesu un tiesībaizsardzības iestāžu aprīkošana ar videokonferences iekārtām</w:t>
            </w:r>
            <w:r w:rsidR="007D4AB6" w:rsidRPr="004A5C70">
              <w:rPr>
                <w:sz w:val="18"/>
                <w:szCs w:val="18"/>
              </w:rPr>
              <w:t xml:space="preserve"> u.c.</w:t>
            </w:r>
            <w:r w:rsidR="005201C8" w:rsidRPr="004A5C70">
              <w:rPr>
                <w:sz w:val="18"/>
                <w:szCs w:val="18"/>
              </w:rPr>
              <w:t xml:space="preserve"> projektā paredzētās darbības</w:t>
            </w:r>
            <w:r w:rsidR="007D4AB6" w:rsidRPr="004A5C70">
              <w:rPr>
                <w:sz w:val="18"/>
                <w:szCs w:val="18"/>
              </w:rPr>
              <w:t>) kā arī projekta vadība</w:t>
            </w:r>
            <w:r w:rsidR="00BF5918" w:rsidRPr="004A5C70">
              <w:rPr>
                <w:sz w:val="18"/>
                <w:szCs w:val="18"/>
              </w:rPr>
              <w:t xml:space="preserve">, </w:t>
            </w:r>
            <w:r w:rsidR="007D4AB6" w:rsidRPr="004A5C70">
              <w:rPr>
                <w:sz w:val="18"/>
                <w:szCs w:val="18"/>
              </w:rPr>
              <w:t>īstenošana</w:t>
            </w:r>
            <w:r w:rsidR="00BF5918" w:rsidRPr="004A5C70">
              <w:rPr>
                <w:sz w:val="18"/>
                <w:szCs w:val="18"/>
              </w:rPr>
              <w:t xml:space="preserve"> un publicitātes nodrošināšana</w:t>
            </w:r>
            <w:r w:rsidR="007D4AB6" w:rsidRPr="004A5C70">
              <w:rPr>
                <w:sz w:val="18"/>
                <w:szCs w:val="18"/>
              </w:rPr>
              <w:t xml:space="preserve"> </w:t>
            </w:r>
            <w:r w:rsidR="00804069" w:rsidRPr="004A5C70">
              <w:rPr>
                <w:sz w:val="18"/>
                <w:szCs w:val="18"/>
              </w:rPr>
              <w:t xml:space="preserve"> </w:t>
            </w:r>
            <w:r w:rsidR="000652C4" w:rsidRPr="004A5C70">
              <w:rPr>
                <w:sz w:val="18"/>
                <w:szCs w:val="18"/>
              </w:rPr>
              <w:t xml:space="preserve">ir vērstas uz </w:t>
            </w:r>
            <w:r w:rsidR="007D4AB6" w:rsidRPr="004A5C70">
              <w:rPr>
                <w:sz w:val="18"/>
                <w:szCs w:val="18"/>
              </w:rPr>
              <w:t xml:space="preserve">iznākuma rādītāja mērķa vērtības sasniegšanu. </w:t>
            </w:r>
            <w:r w:rsidR="005F02A9" w:rsidRPr="004A5C70">
              <w:rPr>
                <w:sz w:val="18"/>
                <w:szCs w:val="18"/>
              </w:rPr>
              <w:t xml:space="preserve">Tieslietu sistēmas novērtējumam paredzētā summa (450 000 </w:t>
            </w:r>
            <w:proofErr w:type="spellStart"/>
            <w:r w:rsidR="005D5F7B" w:rsidRPr="004A5C70">
              <w:rPr>
                <w:i/>
                <w:sz w:val="18"/>
                <w:szCs w:val="18"/>
              </w:rPr>
              <w:t>euro</w:t>
            </w:r>
            <w:proofErr w:type="spellEnd"/>
            <w:r w:rsidR="005F02A9" w:rsidRPr="004A5C70">
              <w:rPr>
                <w:sz w:val="18"/>
                <w:szCs w:val="18"/>
              </w:rPr>
              <w:t>) arī tiek iekļauta vienas vienības izmaksu aprēķinā, jo paredzēts, ka novērtējuma rezultāti tiks izmantoti mācību procesā, veidojot mācību programmas kodolu tēmās, kas ietilpst novērtējuma tvērumā.</w:t>
            </w:r>
            <w:r w:rsidR="00E60C94" w:rsidRPr="004A5C70">
              <w:rPr>
                <w:sz w:val="18"/>
                <w:szCs w:val="18"/>
              </w:rPr>
              <w:t xml:space="preserve"> Vienas vienības izmaksu </w:t>
            </w:r>
            <w:r w:rsidR="00E60C94" w:rsidRPr="004A5C70">
              <w:rPr>
                <w:sz w:val="18"/>
                <w:szCs w:val="18"/>
              </w:rPr>
              <w:lastRenderedPageBreak/>
              <w:t>aprēķinā ņemts vērā pieejamais finansējuma apjoms</w:t>
            </w:r>
            <w:r w:rsidR="00E47011" w:rsidRPr="004A5C70">
              <w:rPr>
                <w:sz w:val="18"/>
                <w:szCs w:val="18"/>
              </w:rPr>
              <w:t>, tai skaitā izveidojies ietaupījums,</w:t>
            </w:r>
            <w:r w:rsidR="00E60C94" w:rsidRPr="004A5C70">
              <w:rPr>
                <w:sz w:val="18"/>
                <w:szCs w:val="18"/>
              </w:rPr>
              <w:t>, pārvērtējot iespējamo sasniedzamo rezultātu (dalībnieku skaitu).</w:t>
            </w:r>
            <w:r w:rsidR="000E3BA6" w:rsidRPr="004A5C70">
              <w:rPr>
                <w:sz w:val="18"/>
                <w:szCs w:val="18"/>
              </w:rPr>
              <w:t xml:space="preserve"> Vienas vienības izmaksas aprēķinātas dalot kopējo iznākuma rādītāja sasniegšanai paredzēto attiecināmo finansējumu ar plānoto kopējo iznākuma rādītāja vērtību. (</w:t>
            </w:r>
            <w:r w:rsidR="009E1DB3" w:rsidRPr="004A5C70">
              <w:rPr>
                <w:sz w:val="18"/>
                <w:szCs w:val="18"/>
              </w:rPr>
              <w:t>10 859 393</w:t>
            </w:r>
            <w:r w:rsidR="000E3BA6" w:rsidRPr="004A5C70">
              <w:rPr>
                <w:sz w:val="18"/>
                <w:szCs w:val="18"/>
              </w:rPr>
              <w:t xml:space="preserve">  </w:t>
            </w:r>
            <w:proofErr w:type="spellStart"/>
            <w:r w:rsidR="000E3BA6" w:rsidRPr="004A5C70">
              <w:rPr>
                <w:sz w:val="18"/>
                <w:szCs w:val="18"/>
              </w:rPr>
              <w:t>euro</w:t>
            </w:r>
            <w:proofErr w:type="spellEnd"/>
            <w:r w:rsidR="000E3BA6" w:rsidRPr="004A5C70">
              <w:rPr>
                <w:sz w:val="18"/>
                <w:szCs w:val="18"/>
              </w:rPr>
              <w:t xml:space="preserve"> : 12 133 apmācīto personu skaits = </w:t>
            </w:r>
            <w:r w:rsidR="009E1DB3" w:rsidRPr="004A5C70">
              <w:rPr>
                <w:sz w:val="18"/>
                <w:szCs w:val="18"/>
              </w:rPr>
              <w:t>895.03</w:t>
            </w:r>
            <w:r w:rsidR="000E3BA6" w:rsidRPr="004A5C70">
              <w:rPr>
                <w:sz w:val="18"/>
                <w:szCs w:val="18"/>
              </w:rPr>
              <w:t xml:space="preserve"> </w:t>
            </w:r>
            <w:proofErr w:type="spellStart"/>
            <w:r w:rsidR="000E3BA6" w:rsidRPr="004A5C70">
              <w:rPr>
                <w:sz w:val="18"/>
                <w:szCs w:val="18"/>
              </w:rPr>
              <w:t>euro</w:t>
            </w:r>
            <w:proofErr w:type="spellEnd"/>
            <w:r w:rsidR="000E3BA6" w:rsidRPr="004A5C70">
              <w:rPr>
                <w:sz w:val="18"/>
                <w:szCs w:val="18"/>
              </w:rPr>
              <w:t>/</w:t>
            </w:r>
            <w:proofErr w:type="spellStart"/>
            <w:r w:rsidR="000E3BA6" w:rsidRPr="004A5C70">
              <w:rPr>
                <w:sz w:val="18"/>
                <w:szCs w:val="18"/>
              </w:rPr>
              <w:t>pers</w:t>
            </w:r>
            <w:proofErr w:type="spellEnd"/>
            <w:r w:rsidR="00296F11" w:rsidRPr="004A5C70">
              <w:rPr>
                <w:sz w:val="18"/>
                <w:szCs w:val="18"/>
              </w:rPr>
              <w:t>)</w:t>
            </w:r>
          </w:p>
          <w:p w14:paraId="7DF9382E" w14:textId="77777777" w:rsidR="006A0B87" w:rsidRPr="004A5C70" w:rsidRDefault="006A0B87" w:rsidP="008C258A">
            <w:pPr>
              <w:jc w:val="both"/>
              <w:rPr>
                <w:i/>
                <w:sz w:val="18"/>
                <w:szCs w:val="18"/>
              </w:rPr>
            </w:pPr>
          </w:p>
          <w:p w14:paraId="02316405" w14:textId="77777777" w:rsidR="009D2C6F" w:rsidRPr="004A5C70" w:rsidRDefault="009D2C6F" w:rsidP="008C258A">
            <w:pPr>
              <w:jc w:val="both"/>
              <w:rPr>
                <w:sz w:val="18"/>
                <w:szCs w:val="18"/>
              </w:rPr>
            </w:pPr>
            <w:r w:rsidRPr="004A5C70">
              <w:rPr>
                <w:i/>
                <w:sz w:val="18"/>
                <w:szCs w:val="18"/>
              </w:rPr>
              <w:t>Mērķa vērtības noteikšanas principi/metodoloģija</w:t>
            </w:r>
            <w:r w:rsidRPr="004A5C70">
              <w:rPr>
                <w:sz w:val="18"/>
                <w:szCs w:val="18"/>
              </w:rPr>
              <w:t>:</w:t>
            </w:r>
          </w:p>
          <w:p w14:paraId="3BD6B6E2" w14:textId="77777777" w:rsidR="00282B21" w:rsidRPr="004A5C70" w:rsidRDefault="00B52936" w:rsidP="008C258A">
            <w:pPr>
              <w:jc w:val="both"/>
              <w:rPr>
                <w:sz w:val="18"/>
                <w:szCs w:val="18"/>
              </w:rPr>
            </w:pPr>
            <w:r w:rsidRPr="004A5C70">
              <w:rPr>
                <w:sz w:val="18"/>
                <w:szCs w:val="18"/>
              </w:rPr>
              <w:t xml:space="preserve">Mērķis noteikts, </w:t>
            </w:r>
            <w:r w:rsidR="00022BDC" w:rsidRPr="004A5C70">
              <w:rPr>
                <w:sz w:val="18"/>
                <w:szCs w:val="18"/>
              </w:rPr>
              <w:t xml:space="preserve">ņemot vērā </w:t>
            </w:r>
            <w:r w:rsidRPr="004A5C70">
              <w:rPr>
                <w:sz w:val="18"/>
                <w:szCs w:val="18"/>
              </w:rPr>
              <w:t>informāciju par tiesu varas, tiesībaizsardzības iestāžu un tiesu sistēmai piederīgo personu skaitu</w:t>
            </w:r>
            <w:r w:rsidR="00B25F9A" w:rsidRPr="004A5C70">
              <w:rPr>
                <w:sz w:val="18"/>
                <w:szCs w:val="18"/>
              </w:rPr>
              <w:t xml:space="preserve">, </w:t>
            </w:r>
            <w:r w:rsidR="003B0DE2" w:rsidRPr="004A5C70">
              <w:rPr>
                <w:sz w:val="18"/>
                <w:szCs w:val="18"/>
              </w:rPr>
              <w:t xml:space="preserve">daļa no kuriem </w:t>
            </w:r>
            <w:r w:rsidRPr="004A5C70">
              <w:rPr>
                <w:sz w:val="18"/>
                <w:szCs w:val="18"/>
              </w:rPr>
              <w:t xml:space="preserve">potenciāli varētu piedalīties apmācībās. Mērķa vērtība noteikta, ņemot vērā </w:t>
            </w:r>
            <w:r w:rsidR="00022BDC" w:rsidRPr="004A5C70">
              <w:rPr>
                <w:sz w:val="18"/>
                <w:szCs w:val="18"/>
              </w:rPr>
              <w:t>datus par amata vietu skaitu 2014.gadā</w:t>
            </w:r>
            <w:r w:rsidRPr="004A5C70">
              <w:rPr>
                <w:sz w:val="18"/>
                <w:szCs w:val="18"/>
              </w:rPr>
              <w:t xml:space="preserve">. </w:t>
            </w:r>
          </w:p>
          <w:p w14:paraId="3732D63E" w14:textId="77777777" w:rsidR="00282B21" w:rsidRPr="004A5C70" w:rsidRDefault="00282B21" w:rsidP="008C258A">
            <w:pPr>
              <w:jc w:val="both"/>
              <w:rPr>
                <w:sz w:val="18"/>
                <w:szCs w:val="18"/>
              </w:rPr>
            </w:pPr>
            <w:r w:rsidRPr="004A5C70">
              <w:rPr>
                <w:sz w:val="18"/>
                <w:szCs w:val="18"/>
              </w:rPr>
              <w:t>Kopumā 201</w:t>
            </w:r>
            <w:r w:rsidR="000B2BE7" w:rsidRPr="004A5C70">
              <w:rPr>
                <w:sz w:val="18"/>
                <w:szCs w:val="18"/>
              </w:rPr>
              <w:t>4</w:t>
            </w:r>
            <w:r w:rsidRPr="004A5C70">
              <w:rPr>
                <w:sz w:val="18"/>
                <w:szCs w:val="18"/>
              </w:rPr>
              <w:t>.gadā bija:</w:t>
            </w:r>
          </w:p>
          <w:p w14:paraId="3451E6B6" w14:textId="77777777" w:rsidR="00282B21" w:rsidRPr="004A5C70" w:rsidRDefault="00FA2B41" w:rsidP="008C258A">
            <w:pPr>
              <w:jc w:val="both"/>
              <w:rPr>
                <w:sz w:val="18"/>
                <w:szCs w:val="18"/>
              </w:rPr>
            </w:pPr>
            <w:r w:rsidRPr="004A5C70">
              <w:rPr>
                <w:sz w:val="18"/>
                <w:szCs w:val="18"/>
              </w:rPr>
              <w:t>54</w:t>
            </w:r>
            <w:r w:rsidR="004F6AEF" w:rsidRPr="004A5C70">
              <w:rPr>
                <w:sz w:val="18"/>
                <w:szCs w:val="18"/>
              </w:rPr>
              <w:t>3</w:t>
            </w:r>
            <w:r w:rsidRPr="004A5C70">
              <w:rPr>
                <w:sz w:val="18"/>
                <w:szCs w:val="18"/>
              </w:rPr>
              <w:t xml:space="preserve"> </w:t>
            </w:r>
            <w:r w:rsidR="00282B21" w:rsidRPr="004A5C70">
              <w:rPr>
                <w:sz w:val="18"/>
                <w:szCs w:val="18"/>
              </w:rPr>
              <w:t>tiesneš</w:t>
            </w:r>
            <w:r w:rsidR="00FA3A62" w:rsidRPr="004A5C70">
              <w:rPr>
                <w:sz w:val="18"/>
                <w:szCs w:val="18"/>
              </w:rPr>
              <w:t>u amata vietas</w:t>
            </w:r>
            <w:r w:rsidR="004F6AEF" w:rsidRPr="004A5C70">
              <w:rPr>
                <w:sz w:val="18"/>
                <w:szCs w:val="18"/>
              </w:rPr>
              <w:t>, faktiski aizpildītas</w:t>
            </w:r>
            <w:r w:rsidR="00FA3A62" w:rsidRPr="004A5C70">
              <w:rPr>
                <w:sz w:val="18"/>
                <w:szCs w:val="18"/>
              </w:rPr>
              <w:t xml:space="preserve"> - </w:t>
            </w:r>
            <w:r w:rsidR="004F6AEF" w:rsidRPr="004A5C70">
              <w:rPr>
                <w:sz w:val="18"/>
                <w:szCs w:val="18"/>
              </w:rPr>
              <w:t xml:space="preserve"> 525</w:t>
            </w:r>
          </w:p>
          <w:p w14:paraId="450C93F5" w14:textId="77777777" w:rsidR="000B2BE7" w:rsidRPr="004A5C70" w:rsidRDefault="00C65199" w:rsidP="008C258A">
            <w:pPr>
              <w:jc w:val="both"/>
              <w:rPr>
                <w:sz w:val="18"/>
                <w:szCs w:val="18"/>
              </w:rPr>
            </w:pPr>
            <w:r w:rsidRPr="004A5C70">
              <w:rPr>
                <w:sz w:val="18"/>
                <w:szCs w:val="18"/>
              </w:rPr>
              <w:t xml:space="preserve">1710 </w:t>
            </w:r>
            <w:r w:rsidR="000B2BE7" w:rsidRPr="004A5C70">
              <w:rPr>
                <w:sz w:val="18"/>
                <w:szCs w:val="18"/>
              </w:rPr>
              <w:t xml:space="preserve">tiesu </w:t>
            </w:r>
            <w:r w:rsidR="00CF5F91" w:rsidRPr="004A5C70">
              <w:rPr>
                <w:sz w:val="18"/>
                <w:szCs w:val="18"/>
              </w:rPr>
              <w:t>darbinieki</w:t>
            </w:r>
            <w:r w:rsidR="00FA27D1" w:rsidRPr="004A5C70">
              <w:rPr>
                <w:sz w:val="18"/>
                <w:szCs w:val="18"/>
              </w:rPr>
              <w:t>;</w:t>
            </w:r>
          </w:p>
          <w:p w14:paraId="0E94EE8E" w14:textId="77777777" w:rsidR="00282B21" w:rsidRPr="004A5C70" w:rsidRDefault="005409FB" w:rsidP="008C258A">
            <w:pPr>
              <w:jc w:val="both"/>
              <w:rPr>
                <w:sz w:val="18"/>
                <w:szCs w:val="18"/>
              </w:rPr>
            </w:pPr>
            <w:r w:rsidRPr="004A5C70">
              <w:rPr>
                <w:sz w:val="18"/>
                <w:szCs w:val="18"/>
              </w:rPr>
              <w:t>5849</w:t>
            </w:r>
            <w:r w:rsidR="00282B21" w:rsidRPr="004A5C70">
              <w:rPr>
                <w:sz w:val="18"/>
                <w:szCs w:val="18"/>
              </w:rPr>
              <w:t xml:space="preserve"> Valsts policijas amata vienības</w:t>
            </w:r>
            <w:r w:rsidR="00FA27D1" w:rsidRPr="004A5C70">
              <w:rPr>
                <w:sz w:val="18"/>
                <w:szCs w:val="18"/>
              </w:rPr>
              <w:t>;</w:t>
            </w:r>
          </w:p>
          <w:p w14:paraId="02907B2E" w14:textId="77777777" w:rsidR="00282B21" w:rsidRPr="004A5C70" w:rsidRDefault="000D4D98" w:rsidP="008C258A">
            <w:pPr>
              <w:jc w:val="both"/>
              <w:rPr>
                <w:sz w:val="18"/>
                <w:szCs w:val="18"/>
              </w:rPr>
            </w:pPr>
            <w:r w:rsidRPr="004A5C70">
              <w:rPr>
                <w:sz w:val="18"/>
                <w:szCs w:val="18"/>
              </w:rPr>
              <w:t xml:space="preserve">504 </w:t>
            </w:r>
            <w:r w:rsidR="00282B21" w:rsidRPr="004A5C70">
              <w:rPr>
                <w:sz w:val="18"/>
                <w:szCs w:val="18"/>
              </w:rPr>
              <w:t>prokuroru amata vietas</w:t>
            </w:r>
            <w:r w:rsidR="00FA27D1" w:rsidRPr="004A5C70">
              <w:rPr>
                <w:sz w:val="18"/>
                <w:szCs w:val="18"/>
              </w:rPr>
              <w:t>;</w:t>
            </w:r>
            <w:r w:rsidR="00FA3A62" w:rsidRPr="004A5C70">
              <w:rPr>
                <w:sz w:val="18"/>
                <w:szCs w:val="18"/>
              </w:rPr>
              <w:t xml:space="preserve"> šobrīd aizpildītas – 457;</w:t>
            </w:r>
          </w:p>
          <w:p w14:paraId="7BD25306" w14:textId="77777777" w:rsidR="00282B21" w:rsidRPr="004A5C70" w:rsidRDefault="00282B21" w:rsidP="008C258A">
            <w:pPr>
              <w:jc w:val="both"/>
              <w:rPr>
                <w:sz w:val="18"/>
                <w:szCs w:val="18"/>
              </w:rPr>
            </w:pPr>
            <w:r w:rsidRPr="004A5C70">
              <w:rPr>
                <w:sz w:val="18"/>
                <w:szCs w:val="18"/>
              </w:rPr>
              <w:t>125 zvērinātu notāru amata vietas</w:t>
            </w:r>
            <w:r w:rsidR="00FA2B41" w:rsidRPr="004A5C70">
              <w:rPr>
                <w:sz w:val="18"/>
                <w:szCs w:val="18"/>
              </w:rPr>
              <w:t xml:space="preserve">, šobrīd faktiski praktizējošu </w:t>
            </w:r>
            <w:r w:rsidR="00FA3A62" w:rsidRPr="004A5C70">
              <w:rPr>
                <w:sz w:val="18"/>
                <w:szCs w:val="18"/>
                <w:lang w:eastAsia="lv-LV"/>
              </w:rPr>
              <w:t>zvērinātu notāru skaits – 110</w:t>
            </w:r>
            <w:r w:rsidR="00FA2B41" w:rsidRPr="004A5C70">
              <w:rPr>
                <w:sz w:val="18"/>
                <w:szCs w:val="18"/>
              </w:rPr>
              <w:t xml:space="preserve"> </w:t>
            </w:r>
            <w:r w:rsidR="00FA27D1" w:rsidRPr="004A5C70">
              <w:rPr>
                <w:sz w:val="18"/>
                <w:szCs w:val="18"/>
              </w:rPr>
              <w:t>;</w:t>
            </w:r>
          </w:p>
          <w:p w14:paraId="4EC7F9AD" w14:textId="77777777" w:rsidR="00282B21" w:rsidRPr="004A5C70" w:rsidRDefault="00282B21" w:rsidP="008C258A">
            <w:pPr>
              <w:jc w:val="both"/>
              <w:rPr>
                <w:sz w:val="18"/>
                <w:szCs w:val="18"/>
              </w:rPr>
            </w:pPr>
            <w:r w:rsidRPr="004A5C70">
              <w:rPr>
                <w:sz w:val="18"/>
                <w:szCs w:val="18"/>
              </w:rPr>
              <w:t>116 zvērinātu tiesu izpildītāju amata vietas</w:t>
            </w:r>
            <w:r w:rsidR="00FA2B41" w:rsidRPr="004A5C70">
              <w:rPr>
                <w:sz w:val="18"/>
                <w:szCs w:val="18"/>
              </w:rPr>
              <w:t>, šobrīd faktiski praktizējošu zvērinātu tiesu izpildītāju skaits – 99.</w:t>
            </w:r>
            <w:r w:rsidR="00FA27D1" w:rsidRPr="004A5C70">
              <w:rPr>
                <w:sz w:val="18"/>
                <w:szCs w:val="18"/>
              </w:rPr>
              <w:t>;</w:t>
            </w:r>
          </w:p>
          <w:p w14:paraId="68C2535D" w14:textId="77777777" w:rsidR="00282B21" w:rsidRPr="004A5C70" w:rsidRDefault="00FA2B41" w:rsidP="008C258A">
            <w:pPr>
              <w:jc w:val="both"/>
              <w:rPr>
                <w:sz w:val="18"/>
                <w:szCs w:val="18"/>
              </w:rPr>
            </w:pPr>
            <w:r w:rsidRPr="004A5C70">
              <w:rPr>
                <w:sz w:val="18"/>
                <w:szCs w:val="18"/>
              </w:rPr>
              <w:t xml:space="preserve">1243 </w:t>
            </w:r>
            <w:r w:rsidR="00282B21" w:rsidRPr="004A5C70">
              <w:rPr>
                <w:sz w:val="18"/>
                <w:szCs w:val="18"/>
              </w:rPr>
              <w:t>zvērinātu advokātu</w:t>
            </w:r>
            <w:r w:rsidR="00FA27D1" w:rsidRPr="004A5C70">
              <w:rPr>
                <w:sz w:val="18"/>
                <w:szCs w:val="18"/>
              </w:rPr>
              <w:t>;</w:t>
            </w:r>
          </w:p>
          <w:p w14:paraId="0204F7BF" w14:textId="77777777" w:rsidR="00E93791" w:rsidRPr="004A5C70" w:rsidRDefault="00E93791" w:rsidP="008C258A">
            <w:pPr>
              <w:jc w:val="both"/>
              <w:rPr>
                <w:sz w:val="18"/>
                <w:szCs w:val="18"/>
              </w:rPr>
            </w:pPr>
            <w:r w:rsidRPr="004A5C70">
              <w:rPr>
                <w:sz w:val="18"/>
                <w:szCs w:val="18"/>
              </w:rPr>
              <w:t>24 sertificēti mediatori</w:t>
            </w:r>
            <w:r w:rsidR="00C65199" w:rsidRPr="004A5C70">
              <w:rPr>
                <w:sz w:val="18"/>
                <w:szCs w:val="18"/>
              </w:rPr>
              <w:t xml:space="preserve"> (</w:t>
            </w:r>
            <w:r w:rsidR="004F6AEF" w:rsidRPr="004A5C70">
              <w:rPr>
                <w:sz w:val="18"/>
                <w:szCs w:val="18"/>
              </w:rPr>
              <w:t>uz 2015.gada 1.septembri</w:t>
            </w:r>
            <w:r w:rsidR="00C65199" w:rsidRPr="004A5C70">
              <w:rPr>
                <w:sz w:val="18"/>
                <w:szCs w:val="18"/>
              </w:rPr>
              <w:t>)</w:t>
            </w:r>
            <w:r w:rsidRPr="004A5C70">
              <w:rPr>
                <w:sz w:val="18"/>
                <w:szCs w:val="18"/>
              </w:rPr>
              <w:t>;</w:t>
            </w:r>
          </w:p>
          <w:p w14:paraId="13A10F84" w14:textId="77777777" w:rsidR="00E93791" w:rsidRPr="004A5C70" w:rsidRDefault="00E93791" w:rsidP="008C258A">
            <w:pPr>
              <w:jc w:val="both"/>
              <w:rPr>
                <w:sz w:val="18"/>
                <w:szCs w:val="18"/>
              </w:rPr>
            </w:pPr>
            <w:r w:rsidRPr="004A5C70">
              <w:rPr>
                <w:sz w:val="18"/>
                <w:szCs w:val="18"/>
              </w:rPr>
              <w:t>331 maksātnespējas administrator</w:t>
            </w:r>
            <w:r w:rsidR="00FA2B41" w:rsidRPr="004A5C70">
              <w:rPr>
                <w:sz w:val="18"/>
                <w:szCs w:val="18"/>
              </w:rPr>
              <w:t>i</w:t>
            </w:r>
            <w:r w:rsidRPr="004A5C70">
              <w:rPr>
                <w:sz w:val="18"/>
                <w:szCs w:val="18"/>
              </w:rPr>
              <w:t>;</w:t>
            </w:r>
          </w:p>
          <w:p w14:paraId="24DCE61E" w14:textId="77777777" w:rsidR="003B0DE2" w:rsidRPr="004A5C70" w:rsidRDefault="00C85571" w:rsidP="008C258A">
            <w:pPr>
              <w:jc w:val="both"/>
              <w:rPr>
                <w:sz w:val="18"/>
                <w:szCs w:val="18"/>
              </w:rPr>
            </w:pPr>
            <w:r w:rsidRPr="004A5C70">
              <w:rPr>
                <w:sz w:val="18"/>
                <w:szCs w:val="18"/>
              </w:rPr>
              <w:t>115</w:t>
            </w:r>
            <w:r w:rsidR="00FA3A62" w:rsidRPr="004A5C70">
              <w:rPr>
                <w:sz w:val="18"/>
                <w:szCs w:val="18"/>
              </w:rPr>
              <w:t xml:space="preserve"> š</w:t>
            </w:r>
            <w:r w:rsidR="003B0DE2" w:rsidRPr="004A5C70">
              <w:rPr>
                <w:sz w:val="18"/>
                <w:szCs w:val="18"/>
              </w:rPr>
              <w:t>ķīrējtiesneši;</w:t>
            </w:r>
          </w:p>
          <w:p w14:paraId="4974C8FE" w14:textId="77777777" w:rsidR="003B0DE2" w:rsidRPr="004A5C70" w:rsidRDefault="00FA2B41" w:rsidP="008C258A">
            <w:pPr>
              <w:jc w:val="both"/>
              <w:rPr>
                <w:sz w:val="18"/>
                <w:szCs w:val="18"/>
              </w:rPr>
            </w:pPr>
            <w:r w:rsidRPr="004A5C70">
              <w:rPr>
                <w:sz w:val="18"/>
                <w:szCs w:val="18"/>
              </w:rPr>
              <w:t xml:space="preserve">285 </w:t>
            </w:r>
            <w:r w:rsidR="003B0DE2" w:rsidRPr="004A5C70">
              <w:rPr>
                <w:sz w:val="18"/>
                <w:szCs w:val="18"/>
              </w:rPr>
              <w:t>tiesu eksperti</w:t>
            </w:r>
            <w:r w:rsidR="00FA3A62" w:rsidRPr="004A5C70">
              <w:rPr>
                <w:sz w:val="18"/>
                <w:szCs w:val="18"/>
              </w:rPr>
              <w:t>;</w:t>
            </w:r>
          </w:p>
          <w:p w14:paraId="204F85AD" w14:textId="77777777" w:rsidR="00981840" w:rsidRPr="004A5C70" w:rsidRDefault="00981840" w:rsidP="008C258A">
            <w:pPr>
              <w:jc w:val="both"/>
              <w:rPr>
                <w:sz w:val="18"/>
                <w:szCs w:val="18"/>
              </w:rPr>
            </w:pPr>
            <w:r w:rsidRPr="004A5C70">
              <w:rPr>
                <w:sz w:val="18"/>
                <w:szCs w:val="18"/>
              </w:rPr>
              <w:t>83 Tiesu administrācijas darbinieku amata vietas</w:t>
            </w:r>
            <w:r w:rsidR="0010713C" w:rsidRPr="004A5C70">
              <w:rPr>
                <w:sz w:val="18"/>
                <w:szCs w:val="18"/>
              </w:rPr>
              <w:t>;</w:t>
            </w:r>
          </w:p>
          <w:p w14:paraId="25C809AD" w14:textId="77777777" w:rsidR="0010713C" w:rsidRPr="004A5C70" w:rsidRDefault="009B2EAF" w:rsidP="008C258A">
            <w:pPr>
              <w:jc w:val="both"/>
              <w:rPr>
                <w:sz w:val="18"/>
                <w:szCs w:val="18"/>
              </w:rPr>
            </w:pPr>
            <w:r w:rsidRPr="004A5C70">
              <w:rPr>
                <w:sz w:val="18"/>
                <w:szCs w:val="18"/>
              </w:rPr>
              <w:t>1</w:t>
            </w:r>
            <w:r w:rsidR="00013A0A" w:rsidRPr="004A5C70">
              <w:rPr>
                <w:sz w:val="18"/>
                <w:szCs w:val="18"/>
              </w:rPr>
              <w:t xml:space="preserve">27 </w:t>
            </w:r>
            <w:r w:rsidR="0010713C" w:rsidRPr="004A5C70">
              <w:rPr>
                <w:sz w:val="18"/>
                <w:szCs w:val="18"/>
              </w:rPr>
              <w:t xml:space="preserve">Tieslietu ministrijas </w:t>
            </w:r>
            <w:r w:rsidRPr="004A5C70">
              <w:rPr>
                <w:sz w:val="18"/>
                <w:szCs w:val="18"/>
              </w:rPr>
              <w:t>amata vietu</w:t>
            </w:r>
            <w:r w:rsidR="0010713C" w:rsidRPr="004A5C70">
              <w:rPr>
                <w:sz w:val="18"/>
                <w:szCs w:val="18"/>
              </w:rPr>
              <w:t xml:space="preserve"> skaits, kuru funkcijas ir saistītas ar tie</w:t>
            </w:r>
            <w:r w:rsidRPr="004A5C70">
              <w:rPr>
                <w:sz w:val="18"/>
                <w:szCs w:val="18"/>
              </w:rPr>
              <w:t>su sistēmas un tiesību politikas veidošanu;</w:t>
            </w:r>
          </w:p>
          <w:p w14:paraId="062804CC" w14:textId="77777777" w:rsidR="009B2EAF" w:rsidRPr="004A5C70" w:rsidRDefault="009B2EAF" w:rsidP="008C258A">
            <w:pPr>
              <w:jc w:val="both"/>
              <w:rPr>
                <w:sz w:val="18"/>
                <w:szCs w:val="18"/>
              </w:rPr>
            </w:pPr>
            <w:r w:rsidRPr="004A5C70">
              <w:rPr>
                <w:sz w:val="18"/>
                <w:szCs w:val="18"/>
              </w:rPr>
              <w:t>30 sociālo partneru un NVO pārstāvji, kuru darbība ir saistīta ar uzņēmējdarbības vides uzlabošanas jautājumiem.</w:t>
            </w:r>
          </w:p>
          <w:p w14:paraId="484CBC82" w14:textId="77777777" w:rsidR="00282B21" w:rsidRPr="004A5C70" w:rsidRDefault="00282B21" w:rsidP="008C258A">
            <w:pPr>
              <w:jc w:val="both"/>
              <w:rPr>
                <w:sz w:val="18"/>
                <w:szCs w:val="18"/>
              </w:rPr>
            </w:pPr>
          </w:p>
          <w:p w14:paraId="42E89C1F" w14:textId="77777777" w:rsidR="00282B21" w:rsidRPr="004A5C70" w:rsidRDefault="00282B21" w:rsidP="008C258A">
            <w:pPr>
              <w:jc w:val="both"/>
              <w:rPr>
                <w:sz w:val="18"/>
                <w:szCs w:val="18"/>
              </w:rPr>
            </w:pPr>
            <w:r w:rsidRPr="004A5C70">
              <w:rPr>
                <w:sz w:val="18"/>
                <w:szCs w:val="18"/>
              </w:rPr>
              <w:t>Aprēķinot rezultatīvo rādītāju</w:t>
            </w:r>
            <w:r w:rsidR="00022BDC" w:rsidRPr="004A5C70">
              <w:rPr>
                <w:sz w:val="18"/>
                <w:szCs w:val="18"/>
              </w:rPr>
              <w:t xml:space="preserve">, ņemti vērā </w:t>
            </w:r>
            <w:r w:rsidRPr="004A5C70">
              <w:rPr>
                <w:sz w:val="18"/>
                <w:szCs w:val="18"/>
              </w:rPr>
              <w:t>sekojoši faktori:</w:t>
            </w:r>
          </w:p>
          <w:p w14:paraId="70BA2361" w14:textId="77777777" w:rsidR="00282B21" w:rsidRPr="004A5C70" w:rsidRDefault="00FA27D1" w:rsidP="00162542">
            <w:pPr>
              <w:jc w:val="both"/>
              <w:rPr>
                <w:sz w:val="18"/>
                <w:szCs w:val="18"/>
              </w:rPr>
            </w:pPr>
            <w:r w:rsidRPr="004A5C70">
              <w:rPr>
                <w:sz w:val="18"/>
                <w:szCs w:val="18"/>
              </w:rPr>
              <w:lastRenderedPageBreak/>
              <w:t xml:space="preserve">1) </w:t>
            </w:r>
            <w:r w:rsidR="00022BDC" w:rsidRPr="004A5C70">
              <w:rPr>
                <w:sz w:val="18"/>
                <w:szCs w:val="18"/>
              </w:rPr>
              <w:t>Kaut arī normatīvajos aktos nav noteikta mērķauditorijas specializācija kādā konkrētā jomā, n</w:t>
            </w:r>
            <w:r w:rsidR="00282B21" w:rsidRPr="004A5C70">
              <w:rPr>
                <w:sz w:val="18"/>
                <w:szCs w:val="18"/>
              </w:rPr>
              <w:t>e visi tiesneši izskata</w:t>
            </w:r>
            <w:r w:rsidR="00022BDC" w:rsidRPr="004A5C70">
              <w:rPr>
                <w:sz w:val="18"/>
                <w:szCs w:val="18"/>
              </w:rPr>
              <w:t xml:space="preserve"> un </w:t>
            </w:r>
            <w:r w:rsidR="00282B21" w:rsidRPr="004A5C70">
              <w:rPr>
                <w:sz w:val="18"/>
                <w:szCs w:val="18"/>
              </w:rPr>
              <w:t>ne visi prokurori, izmeklētāji, zvērināti advokāti nodarbojas ar civiltiesiskiem jautājumiem</w:t>
            </w:r>
            <w:r w:rsidR="00022BDC" w:rsidRPr="004A5C70">
              <w:rPr>
                <w:sz w:val="18"/>
                <w:szCs w:val="18"/>
              </w:rPr>
              <w:t>.</w:t>
            </w:r>
          </w:p>
          <w:p w14:paraId="2FEC4370" w14:textId="77777777" w:rsidR="00282B21" w:rsidRPr="004A5C70" w:rsidRDefault="00FA27D1" w:rsidP="00162542">
            <w:pPr>
              <w:jc w:val="both"/>
              <w:rPr>
                <w:sz w:val="18"/>
                <w:szCs w:val="18"/>
              </w:rPr>
            </w:pPr>
            <w:r w:rsidRPr="004A5C70">
              <w:rPr>
                <w:sz w:val="18"/>
                <w:szCs w:val="18"/>
              </w:rPr>
              <w:t xml:space="preserve">2) </w:t>
            </w:r>
            <w:r w:rsidR="00282B21" w:rsidRPr="004A5C70">
              <w:rPr>
                <w:sz w:val="18"/>
                <w:szCs w:val="18"/>
              </w:rPr>
              <w:t xml:space="preserve">Nevienai </w:t>
            </w:r>
            <w:r w:rsidR="00022BDC" w:rsidRPr="004A5C70">
              <w:rPr>
                <w:sz w:val="18"/>
                <w:szCs w:val="18"/>
              </w:rPr>
              <w:t xml:space="preserve">no </w:t>
            </w:r>
            <w:r w:rsidR="00282B21" w:rsidRPr="004A5C70">
              <w:rPr>
                <w:sz w:val="18"/>
                <w:szCs w:val="18"/>
              </w:rPr>
              <w:t xml:space="preserve">tiesu sistēmai piederīgajām </w:t>
            </w:r>
            <w:r w:rsidR="00022BDC" w:rsidRPr="004A5C70">
              <w:rPr>
                <w:sz w:val="18"/>
                <w:szCs w:val="18"/>
              </w:rPr>
              <w:t>personām apmācību apmeklēšana nevar tikt uzlikta par pienākumu. L</w:t>
            </w:r>
            <w:r w:rsidR="00282B21" w:rsidRPr="004A5C70">
              <w:rPr>
                <w:sz w:val="18"/>
                <w:szCs w:val="18"/>
              </w:rPr>
              <w:t>ai gan notāriem, advokātiem un tiesu izpildītājiem ir jāsavāc konkrēts kredītpunktu skaits par apmeklētajām mācībām, tiesnešiem un prokuroriem šāds pienākums nav noteikts</w:t>
            </w:r>
            <w:r w:rsidR="00022BDC" w:rsidRPr="004A5C70">
              <w:rPr>
                <w:sz w:val="18"/>
                <w:szCs w:val="18"/>
              </w:rPr>
              <w:t>, līdz ar to apmācību apmeklēšana nevar būt obligāts nosacījums</w:t>
            </w:r>
            <w:r w:rsidRPr="004A5C70">
              <w:rPr>
                <w:sz w:val="18"/>
                <w:szCs w:val="18"/>
              </w:rPr>
              <w:t>.</w:t>
            </w:r>
          </w:p>
          <w:p w14:paraId="15E3FBA1" w14:textId="77777777" w:rsidR="00016805" w:rsidRPr="004A5C70" w:rsidRDefault="00016805" w:rsidP="00162542">
            <w:pPr>
              <w:jc w:val="both"/>
              <w:rPr>
                <w:sz w:val="18"/>
                <w:szCs w:val="18"/>
              </w:rPr>
            </w:pPr>
            <w:r w:rsidRPr="004A5C70">
              <w:rPr>
                <w:sz w:val="18"/>
                <w:szCs w:val="18"/>
              </w:rPr>
              <w:t>3</w:t>
            </w:r>
            <w:r w:rsidR="00FA27D1" w:rsidRPr="004A5C70">
              <w:rPr>
                <w:sz w:val="18"/>
                <w:szCs w:val="18"/>
              </w:rPr>
              <w:t xml:space="preserve">) </w:t>
            </w:r>
            <w:r w:rsidR="00282B21" w:rsidRPr="004A5C70">
              <w:rPr>
                <w:sz w:val="18"/>
                <w:szCs w:val="18"/>
              </w:rPr>
              <w:t>Rādītāj</w:t>
            </w:r>
            <w:r w:rsidR="00022BDC" w:rsidRPr="004A5C70">
              <w:rPr>
                <w:sz w:val="18"/>
                <w:szCs w:val="18"/>
              </w:rPr>
              <w:t>s</w:t>
            </w:r>
            <w:r w:rsidR="00282B21" w:rsidRPr="004A5C70">
              <w:rPr>
                <w:sz w:val="18"/>
                <w:szCs w:val="18"/>
              </w:rPr>
              <w:t xml:space="preserve"> iekļauj nevis unikālo </w:t>
            </w:r>
            <w:r w:rsidR="00022BDC" w:rsidRPr="004A5C70">
              <w:rPr>
                <w:sz w:val="18"/>
                <w:szCs w:val="18"/>
              </w:rPr>
              <w:t>apmācīto personu skaitu, bet gan apmeklējumu skaitu apmācībās, paredzot, ka viena persona piedalīsies vairākās apmācībās projekta ietvaros.</w:t>
            </w:r>
          </w:p>
          <w:p w14:paraId="597113D0" w14:textId="2255CDE5" w:rsidR="003D7CD8" w:rsidRPr="004A5C70" w:rsidRDefault="003D7CD8" w:rsidP="00162542">
            <w:pPr>
              <w:jc w:val="both"/>
              <w:rPr>
                <w:sz w:val="18"/>
                <w:szCs w:val="18"/>
              </w:rPr>
            </w:pPr>
            <w:r w:rsidRPr="004A5C70">
              <w:rPr>
                <w:sz w:val="18"/>
                <w:szCs w:val="18"/>
              </w:rPr>
              <w:t xml:space="preserve">4) Rādītāja vērtība precizēta, ņemot vērā vienošanos par finansējuma pārdali 3.4.priortitārā virziena ietvaros, daļu no tā novirzot sociālajiem partneriem. Attiecīgi ir samazināts 3.4.1.SAM finansējums par 590 224 </w:t>
            </w:r>
            <w:proofErr w:type="spellStart"/>
            <w:r w:rsidRPr="004A5C70">
              <w:rPr>
                <w:i/>
                <w:sz w:val="18"/>
                <w:szCs w:val="18"/>
              </w:rPr>
              <w:t>euro</w:t>
            </w:r>
            <w:proofErr w:type="spellEnd"/>
            <w:r w:rsidRPr="004A5C70">
              <w:rPr>
                <w:sz w:val="18"/>
                <w:szCs w:val="18"/>
              </w:rPr>
              <w:t>,  novirzot to 3.4.2. SAM īstenošanai</w:t>
            </w:r>
            <w:r w:rsidR="003D6B4B" w:rsidRPr="004A5C70">
              <w:rPr>
                <w:rStyle w:val="FootnoteReference"/>
                <w:sz w:val="18"/>
                <w:szCs w:val="18"/>
              </w:rPr>
              <w:footnoteReference w:id="5"/>
            </w:r>
            <w:r w:rsidRPr="004A5C70">
              <w:rPr>
                <w:sz w:val="18"/>
                <w:szCs w:val="18"/>
              </w:rPr>
              <w:t>.</w:t>
            </w:r>
          </w:p>
          <w:p w14:paraId="6638FE17" w14:textId="77777777" w:rsidR="00282B21" w:rsidRPr="004A5C70" w:rsidRDefault="00282B21" w:rsidP="008C258A">
            <w:pPr>
              <w:jc w:val="both"/>
              <w:rPr>
                <w:sz w:val="18"/>
                <w:szCs w:val="18"/>
              </w:rPr>
            </w:pPr>
          </w:p>
          <w:p w14:paraId="3378B7CF" w14:textId="77777777" w:rsidR="00016805" w:rsidRPr="004A5C70" w:rsidRDefault="00B52936" w:rsidP="008C258A">
            <w:pPr>
              <w:jc w:val="both"/>
              <w:rPr>
                <w:sz w:val="18"/>
                <w:szCs w:val="18"/>
              </w:rPr>
            </w:pPr>
            <w:r w:rsidRPr="004A5C70">
              <w:rPr>
                <w:sz w:val="18"/>
                <w:szCs w:val="18"/>
              </w:rPr>
              <w:t>Mērķa vērtības noteikšanā tiek pieņemts, ka viena un tā pati persona var būt piedalījusies vairākās apmācību aktivitātēs (programmās) –</w:t>
            </w:r>
            <w:r w:rsidR="00016805" w:rsidRPr="004A5C70">
              <w:rPr>
                <w:sz w:val="18"/>
                <w:szCs w:val="18"/>
              </w:rPr>
              <w:t xml:space="preserve"> </w:t>
            </w:r>
            <w:r w:rsidRPr="004A5C70">
              <w:rPr>
                <w:sz w:val="18"/>
                <w:szCs w:val="18"/>
              </w:rPr>
              <w:t>vidēji 1 persona</w:t>
            </w:r>
            <w:r w:rsidR="007B3BBF" w:rsidRPr="004A5C70">
              <w:rPr>
                <w:sz w:val="18"/>
                <w:szCs w:val="18"/>
              </w:rPr>
              <w:t xml:space="preserve"> 3</w:t>
            </w:r>
            <w:r w:rsidRPr="004A5C70">
              <w:rPr>
                <w:sz w:val="18"/>
                <w:szCs w:val="18"/>
              </w:rPr>
              <w:t xml:space="preserve"> programm</w:t>
            </w:r>
            <w:r w:rsidR="007B3BBF" w:rsidRPr="004A5C70">
              <w:rPr>
                <w:sz w:val="18"/>
                <w:szCs w:val="18"/>
              </w:rPr>
              <w:t>ā</w:t>
            </w:r>
            <w:r w:rsidRPr="004A5C70">
              <w:rPr>
                <w:sz w:val="18"/>
                <w:szCs w:val="18"/>
              </w:rPr>
              <w:t>s</w:t>
            </w:r>
            <w:r w:rsidR="00016805" w:rsidRPr="004A5C70">
              <w:rPr>
                <w:sz w:val="18"/>
                <w:szCs w:val="18"/>
              </w:rPr>
              <w:t xml:space="preserve"> un vairāk</w:t>
            </w:r>
            <w:r w:rsidRPr="004A5C70">
              <w:rPr>
                <w:sz w:val="18"/>
                <w:szCs w:val="18"/>
              </w:rPr>
              <w:t>.</w:t>
            </w:r>
          </w:p>
          <w:p w14:paraId="393058EA" w14:textId="77777777" w:rsidR="00016805" w:rsidRPr="004A5C70" w:rsidRDefault="00016805" w:rsidP="008C258A">
            <w:pPr>
              <w:jc w:val="both"/>
              <w:rPr>
                <w:sz w:val="18"/>
                <w:szCs w:val="18"/>
              </w:rPr>
            </w:pPr>
          </w:p>
          <w:p w14:paraId="0ECFE53F" w14:textId="7E1D29EB" w:rsidR="00B52936" w:rsidRPr="004A5C70" w:rsidRDefault="00B52936" w:rsidP="008C258A">
            <w:pPr>
              <w:jc w:val="both"/>
              <w:rPr>
                <w:sz w:val="18"/>
                <w:szCs w:val="18"/>
              </w:rPr>
            </w:pPr>
            <w:r w:rsidRPr="004A5C70">
              <w:rPr>
                <w:sz w:val="18"/>
                <w:szCs w:val="18"/>
              </w:rPr>
              <w:t>Mērķa skaitlisk</w:t>
            </w:r>
            <w:r w:rsidR="00016805" w:rsidRPr="004A5C70">
              <w:rPr>
                <w:sz w:val="18"/>
                <w:szCs w:val="18"/>
              </w:rPr>
              <w:t>o</w:t>
            </w:r>
            <w:r w:rsidRPr="004A5C70">
              <w:rPr>
                <w:sz w:val="18"/>
                <w:szCs w:val="18"/>
              </w:rPr>
              <w:t xml:space="preserve"> vērtīb</w:t>
            </w:r>
            <w:r w:rsidR="00016805" w:rsidRPr="004A5C70">
              <w:rPr>
                <w:sz w:val="18"/>
                <w:szCs w:val="18"/>
              </w:rPr>
              <w:t>u</w:t>
            </w:r>
            <w:r w:rsidRPr="004A5C70">
              <w:rPr>
                <w:sz w:val="18"/>
                <w:szCs w:val="18"/>
              </w:rPr>
              <w:t xml:space="preserve"> veido </w:t>
            </w:r>
            <w:r w:rsidR="00280D12" w:rsidRPr="004A5C70">
              <w:rPr>
                <w:sz w:val="18"/>
                <w:szCs w:val="18"/>
              </w:rPr>
              <w:t>definīcijā norādīto personu</w:t>
            </w:r>
            <w:r w:rsidR="00016805" w:rsidRPr="004A5C70">
              <w:rPr>
                <w:sz w:val="18"/>
                <w:szCs w:val="18"/>
              </w:rPr>
              <w:t xml:space="preserve"> apmācību</w:t>
            </w:r>
            <w:r w:rsidR="00280D12" w:rsidRPr="004A5C70">
              <w:rPr>
                <w:sz w:val="18"/>
                <w:szCs w:val="18"/>
              </w:rPr>
              <w:t xml:space="preserve"> apmeklējumu </w:t>
            </w:r>
            <w:r w:rsidR="00016805" w:rsidRPr="004A5C70">
              <w:rPr>
                <w:sz w:val="18"/>
                <w:szCs w:val="18"/>
              </w:rPr>
              <w:t xml:space="preserve">skaits </w:t>
            </w:r>
            <w:r w:rsidRPr="004A5C70">
              <w:rPr>
                <w:sz w:val="18"/>
                <w:szCs w:val="18"/>
              </w:rPr>
              <w:t>laika periodā no 201</w:t>
            </w:r>
            <w:r w:rsidR="00FA27D1" w:rsidRPr="004A5C70">
              <w:rPr>
                <w:sz w:val="18"/>
                <w:szCs w:val="18"/>
              </w:rPr>
              <w:t>7</w:t>
            </w:r>
            <w:r w:rsidRPr="004A5C70">
              <w:rPr>
                <w:sz w:val="18"/>
                <w:szCs w:val="18"/>
              </w:rPr>
              <w:t>.gad</w:t>
            </w:r>
            <w:r w:rsidR="0076664F" w:rsidRPr="004A5C70">
              <w:rPr>
                <w:sz w:val="18"/>
                <w:szCs w:val="18"/>
              </w:rPr>
              <w:t>a līdz 202</w:t>
            </w:r>
            <w:r w:rsidR="00FA27D1" w:rsidRPr="004A5C70">
              <w:rPr>
                <w:sz w:val="18"/>
                <w:szCs w:val="18"/>
              </w:rPr>
              <w:t>2</w:t>
            </w:r>
            <w:r w:rsidR="0076664F" w:rsidRPr="004A5C70">
              <w:rPr>
                <w:sz w:val="18"/>
                <w:szCs w:val="18"/>
              </w:rPr>
              <w:t>.gadam (ieskaitot)</w:t>
            </w:r>
            <w:r w:rsidRPr="004A5C70">
              <w:rPr>
                <w:sz w:val="18"/>
                <w:szCs w:val="18"/>
              </w:rPr>
              <w:t xml:space="preserve">, ņemot vērā pieņēmumu par personas vairākkārtēju dalību apmācībās. </w:t>
            </w:r>
          </w:p>
          <w:p w14:paraId="3FDE208C" w14:textId="47935E38" w:rsidR="00670F43" w:rsidRPr="004A5C70" w:rsidRDefault="00670F43" w:rsidP="008C258A">
            <w:pPr>
              <w:jc w:val="both"/>
              <w:rPr>
                <w:sz w:val="18"/>
                <w:szCs w:val="18"/>
              </w:rPr>
            </w:pPr>
          </w:p>
          <w:p w14:paraId="7B926F7E" w14:textId="201034AB" w:rsidR="00670F43" w:rsidRPr="004A5C70" w:rsidRDefault="000E3BA6" w:rsidP="008C258A">
            <w:pPr>
              <w:jc w:val="both"/>
              <w:rPr>
                <w:sz w:val="18"/>
                <w:szCs w:val="18"/>
              </w:rPr>
            </w:pPr>
            <w:r w:rsidRPr="004A5C70">
              <w:rPr>
                <w:sz w:val="18"/>
                <w:szCs w:val="18"/>
              </w:rPr>
              <w:t xml:space="preserve">Veicot </w:t>
            </w:r>
            <w:r w:rsidR="00296F11" w:rsidRPr="004A5C70">
              <w:rPr>
                <w:sz w:val="18"/>
                <w:szCs w:val="18"/>
              </w:rPr>
              <w:t>SAM īstenošanas starpposma izvērtējumu kā arī s</w:t>
            </w:r>
            <w:r w:rsidR="00670F43" w:rsidRPr="004A5C70">
              <w:rPr>
                <w:sz w:val="18"/>
                <w:szCs w:val="18"/>
              </w:rPr>
              <w:t xml:space="preserve">aņemot apstiprinājumu par snieguma ietvara rezerves finansējuma pieejamību, iznākuma rādītāja mērķa vērtība tiek palielināta par 700 personām līdz 12 133 personām. </w:t>
            </w:r>
            <w:r w:rsidR="00296F11" w:rsidRPr="004A5C70">
              <w:rPr>
                <w:sz w:val="18"/>
                <w:szCs w:val="18"/>
              </w:rPr>
              <w:t xml:space="preserve">Iznākuma rādītāja mērķa vērtības palielinājums ir iespējams, jo projekta īstenošanas gaitā ir izveidojies ietaupījums. Piemēram, sākotnēji paredzēto ārvalstu </w:t>
            </w:r>
            <w:r w:rsidR="00296F11" w:rsidRPr="004A5C70">
              <w:rPr>
                <w:sz w:val="18"/>
                <w:szCs w:val="18"/>
              </w:rPr>
              <w:lastRenderedPageBreak/>
              <w:t>apmācību un stažēšanās vietā ERA (Eiropas Tiesību akadēmijā)</w:t>
            </w:r>
            <w:r w:rsidR="00E60C94" w:rsidRPr="004A5C70">
              <w:rPr>
                <w:sz w:val="18"/>
                <w:szCs w:val="18"/>
              </w:rPr>
              <w:t xml:space="preserve"> Vācijā</w:t>
            </w:r>
            <w:r w:rsidR="00296F11" w:rsidRPr="004A5C70">
              <w:rPr>
                <w:sz w:val="18"/>
                <w:szCs w:val="18"/>
              </w:rPr>
              <w:t xml:space="preserve"> tika rasta iespēja mācības organizēt Rīgā</w:t>
            </w:r>
            <w:r w:rsidR="00E60C94" w:rsidRPr="004A5C70">
              <w:rPr>
                <w:sz w:val="18"/>
                <w:szCs w:val="18"/>
              </w:rPr>
              <w:t xml:space="preserve">, </w:t>
            </w:r>
            <w:r w:rsidR="00296F11" w:rsidRPr="004A5C70">
              <w:rPr>
                <w:sz w:val="18"/>
                <w:szCs w:val="18"/>
              </w:rPr>
              <w:t>uzaicinot ERA lektorus, tādējādi ar ievērojami mazāku finansējumu nekā sākotnēji plānots nodrošinot iespēju piedalīties apmācībās lielākam dalībnieku skaitam. Ietaupījuma rezultātā radušos un snieguma ietvara r</w:t>
            </w:r>
            <w:r w:rsidR="00670F43" w:rsidRPr="004A5C70">
              <w:rPr>
                <w:sz w:val="18"/>
                <w:szCs w:val="18"/>
              </w:rPr>
              <w:t xml:space="preserve">ezerves finansējumu plānots novirzīt papildu pasākumiem esošo atbalstāmo darbību ietvaros organizējot papildu apmācības par papildu tēmām. Papildu tēmas izriet no projekta "Justīcija attīstībai" ietvaros izstrādātā tieslietu sistēmas novērtējuma procesā sniegtajām rekomendācijām Latvijas tieslietu sistēmai, plānotās jaunās specializētās pirmās instances rajona (pilsētas) tiesas izveides, kuras kompetence aptvertu noteikta rakstura </w:t>
            </w:r>
            <w:proofErr w:type="spellStart"/>
            <w:r w:rsidR="00670F43" w:rsidRPr="004A5C70">
              <w:rPr>
                <w:sz w:val="18"/>
                <w:szCs w:val="18"/>
              </w:rPr>
              <w:t>komercstrīdu</w:t>
            </w:r>
            <w:proofErr w:type="spellEnd"/>
            <w:r w:rsidR="00670F43" w:rsidRPr="004A5C70">
              <w:rPr>
                <w:sz w:val="18"/>
                <w:szCs w:val="18"/>
              </w:rPr>
              <w:t>, ekonomisko un finanšu noziegumu, kā arī korupcijas lietu izskatīšanu, kā arī realizējot mācību vajadzību novērtējumu (mācību dalībnieku novērtēšanas anketas un norādītās vajadzības).</w:t>
            </w:r>
          </w:p>
          <w:p w14:paraId="6BB7E2D7" w14:textId="0886431A" w:rsidR="00F01874" w:rsidRPr="004A5C70" w:rsidRDefault="00F01874" w:rsidP="008C258A">
            <w:pPr>
              <w:jc w:val="both"/>
              <w:rPr>
                <w:sz w:val="18"/>
                <w:szCs w:val="18"/>
              </w:rPr>
            </w:pPr>
          </w:p>
          <w:p w14:paraId="342A8819" w14:textId="77777777" w:rsidR="00F01874" w:rsidRPr="004A5C70" w:rsidRDefault="00F01874" w:rsidP="00F01874">
            <w:pPr>
              <w:jc w:val="both"/>
              <w:rPr>
                <w:sz w:val="18"/>
                <w:szCs w:val="18"/>
              </w:rPr>
            </w:pPr>
            <w:r w:rsidRPr="004A5C70">
              <w:rPr>
                <w:b/>
                <w:bCs/>
                <w:color w:val="000000"/>
                <w:sz w:val="16"/>
                <w:szCs w:val="16"/>
              </w:rPr>
              <w:t>Darbības, kas liek uzskatīt mērķa vērtību par izpildītu:</w:t>
            </w:r>
            <w:r w:rsidRPr="004A5C70">
              <w:rPr>
                <w:color w:val="000000"/>
                <w:sz w:val="18"/>
                <w:szCs w:val="18"/>
                <w:shd w:val="clear" w:color="auto" w:fill="FFFFFF"/>
              </w:rPr>
              <w:t xml:space="preserve"> personas dalība apmācībās iekļauta MP.</w:t>
            </w:r>
          </w:p>
          <w:p w14:paraId="21C8ECA0" w14:textId="77777777" w:rsidR="00F01874" w:rsidRPr="004A5C70" w:rsidRDefault="00F01874" w:rsidP="008C258A">
            <w:pPr>
              <w:jc w:val="both"/>
              <w:rPr>
                <w:sz w:val="18"/>
                <w:szCs w:val="18"/>
              </w:rPr>
            </w:pPr>
          </w:p>
          <w:p w14:paraId="589A6C5D" w14:textId="77777777" w:rsidR="00986913" w:rsidRPr="004A5C70" w:rsidRDefault="00986913" w:rsidP="008C258A">
            <w:pPr>
              <w:jc w:val="both"/>
              <w:rPr>
                <w:sz w:val="18"/>
                <w:szCs w:val="18"/>
              </w:rPr>
            </w:pPr>
          </w:p>
          <w:p w14:paraId="13AEB0E9" w14:textId="1A6FB08D" w:rsidR="00D93EF9" w:rsidRPr="004A5C70" w:rsidRDefault="009D2C6F" w:rsidP="00670F43">
            <w:pPr>
              <w:jc w:val="both"/>
              <w:rPr>
                <w:b/>
                <w:sz w:val="28"/>
                <w:szCs w:val="28"/>
              </w:rPr>
            </w:pPr>
            <w:r w:rsidRPr="004A5C70">
              <w:rPr>
                <w:i/>
                <w:sz w:val="18"/>
                <w:szCs w:val="18"/>
              </w:rPr>
              <w:t>Iznākuma rādītājam sasniegšanai paredzētais finansējums:</w:t>
            </w:r>
            <w:r w:rsidR="004154CD" w:rsidRPr="004A5C70">
              <w:rPr>
                <w:i/>
                <w:sz w:val="18"/>
                <w:szCs w:val="18"/>
              </w:rPr>
              <w:t xml:space="preserve"> </w:t>
            </w:r>
            <w:r w:rsidRPr="004A5C70">
              <w:rPr>
                <w:b/>
                <w:i/>
                <w:sz w:val="18"/>
                <w:szCs w:val="18"/>
              </w:rPr>
              <w:t>100%</w:t>
            </w:r>
            <w:r w:rsidR="004154CD" w:rsidRPr="004A5C70">
              <w:rPr>
                <w:b/>
                <w:i/>
                <w:sz w:val="18"/>
                <w:szCs w:val="18"/>
              </w:rPr>
              <w:t xml:space="preserve"> </w:t>
            </w:r>
            <w:r w:rsidRPr="004A5C70">
              <w:rPr>
                <w:b/>
                <w:i/>
                <w:sz w:val="18"/>
                <w:szCs w:val="18"/>
              </w:rPr>
              <w:t xml:space="preserve">jeb </w:t>
            </w:r>
            <w:r w:rsidR="009E1DB3" w:rsidRPr="004A5C70">
              <w:rPr>
                <w:b/>
                <w:i/>
                <w:sz w:val="18"/>
                <w:szCs w:val="18"/>
              </w:rPr>
              <w:t>10 859 393</w:t>
            </w:r>
            <w:r w:rsidR="00E86980" w:rsidRPr="004A5C70">
              <w:rPr>
                <w:b/>
                <w:i/>
                <w:sz w:val="18"/>
                <w:szCs w:val="18"/>
              </w:rPr>
              <w:t xml:space="preserve">  </w:t>
            </w:r>
            <w:proofErr w:type="spellStart"/>
            <w:r w:rsidR="00E86980" w:rsidRPr="004A5C70">
              <w:rPr>
                <w:b/>
                <w:i/>
                <w:sz w:val="18"/>
                <w:szCs w:val="18"/>
              </w:rPr>
              <w:t>euro</w:t>
            </w:r>
            <w:proofErr w:type="spellEnd"/>
          </w:p>
        </w:tc>
        <w:tc>
          <w:tcPr>
            <w:tcW w:w="2835" w:type="dxa"/>
          </w:tcPr>
          <w:p w14:paraId="2FC58462" w14:textId="77777777" w:rsidR="009D2C6F" w:rsidRPr="004A5C70" w:rsidRDefault="009D2C6F" w:rsidP="008C258A">
            <w:pPr>
              <w:jc w:val="both"/>
              <w:rPr>
                <w:i/>
                <w:sz w:val="18"/>
                <w:szCs w:val="18"/>
              </w:rPr>
            </w:pPr>
            <w:r w:rsidRPr="004A5C70">
              <w:rPr>
                <w:i/>
                <w:sz w:val="18"/>
                <w:szCs w:val="18"/>
              </w:rPr>
              <w:lastRenderedPageBreak/>
              <w:t xml:space="preserve">Starpposma vērtība 2018. </w:t>
            </w:r>
            <w:r w:rsidR="00FA27D1" w:rsidRPr="004A5C70">
              <w:rPr>
                <w:i/>
                <w:sz w:val="18"/>
                <w:szCs w:val="18"/>
              </w:rPr>
              <w:t>g</w:t>
            </w:r>
            <w:r w:rsidRPr="004A5C70">
              <w:rPr>
                <w:i/>
                <w:sz w:val="18"/>
                <w:szCs w:val="18"/>
              </w:rPr>
              <w:t xml:space="preserve">adam (absolūtos skaitļos un procentos no kopējā specifiskajam atbalsta mērķim paredzētā finansējuma): </w:t>
            </w:r>
          </w:p>
          <w:p w14:paraId="47745DBF" w14:textId="41890A0D" w:rsidR="009D2C6F" w:rsidRPr="004A5C70" w:rsidRDefault="00653181" w:rsidP="008C258A">
            <w:pPr>
              <w:tabs>
                <w:tab w:val="center" w:pos="1238"/>
              </w:tabs>
              <w:jc w:val="both"/>
              <w:rPr>
                <w:b/>
                <w:sz w:val="18"/>
                <w:szCs w:val="18"/>
              </w:rPr>
            </w:pPr>
            <w:r w:rsidRPr="004A5C70">
              <w:rPr>
                <w:b/>
                <w:sz w:val="18"/>
                <w:szCs w:val="18"/>
              </w:rPr>
              <w:t xml:space="preserve"> 3 686</w:t>
            </w:r>
            <w:r w:rsidR="00E86980" w:rsidRPr="004A5C70">
              <w:rPr>
                <w:b/>
                <w:sz w:val="18"/>
                <w:szCs w:val="18"/>
              </w:rPr>
              <w:t> </w:t>
            </w:r>
            <w:r w:rsidRPr="004A5C70">
              <w:rPr>
                <w:b/>
                <w:sz w:val="18"/>
                <w:szCs w:val="18"/>
              </w:rPr>
              <w:t>957</w:t>
            </w:r>
            <w:r w:rsidR="00E86980" w:rsidRPr="004A5C70">
              <w:rPr>
                <w:b/>
                <w:sz w:val="18"/>
                <w:szCs w:val="18"/>
              </w:rPr>
              <w:t xml:space="preserve"> </w:t>
            </w:r>
            <w:proofErr w:type="spellStart"/>
            <w:r w:rsidR="00E86980" w:rsidRPr="004A5C70">
              <w:rPr>
                <w:b/>
                <w:i/>
                <w:sz w:val="18"/>
                <w:szCs w:val="18"/>
              </w:rPr>
              <w:t>euro</w:t>
            </w:r>
            <w:proofErr w:type="spellEnd"/>
            <w:r w:rsidRPr="004A5C70">
              <w:rPr>
                <w:b/>
                <w:i/>
                <w:sz w:val="18"/>
                <w:szCs w:val="18"/>
              </w:rPr>
              <w:t xml:space="preserve"> </w:t>
            </w:r>
            <w:r w:rsidR="009D2C6F" w:rsidRPr="004A5C70">
              <w:rPr>
                <w:b/>
                <w:sz w:val="18"/>
                <w:szCs w:val="18"/>
              </w:rPr>
              <w:t xml:space="preserve">jeb </w:t>
            </w:r>
            <w:r w:rsidR="007328AF" w:rsidRPr="004A5C70">
              <w:rPr>
                <w:b/>
                <w:sz w:val="18"/>
                <w:szCs w:val="18"/>
              </w:rPr>
              <w:t>3</w:t>
            </w:r>
            <w:r w:rsidR="00C81890" w:rsidRPr="004A5C70">
              <w:rPr>
                <w:b/>
                <w:sz w:val="18"/>
                <w:szCs w:val="18"/>
              </w:rPr>
              <w:t>3</w:t>
            </w:r>
            <w:r w:rsidR="009D2C6F" w:rsidRPr="004A5C70">
              <w:rPr>
                <w:b/>
                <w:sz w:val="18"/>
                <w:szCs w:val="18"/>
              </w:rPr>
              <w:t>%</w:t>
            </w:r>
          </w:p>
          <w:p w14:paraId="563D406D" w14:textId="77777777" w:rsidR="009D2C6F" w:rsidRPr="004A5C70" w:rsidRDefault="009D2C6F" w:rsidP="008C258A">
            <w:pPr>
              <w:jc w:val="both"/>
              <w:rPr>
                <w:i/>
                <w:sz w:val="18"/>
                <w:szCs w:val="18"/>
              </w:rPr>
            </w:pPr>
            <w:r w:rsidRPr="004A5C70">
              <w:rPr>
                <w:i/>
                <w:sz w:val="18"/>
                <w:szCs w:val="18"/>
              </w:rPr>
              <w:t xml:space="preserve"> </w:t>
            </w:r>
          </w:p>
          <w:p w14:paraId="06DD7FDA" w14:textId="02B8D6A2" w:rsidR="009D2C6F" w:rsidRPr="004A5C70" w:rsidRDefault="009D2C6F" w:rsidP="008C258A">
            <w:pPr>
              <w:jc w:val="both"/>
              <w:rPr>
                <w:b/>
                <w:i/>
                <w:sz w:val="18"/>
                <w:szCs w:val="18"/>
              </w:rPr>
            </w:pPr>
            <w:r w:rsidRPr="004A5C70">
              <w:rPr>
                <w:i/>
                <w:sz w:val="18"/>
                <w:szCs w:val="18"/>
              </w:rPr>
              <w:t>Mērķis 2023. gadam:</w:t>
            </w:r>
            <w:r w:rsidRPr="004A5C70">
              <w:rPr>
                <w:sz w:val="18"/>
                <w:szCs w:val="18"/>
              </w:rPr>
              <w:t xml:space="preserve"> </w:t>
            </w:r>
            <w:r w:rsidR="009E1DB3" w:rsidRPr="004A5C70">
              <w:rPr>
                <w:sz w:val="18"/>
                <w:szCs w:val="18"/>
              </w:rPr>
              <w:t>10 859 393</w:t>
            </w:r>
            <w:r w:rsidR="00653181" w:rsidRPr="004A5C70">
              <w:rPr>
                <w:b/>
                <w:i/>
                <w:sz w:val="18"/>
                <w:szCs w:val="18"/>
              </w:rPr>
              <w:t xml:space="preserve"> </w:t>
            </w:r>
            <w:proofErr w:type="spellStart"/>
            <w:r w:rsidR="00E86980" w:rsidRPr="004A5C70">
              <w:rPr>
                <w:b/>
                <w:i/>
                <w:sz w:val="18"/>
                <w:szCs w:val="18"/>
              </w:rPr>
              <w:t>euro</w:t>
            </w:r>
            <w:proofErr w:type="spellEnd"/>
            <w:r w:rsidR="00E86980" w:rsidRPr="004A5C70">
              <w:rPr>
                <w:b/>
                <w:i/>
                <w:sz w:val="18"/>
                <w:szCs w:val="18"/>
              </w:rPr>
              <w:t xml:space="preserve"> </w:t>
            </w:r>
          </w:p>
          <w:p w14:paraId="7A7E7109" w14:textId="77777777" w:rsidR="009D2C6F" w:rsidRPr="004A5C70" w:rsidRDefault="009D2C6F" w:rsidP="008C258A">
            <w:pPr>
              <w:jc w:val="both"/>
              <w:rPr>
                <w:b/>
                <w:i/>
                <w:sz w:val="18"/>
                <w:szCs w:val="18"/>
              </w:rPr>
            </w:pPr>
          </w:p>
          <w:p w14:paraId="5FC351DD" w14:textId="7DF090BD" w:rsidR="009D2C6F" w:rsidRPr="004A5C70" w:rsidRDefault="009D2C6F" w:rsidP="008C258A">
            <w:pPr>
              <w:jc w:val="both"/>
              <w:rPr>
                <w:sz w:val="18"/>
                <w:szCs w:val="18"/>
              </w:rPr>
            </w:pPr>
            <w:r w:rsidRPr="004A5C70">
              <w:rPr>
                <w:i/>
                <w:sz w:val="18"/>
                <w:szCs w:val="18"/>
              </w:rPr>
              <w:t>Starpposma vērtības noteikšanas aprēķins:</w:t>
            </w:r>
            <w:r w:rsidRPr="004A5C70">
              <w:rPr>
                <w:sz w:val="18"/>
                <w:szCs w:val="18"/>
              </w:rPr>
              <w:t xml:space="preserve"> aprēķins balstīts uz pieņēmumu, ka uz 31.</w:t>
            </w:r>
            <w:r w:rsidR="003D7CD8" w:rsidRPr="004A5C70">
              <w:rPr>
                <w:sz w:val="18"/>
                <w:szCs w:val="18"/>
              </w:rPr>
              <w:t>06</w:t>
            </w:r>
            <w:r w:rsidRPr="004A5C70">
              <w:rPr>
                <w:sz w:val="18"/>
                <w:szCs w:val="18"/>
              </w:rPr>
              <w:t>.2018. tiks īstenota daļa no aktivitātēm ar tām nepieciešamo finansējuma apjomu, kas ir proporcionāls aktivitāšu īstenošanas intensitātei. Starpposma vērtība noteikta, ņemot vērā Valsts kancelejas pieredzi ES fondu apguvē 2007.-2013.g. plānošanas periodā, ka līdz starpposma novērtējumam iespējams īstenot aptuveni 1/</w:t>
            </w:r>
            <w:r w:rsidR="00851D8A" w:rsidRPr="004A5C70">
              <w:rPr>
                <w:sz w:val="18"/>
                <w:szCs w:val="18"/>
              </w:rPr>
              <w:t xml:space="preserve">5 </w:t>
            </w:r>
            <w:r w:rsidRPr="004A5C70">
              <w:rPr>
                <w:sz w:val="18"/>
                <w:szCs w:val="18"/>
              </w:rPr>
              <w:t>(</w:t>
            </w:r>
            <w:r w:rsidR="00851D8A" w:rsidRPr="004A5C70">
              <w:rPr>
                <w:sz w:val="18"/>
                <w:szCs w:val="18"/>
              </w:rPr>
              <w:t>18</w:t>
            </w:r>
            <w:r w:rsidRPr="004A5C70">
              <w:rPr>
                <w:sz w:val="18"/>
                <w:szCs w:val="18"/>
              </w:rPr>
              <w:t>%) no plānotajām aktivitātēm. Valsts kancelejas pieredze ņemta vērā, jo Tieslietu ministrijai nav iepriekšējas pieredzes ES fondu apguvē.</w:t>
            </w:r>
          </w:p>
          <w:p w14:paraId="63288531" w14:textId="77777777" w:rsidR="009D2C6F" w:rsidRPr="004A5C70" w:rsidRDefault="009D2C6F" w:rsidP="008C258A">
            <w:pPr>
              <w:jc w:val="both"/>
              <w:rPr>
                <w:sz w:val="18"/>
                <w:szCs w:val="18"/>
              </w:rPr>
            </w:pPr>
          </w:p>
          <w:p w14:paraId="248A96F3" w14:textId="77777777" w:rsidR="009D2C6F" w:rsidRPr="004A5C70" w:rsidRDefault="009D2C6F" w:rsidP="00280D12">
            <w:pPr>
              <w:jc w:val="both"/>
              <w:rPr>
                <w:sz w:val="18"/>
                <w:szCs w:val="18"/>
              </w:rPr>
            </w:pPr>
          </w:p>
        </w:tc>
      </w:tr>
    </w:tbl>
    <w:p w14:paraId="31EE4C03" w14:textId="6B704F9B" w:rsidR="00166206" w:rsidRPr="004A5C70" w:rsidRDefault="006761AE" w:rsidP="008C258A">
      <w:pPr>
        <w:jc w:val="both"/>
        <w:rPr>
          <w:sz w:val="18"/>
          <w:szCs w:val="18"/>
        </w:rPr>
      </w:pPr>
      <w:r w:rsidRPr="004A5C70">
        <w:rPr>
          <w:sz w:val="18"/>
          <w:szCs w:val="18"/>
        </w:rPr>
        <w:lastRenderedPageBreak/>
        <w:t>* Ārējie faktori, kas var ietekmēt lietu, kas specificētas rādītāja nosaukumā un definīcijā, izskatīšanas ilgumu:</w:t>
      </w:r>
    </w:p>
    <w:p w14:paraId="1DE6CFC1" w14:textId="77777777" w:rsidR="00AD30A0" w:rsidRPr="004A5C70" w:rsidRDefault="00AD30A0" w:rsidP="008C258A">
      <w:pPr>
        <w:numPr>
          <w:ilvl w:val="0"/>
          <w:numId w:val="3"/>
        </w:numPr>
        <w:jc w:val="both"/>
        <w:rPr>
          <w:sz w:val="18"/>
          <w:szCs w:val="18"/>
        </w:rPr>
      </w:pPr>
      <w:r w:rsidRPr="004A5C70">
        <w:rPr>
          <w:sz w:val="18"/>
          <w:szCs w:val="18"/>
        </w:rPr>
        <w:t>Izmaiņas tautsaimniecības attīstībā (ekonomiskās aktivitātes un saimnieciskās darbības svārstības ietekmē ienākošo un izskatāmo lietu skaitu, izskatīšanas ilguma dinamiku)</w:t>
      </w:r>
    </w:p>
    <w:p w14:paraId="3ABCEF96" w14:textId="77777777" w:rsidR="006761AE" w:rsidRPr="004A5C70" w:rsidRDefault="00AD30A0" w:rsidP="008C258A">
      <w:pPr>
        <w:numPr>
          <w:ilvl w:val="0"/>
          <w:numId w:val="3"/>
        </w:numPr>
        <w:jc w:val="both"/>
        <w:rPr>
          <w:sz w:val="18"/>
          <w:szCs w:val="18"/>
        </w:rPr>
      </w:pPr>
      <w:r w:rsidRPr="004A5C70">
        <w:rPr>
          <w:sz w:val="18"/>
          <w:szCs w:val="18"/>
        </w:rPr>
        <w:t xml:space="preserve">Ekonomikas attīstība ar jaunām tiesiskām un cita veida sadarbības dimensijām, ārējo un vietējo investīciju intensitāte </w:t>
      </w:r>
      <w:proofErr w:type="spellStart"/>
      <w:r w:rsidRPr="004A5C70">
        <w:rPr>
          <w:sz w:val="18"/>
          <w:szCs w:val="18"/>
        </w:rPr>
        <w:t>utml</w:t>
      </w:r>
      <w:proofErr w:type="spellEnd"/>
      <w:r w:rsidRPr="004A5C70">
        <w:rPr>
          <w:sz w:val="18"/>
          <w:szCs w:val="18"/>
        </w:rPr>
        <w:t>. apstākļi noteiks lietu sarežģītības pieaugumu, kas savukārt ietekmēs lietu izskatīšanas ātrumu.</w:t>
      </w:r>
    </w:p>
    <w:p w14:paraId="7D402A7A" w14:textId="77777777" w:rsidR="00AD30A0" w:rsidRPr="00A773B6" w:rsidRDefault="00CC6F65" w:rsidP="008C258A">
      <w:pPr>
        <w:jc w:val="both"/>
        <w:rPr>
          <w:sz w:val="18"/>
          <w:szCs w:val="18"/>
        </w:rPr>
      </w:pPr>
      <w:r w:rsidRPr="004A5C70">
        <w:rPr>
          <w:sz w:val="18"/>
          <w:szCs w:val="18"/>
        </w:rPr>
        <w:t>** SAM investīcijas projekta aktivitātēs radīs ietekmi uz rezultātu arī pēc projekta noslēgšanas, jo projektā iegūtie produkti, vērtības (apmācību metodikas, mācību programmas) tiks izmantoti  arī pēc projekta noslēguma.</w:t>
      </w:r>
      <w:bookmarkStart w:id="0" w:name="_GoBack"/>
      <w:bookmarkEnd w:id="0"/>
    </w:p>
    <w:sectPr w:rsidR="00AD30A0" w:rsidRPr="00A773B6" w:rsidSect="00E51486">
      <w:headerReference w:type="default" r:id="rId8"/>
      <w:pgSz w:w="16838" w:h="11906" w:orient="landscape" w:code="9"/>
      <w:pgMar w:top="397" w:right="539" w:bottom="510" w:left="3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DD9E5" w14:textId="77777777" w:rsidR="00ED7435" w:rsidRDefault="00ED7435" w:rsidP="00D214B5">
      <w:r>
        <w:separator/>
      </w:r>
    </w:p>
  </w:endnote>
  <w:endnote w:type="continuationSeparator" w:id="0">
    <w:p w14:paraId="2259B2CA" w14:textId="77777777" w:rsidR="00ED7435" w:rsidRDefault="00ED7435" w:rsidP="00D21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7B3706" w14:textId="77777777" w:rsidR="00ED7435" w:rsidRDefault="00ED7435" w:rsidP="00D214B5">
      <w:r>
        <w:separator/>
      </w:r>
    </w:p>
  </w:footnote>
  <w:footnote w:type="continuationSeparator" w:id="0">
    <w:p w14:paraId="28F668C5" w14:textId="77777777" w:rsidR="00ED7435" w:rsidRDefault="00ED7435" w:rsidP="00D214B5">
      <w:r>
        <w:continuationSeparator/>
      </w:r>
    </w:p>
  </w:footnote>
  <w:footnote w:id="1">
    <w:p w14:paraId="16B45D97" w14:textId="676BDF90" w:rsidR="009D2C6F" w:rsidRDefault="009D2C6F">
      <w:pPr>
        <w:pStyle w:val="FootnoteText"/>
      </w:pPr>
      <w:r>
        <w:rPr>
          <w:rStyle w:val="FootnoteReference"/>
        </w:rPr>
        <w:footnoteRef/>
      </w:r>
      <w:r>
        <w:t xml:space="preserve"> Finanšu rādītāju mērvienība - </w:t>
      </w:r>
      <w:r w:rsidR="00C24167" w:rsidRPr="00C24167">
        <w:rPr>
          <w:i/>
        </w:rPr>
        <w:t>starpposma vērtība 2018. gadam ir</w:t>
      </w:r>
      <w:r w:rsidR="00C24167" w:rsidRPr="00C24167">
        <w:t xml:space="preserve"> </w:t>
      </w:r>
      <w:r w:rsidRPr="00D214B5">
        <w:rPr>
          <w:i/>
        </w:rPr>
        <w:t>attiecināmie izdevumi EUR  sertificējošās iestādes uzskaites sistēmā</w:t>
      </w:r>
      <w:r w:rsidR="00C24167" w:rsidRPr="00C24167">
        <w:rPr>
          <w:i/>
        </w:rPr>
        <w:t>, līdz 30.06.2019. sertificētie izdevumi, kas finansējuma saņēmējiem radušies līdz 31.12.2018. Starpposma vērtības noteikšanā nedrīkst iekļaut snieguma rezerves apjomu 6 %, kamēr mērķis nosakāms iekļaujot rezerves apjomu</w:t>
      </w:r>
      <w:r>
        <w:rPr>
          <w:i/>
        </w:rPr>
        <w:t>.</w:t>
      </w:r>
    </w:p>
  </w:footnote>
  <w:footnote w:id="2">
    <w:p w14:paraId="20772307" w14:textId="77777777" w:rsidR="008849B2" w:rsidRDefault="008849B2" w:rsidP="008849B2">
      <w:pPr>
        <w:pStyle w:val="FootnoteText"/>
      </w:pPr>
      <w:r>
        <w:rPr>
          <w:rStyle w:val="FootnoteReference"/>
        </w:rPr>
        <w:footnoteRef/>
      </w:r>
      <w:r>
        <w:t xml:space="preserve"> Nav nepieciešams ja izmantots kopējais rādītājiem, izņemot tos kopējos rādītājus, kuriem definīcijas atrunājamas nacionālā līmenī (piem. neaizsargātās grupas).</w:t>
      </w:r>
    </w:p>
  </w:footnote>
  <w:footnote w:id="3">
    <w:p w14:paraId="15878DBA" w14:textId="77777777" w:rsidR="00BC4DD3" w:rsidRDefault="00BC4DD3" w:rsidP="00BC4DD3">
      <w:pPr>
        <w:pStyle w:val="FootnoteText"/>
      </w:pPr>
      <w:r>
        <w:rPr>
          <w:rStyle w:val="FootnoteReference"/>
        </w:rPr>
        <w:footnoteRef/>
      </w:r>
      <w: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t>utml</w:t>
      </w:r>
      <w:proofErr w:type="spellEnd"/>
      <w:r>
        <w:t>.).</w:t>
      </w:r>
    </w:p>
  </w:footnote>
  <w:footnote w:id="4">
    <w:p w14:paraId="5DFC5178" w14:textId="5E81610C" w:rsidR="008E4861" w:rsidRPr="007E1076" w:rsidRDefault="008E4861" w:rsidP="007E1076">
      <w:pPr>
        <w:pStyle w:val="FootnoteText"/>
        <w:jc w:val="both"/>
        <w:rPr>
          <w:sz w:val="18"/>
          <w:szCs w:val="18"/>
        </w:rPr>
      </w:pPr>
      <w:r w:rsidRPr="007E1076">
        <w:rPr>
          <w:rStyle w:val="FootnoteReference"/>
          <w:sz w:val="18"/>
          <w:szCs w:val="18"/>
        </w:rPr>
        <w:footnoteRef/>
      </w:r>
      <w:r w:rsidRPr="007E1076">
        <w:rPr>
          <w:sz w:val="18"/>
          <w:szCs w:val="18"/>
        </w:rPr>
        <w:t xml:space="preserve"> Eiropas Parlamenta un Padomes Regula (ES) Nr. 1304/2013 2013. gada 17. decembris par Eiropas Sociālo fondu un ar ko atceļ Padomes Regulu (EK) Nr. 1081/2006: </w:t>
      </w:r>
      <w:hyperlink r:id="rId1" w:history="1">
        <w:r w:rsidRPr="007E1076">
          <w:rPr>
            <w:rStyle w:val="Hyperlink"/>
            <w:sz w:val="18"/>
            <w:szCs w:val="18"/>
          </w:rPr>
          <w:t>https://eur-lex.europa.eu/legal-content/LV/TXT/?qid=1421584799618&amp;uri=CELEX:32013R1304</w:t>
        </w:r>
      </w:hyperlink>
    </w:p>
  </w:footnote>
  <w:footnote w:id="5">
    <w:p w14:paraId="50C88336" w14:textId="4B778E79" w:rsidR="003D6B4B" w:rsidRPr="007E1076" w:rsidRDefault="003D6B4B" w:rsidP="007E1076">
      <w:pPr>
        <w:pStyle w:val="FootnoteText"/>
        <w:jc w:val="both"/>
        <w:rPr>
          <w:sz w:val="18"/>
          <w:szCs w:val="18"/>
        </w:rPr>
      </w:pPr>
      <w:r w:rsidRPr="007E1076">
        <w:rPr>
          <w:rStyle w:val="FootnoteReference"/>
          <w:sz w:val="18"/>
          <w:szCs w:val="18"/>
        </w:rPr>
        <w:footnoteRef/>
      </w:r>
      <w:r w:rsidRPr="007E1076">
        <w:rPr>
          <w:sz w:val="18"/>
          <w:szCs w:val="18"/>
        </w:rPr>
        <w:t xml:space="preserve"> Ministru kabineta 2017. gada 3. janvāra noteikumi Nr. 11 “Grozījumi Ministru kabineta 2015. gada 8. decembra noteikumos Nr. 704 “Darbības programmas “Izaugsme un nodarbinātība” 3.4.1. specifiskā atbalsta mērķa “Paaugstināt tiesu un tiesībsargājošo institūciju personāla kompetenci komercdarbības vides uzlabošanas sekmēšanai” īstenošanas noteikumi””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36D73" w14:textId="080EC2AC" w:rsidR="00E86980" w:rsidRDefault="009E1DB3">
    <w:pPr>
      <w:pStyle w:val="Header"/>
    </w:pPr>
    <w:r>
      <w:t>02.07.2020</w:t>
    </w:r>
  </w:p>
  <w:p w14:paraId="36E72B15" w14:textId="77777777" w:rsidR="00E86980" w:rsidRDefault="00E869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6272E"/>
    <w:multiLevelType w:val="hybridMultilevel"/>
    <w:tmpl w:val="97204928"/>
    <w:lvl w:ilvl="0" w:tplc="C73AABA6">
      <w:numFmt w:val="bullet"/>
      <w:lvlText w:val="-"/>
      <w:lvlJc w:val="left"/>
      <w:pPr>
        <w:ind w:left="720" w:hanging="360"/>
      </w:pPr>
      <w:rPr>
        <w:rFonts w:ascii="Times New Roman" w:eastAsia="Times New Roman" w:hAnsi="Times New Roman"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8796325"/>
    <w:multiLevelType w:val="hybridMultilevel"/>
    <w:tmpl w:val="BF686E90"/>
    <w:lvl w:ilvl="0" w:tplc="C73AABA6">
      <w:numFmt w:val="bullet"/>
      <w:lvlText w:val="-"/>
      <w:lvlJc w:val="left"/>
      <w:pPr>
        <w:ind w:left="720" w:hanging="360"/>
      </w:pPr>
      <w:rPr>
        <w:rFonts w:ascii="Times New Roman" w:eastAsia="Times New Roman" w:hAnsi="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F68618E"/>
    <w:multiLevelType w:val="hybridMultilevel"/>
    <w:tmpl w:val="874C0614"/>
    <w:lvl w:ilvl="0" w:tplc="ADE81EAC">
      <w:start w:val="1"/>
      <w:numFmt w:val="bullet"/>
      <w:lvlText w:val="•"/>
      <w:lvlJc w:val="left"/>
      <w:pPr>
        <w:tabs>
          <w:tab w:val="num" w:pos="720"/>
        </w:tabs>
        <w:ind w:left="720" w:hanging="360"/>
      </w:pPr>
      <w:rPr>
        <w:rFonts w:ascii="Times New Roman" w:hAnsi="Times New Roman" w:hint="default"/>
      </w:rPr>
    </w:lvl>
    <w:lvl w:ilvl="1" w:tplc="04F20BC6" w:tentative="1">
      <w:start w:val="1"/>
      <w:numFmt w:val="bullet"/>
      <w:lvlText w:val="•"/>
      <w:lvlJc w:val="left"/>
      <w:pPr>
        <w:tabs>
          <w:tab w:val="num" w:pos="1440"/>
        </w:tabs>
        <w:ind w:left="1440" w:hanging="360"/>
      </w:pPr>
      <w:rPr>
        <w:rFonts w:ascii="Times New Roman" w:hAnsi="Times New Roman" w:hint="default"/>
      </w:rPr>
    </w:lvl>
    <w:lvl w:ilvl="2" w:tplc="1234D324" w:tentative="1">
      <w:start w:val="1"/>
      <w:numFmt w:val="bullet"/>
      <w:lvlText w:val="•"/>
      <w:lvlJc w:val="left"/>
      <w:pPr>
        <w:tabs>
          <w:tab w:val="num" w:pos="2160"/>
        </w:tabs>
        <w:ind w:left="2160" w:hanging="360"/>
      </w:pPr>
      <w:rPr>
        <w:rFonts w:ascii="Times New Roman" w:hAnsi="Times New Roman" w:hint="default"/>
      </w:rPr>
    </w:lvl>
    <w:lvl w:ilvl="3" w:tplc="91F868FC" w:tentative="1">
      <w:start w:val="1"/>
      <w:numFmt w:val="bullet"/>
      <w:lvlText w:val="•"/>
      <w:lvlJc w:val="left"/>
      <w:pPr>
        <w:tabs>
          <w:tab w:val="num" w:pos="2880"/>
        </w:tabs>
        <w:ind w:left="2880" w:hanging="360"/>
      </w:pPr>
      <w:rPr>
        <w:rFonts w:ascii="Times New Roman" w:hAnsi="Times New Roman" w:hint="default"/>
      </w:rPr>
    </w:lvl>
    <w:lvl w:ilvl="4" w:tplc="F58A5682" w:tentative="1">
      <w:start w:val="1"/>
      <w:numFmt w:val="bullet"/>
      <w:lvlText w:val="•"/>
      <w:lvlJc w:val="left"/>
      <w:pPr>
        <w:tabs>
          <w:tab w:val="num" w:pos="3600"/>
        </w:tabs>
        <w:ind w:left="3600" w:hanging="360"/>
      </w:pPr>
      <w:rPr>
        <w:rFonts w:ascii="Times New Roman" w:hAnsi="Times New Roman" w:hint="default"/>
      </w:rPr>
    </w:lvl>
    <w:lvl w:ilvl="5" w:tplc="0C64A1DA" w:tentative="1">
      <w:start w:val="1"/>
      <w:numFmt w:val="bullet"/>
      <w:lvlText w:val="•"/>
      <w:lvlJc w:val="left"/>
      <w:pPr>
        <w:tabs>
          <w:tab w:val="num" w:pos="4320"/>
        </w:tabs>
        <w:ind w:left="4320" w:hanging="360"/>
      </w:pPr>
      <w:rPr>
        <w:rFonts w:ascii="Times New Roman" w:hAnsi="Times New Roman" w:hint="default"/>
      </w:rPr>
    </w:lvl>
    <w:lvl w:ilvl="6" w:tplc="CF52F5B2" w:tentative="1">
      <w:start w:val="1"/>
      <w:numFmt w:val="bullet"/>
      <w:lvlText w:val="•"/>
      <w:lvlJc w:val="left"/>
      <w:pPr>
        <w:tabs>
          <w:tab w:val="num" w:pos="5040"/>
        </w:tabs>
        <w:ind w:left="5040" w:hanging="360"/>
      </w:pPr>
      <w:rPr>
        <w:rFonts w:ascii="Times New Roman" w:hAnsi="Times New Roman" w:hint="default"/>
      </w:rPr>
    </w:lvl>
    <w:lvl w:ilvl="7" w:tplc="746E0F6A" w:tentative="1">
      <w:start w:val="1"/>
      <w:numFmt w:val="bullet"/>
      <w:lvlText w:val="•"/>
      <w:lvlJc w:val="left"/>
      <w:pPr>
        <w:tabs>
          <w:tab w:val="num" w:pos="5760"/>
        </w:tabs>
        <w:ind w:left="5760" w:hanging="360"/>
      </w:pPr>
      <w:rPr>
        <w:rFonts w:ascii="Times New Roman" w:hAnsi="Times New Roman" w:hint="default"/>
      </w:rPr>
    </w:lvl>
    <w:lvl w:ilvl="8" w:tplc="B7280424"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30C06804"/>
    <w:multiLevelType w:val="hybridMultilevel"/>
    <w:tmpl w:val="3F283AC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AAA28F4"/>
    <w:multiLevelType w:val="hybridMultilevel"/>
    <w:tmpl w:val="8208F284"/>
    <w:lvl w:ilvl="0" w:tplc="4470D5B6">
      <w:start w:val="1"/>
      <w:numFmt w:val="bullet"/>
      <w:lvlText w:val="•"/>
      <w:lvlJc w:val="left"/>
      <w:pPr>
        <w:tabs>
          <w:tab w:val="num" w:pos="720"/>
        </w:tabs>
        <w:ind w:left="720" w:hanging="360"/>
      </w:pPr>
      <w:rPr>
        <w:rFonts w:ascii="Times New Roman" w:hAnsi="Times New Roman" w:hint="default"/>
      </w:rPr>
    </w:lvl>
    <w:lvl w:ilvl="1" w:tplc="4B24225E" w:tentative="1">
      <w:start w:val="1"/>
      <w:numFmt w:val="bullet"/>
      <w:lvlText w:val="•"/>
      <w:lvlJc w:val="left"/>
      <w:pPr>
        <w:tabs>
          <w:tab w:val="num" w:pos="1440"/>
        </w:tabs>
        <w:ind w:left="1440" w:hanging="360"/>
      </w:pPr>
      <w:rPr>
        <w:rFonts w:ascii="Times New Roman" w:hAnsi="Times New Roman" w:hint="default"/>
      </w:rPr>
    </w:lvl>
    <w:lvl w:ilvl="2" w:tplc="E834CA0E" w:tentative="1">
      <w:start w:val="1"/>
      <w:numFmt w:val="bullet"/>
      <w:lvlText w:val="•"/>
      <w:lvlJc w:val="left"/>
      <w:pPr>
        <w:tabs>
          <w:tab w:val="num" w:pos="2160"/>
        </w:tabs>
        <w:ind w:left="2160" w:hanging="360"/>
      </w:pPr>
      <w:rPr>
        <w:rFonts w:ascii="Times New Roman" w:hAnsi="Times New Roman" w:hint="default"/>
      </w:rPr>
    </w:lvl>
    <w:lvl w:ilvl="3" w:tplc="0FB4CC3E" w:tentative="1">
      <w:start w:val="1"/>
      <w:numFmt w:val="bullet"/>
      <w:lvlText w:val="•"/>
      <w:lvlJc w:val="left"/>
      <w:pPr>
        <w:tabs>
          <w:tab w:val="num" w:pos="2880"/>
        </w:tabs>
        <w:ind w:left="2880" w:hanging="360"/>
      </w:pPr>
      <w:rPr>
        <w:rFonts w:ascii="Times New Roman" w:hAnsi="Times New Roman" w:hint="default"/>
      </w:rPr>
    </w:lvl>
    <w:lvl w:ilvl="4" w:tplc="1602BD4C" w:tentative="1">
      <w:start w:val="1"/>
      <w:numFmt w:val="bullet"/>
      <w:lvlText w:val="•"/>
      <w:lvlJc w:val="left"/>
      <w:pPr>
        <w:tabs>
          <w:tab w:val="num" w:pos="3600"/>
        </w:tabs>
        <w:ind w:left="3600" w:hanging="360"/>
      </w:pPr>
      <w:rPr>
        <w:rFonts w:ascii="Times New Roman" w:hAnsi="Times New Roman" w:hint="default"/>
      </w:rPr>
    </w:lvl>
    <w:lvl w:ilvl="5" w:tplc="9FCA736E" w:tentative="1">
      <w:start w:val="1"/>
      <w:numFmt w:val="bullet"/>
      <w:lvlText w:val="•"/>
      <w:lvlJc w:val="left"/>
      <w:pPr>
        <w:tabs>
          <w:tab w:val="num" w:pos="4320"/>
        </w:tabs>
        <w:ind w:left="4320" w:hanging="360"/>
      </w:pPr>
      <w:rPr>
        <w:rFonts w:ascii="Times New Roman" w:hAnsi="Times New Roman" w:hint="default"/>
      </w:rPr>
    </w:lvl>
    <w:lvl w:ilvl="6" w:tplc="E580F3D0" w:tentative="1">
      <w:start w:val="1"/>
      <w:numFmt w:val="bullet"/>
      <w:lvlText w:val="•"/>
      <w:lvlJc w:val="left"/>
      <w:pPr>
        <w:tabs>
          <w:tab w:val="num" w:pos="5040"/>
        </w:tabs>
        <w:ind w:left="5040" w:hanging="360"/>
      </w:pPr>
      <w:rPr>
        <w:rFonts w:ascii="Times New Roman" w:hAnsi="Times New Roman" w:hint="default"/>
      </w:rPr>
    </w:lvl>
    <w:lvl w:ilvl="7" w:tplc="3C9C8018" w:tentative="1">
      <w:start w:val="1"/>
      <w:numFmt w:val="bullet"/>
      <w:lvlText w:val="•"/>
      <w:lvlJc w:val="left"/>
      <w:pPr>
        <w:tabs>
          <w:tab w:val="num" w:pos="5760"/>
        </w:tabs>
        <w:ind w:left="5760" w:hanging="360"/>
      </w:pPr>
      <w:rPr>
        <w:rFonts w:ascii="Times New Roman" w:hAnsi="Times New Roman" w:hint="default"/>
      </w:rPr>
    </w:lvl>
    <w:lvl w:ilvl="8" w:tplc="8AAC736E"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56720929"/>
    <w:multiLevelType w:val="hybridMultilevel"/>
    <w:tmpl w:val="3ACCF20A"/>
    <w:lvl w:ilvl="0" w:tplc="FD681278">
      <w:start w:val="1"/>
      <w:numFmt w:val="bullet"/>
      <w:lvlText w:val="•"/>
      <w:lvlJc w:val="left"/>
      <w:pPr>
        <w:tabs>
          <w:tab w:val="num" w:pos="720"/>
        </w:tabs>
        <w:ind w:left="720" w:hanging="360"/>
      </w:pPr>
      <w:rPr>
        <w:rFonts w:ascii="Times New Roman" w:hAnsi="Times New Roman" w:hint="default"/>
      </w:rPr>
    </w:lvl>
    <w:lvl w:ilvl="1" w:tplc="DE1E9F56" w:tentative="1">
      <w:start w:val="1"/>
      <w:numFmt w:val="bullet"/>
      <w:lvlText w:val="•"/>
      <w:lvlJc w:val="left"/>
      <w:pPr>
        <w:tabs>
          <w:tab w:val="num" w:pos="1440"/>
        </w:tabs>
        <w:ind w:left="1440" w:hanging="360"/>
      </w:pPr>
      <w:rPr>
        <w:rFonts w:ascii="Times New Roman" w:hAnsi="Times New Roman" w:hint="default"/>
      </w:rPr>
    </w:lvl>
    <w:lvl w:ilvl="2" w:tplc="56567AD2" w:tentative="1">
      <w:start w:val="1"/>
      <w:numFmt w:val="bullet"/>
      <w:lvlText w:val="•"/>
      <w:lvlJc w:val="left"/>
      <w:pPr>
        <w:tabs>
          <w:tab w:val="num" w:pos="2160"/>
        </w:tabs>
        <w:ind w:left="2160" w:hanging="360"/>
      </w:pPr>
      <w:rPr>
        <w:rFonts w:ascii="Times New Roman" w:hAnsi="Times New Roman" w:hint="default"/>
      </w:rPr>
    </w:lvl>
    <w:lvl w:ilvl="3" w:tplc="6BA06224" w:tentative="1">
      <w:start w:val="1"/>
      <w:numFmt w:val="bullet"/>
      <w:lvlText w:val="•"/>
      <w:lvlJc w:val="left"/>
      <w:pPr>
        <w:tabs>
          <w:tab w:val="num" w:pos="2880"/>
        </w:tabs>
        <w:ind w:left="2880" w:hanging="360"/>
      </w:pPr>
      <w:rPr>
        <w:rFonts w:ascii="Times New Roman" w:hAnsi="Times New Roman" w:hint="default"/>
      </w:rPr>
    </w:lvl>
    <w:lvl w:ilvl="4" w:tplc="5A74A34E" w:tentative="1">
      <w:start w:val="1"/>
      <w:numFmt w:val="bullet"/>
      <w:lvlText w:val="•"/>
      <w:lvlJc w:val="left"/>
      <w:pPr>
        <w:tabs>
          <w:tab w:val="num" w:pos="3600"/>
        </w:tabs>
        <w:ind w:left="3600" w:hanging="360"/>
      </w:pPr>
      <w:rPr>
        <w:rFonts w:ascii="Times New Roman" w:hAnsi="Times New Roman" w:hint="default"/>
      </w:rPr>
    </w:lvl>
    <w:lvl w:ilvl="5" w:tplc="87BCBA1C" w:tentative="1">
      <w:start w:val="1"/>
      <w:numFmt w:val="bullet"/>
      <w:lvlText w:val="•"/>
      <w:lvlJc w:val="left"/>
      <w:pPr>
        <w:tabs>
          <w:tab w:val="num" w:pos="4320"/>
        </w:tabs>
        <w:ind w:left="4320" w:hanging="360"/>
      </w:pPr>
      <w:rPr>
        <w:rFonts w:ascii="Times New Roman" w:hAnsi="Times New Roman" w:hint="default"/>
      </w:rPr>
    </w:lvl>
    <w:lvl w:ilvl="6" w:tplc="59C673C0" w:tentative="1">
      <w:start w:val="1"/>
      <w:numFmt w:val="bullet"/>
      <w:lvlText w:val="•"/>
      <w:lvlJc w:val="left"/>
      <w:pPr>
        <w:tabs>
          <w:tab w:val="num" w:pos="5040"/>
        </w:tabs>
        <w:ind w:left="5040" w:hanging="360"/>
      </w:pPr>
      <w:rPr>
        <w:rFonts w:ascii="Times New Roman" w:hAnsi="Times New Roman" w:hint="default"/>
      </w:rPr>
    </w:lvl>
    <w:lvl w:ilvl="7" w:tplc="F7065438" w:tentative="1">
      <w:start w:val="1"/>
      <w:numFmt w:val="bullet"/>
      <w:lvlText w:val="•"/>
      <w:lvlJc w:val="left"/>
      <w:pPr>
        <w:tabs>
          <w:tab w:val="num" w:pos="5760"/>
        </w:tabs>
        <w:ind w:left="5760" w:hanging="360"/>
      </w:pPr>
      <w:rPr>
        <w:rFonts w:ascii="Times New Roman" w:hAnsi="Times New Roman" w:hint="default"/>
      </w:rPr>
    </w:lvl>
    <w:lvl w:ilvl="8" w:tplc="39BADE6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5C4053BF"/>
    <w:multiLevelType w:val="hybridMultilevel"/>
    <w:tmpl w:val="65C6DCB4"/>
    <w:lvl w:ilvl="0" w:tplc="3CE47816">
      <w:numFmt w:val="bullet"/>
      <w:lvlText w:val="-"/>
      <w:lvlJc w:val="left"/>
      <w:pPr>
        <w:ind w:left="720" w:hanging="360"/>
      </w:pPr>
      <w:rPr>
        <w:rFonts w:ascii="Times New Roman" w:eastAsia="Times New Roman" w:hAnsi="Times New Roman"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CD638BD"/>
    <w:multiLevelType w:val="hybridMultilevel"/>
    <w:tmpl w:val="36E0C25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0386A9F"/>
    <w:multiLevelType w:val="hybridMultilevel"/>
    <w:tmpl w:val="0D90BC2A"/>
    <w:lvl w:ilvl="0" w:tplc="CBFC1168">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76CB1975"/>
    <w:multiLevelType w:val="hybridMultilevel"/>
    <w:tmpl w:val="518CC9A4"/>
    <w:lvl w:ilvl="0" w:tplc="1EF87C6A">
      <w:start w:val="8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7"/>
  </w:num>
  <w:num w:numId="5">
    <w:abstractNumId w:val="5"/>
  </w:num>
  <w:num w:numId="6">
    <w:abstractNumId w:val="2"/>
  </w:num>
  <w:num w:numId="7">
    <w:abstractNumId w:val="4"/>
  </w:num>
  <w:num w:numId="8">
    <w:abstractNumId w:val="8"/>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127"/>
    <w:rsid w:val="00001B09"/>
    <w:rsid w:val="00013A0A"/>
    <w:rsid w:val="00013E57"/>
    <w:rsid w:val="00016805"/>
    <w:rsid w:val="00022BDC"/>
    <w:rsid w:val="00025112"/>
    <w:rsid w:val="0002626E"/>
    <w:rsid w:val="00030E56"/>
    <w:rsid w:val="00046A84"/>
    <w:rsid w:val="00047CFE"/>
    <w:rsid w:val="00054945"/>
    <w:rsid w:val="000652C4"/>
    <w:rsid w:val="00066B5F"/>
    <w:rsid w:val="00070652"/>
    <w:rsid w:val="0008471C"/>
    <w:rsid w:val="00097B73"/>
    <w:rsid w:val="000B1BE0"/>
    <w:rsid w:val="000B2BBD"/>
    <w:rsid w:val="000B2BE7"/>
    <w:rsid w:val="000B2C16"/>
    <w:rsid w:val="000C3810"/>
    <w:rsid w:val="000C6AA2"/>
    <w:rsid w:val="000D1119"/>
    <w:rsid w:val="000D42C7"/>
    <w:rsid w:val="000D4D98"/>
    <w:rsid w:val="000E3BA6"/>
    <w:rsid w:val="000F1846"/>
    <w:rsid w:val="000F66FF"/>
    <w:rsid w:val="0010713C"/>
    <w:rsid w:val="001103A1"/>
    <w:rsid w:val="00112D33"/>
    <w:rsid w:val="00115970"/>
    <w:rsid w:val="0012166B"/>
    <w:rsid w:val="001347B1"/>
    <w:rsid w:val="00152627"/>
    <w:rsid w:val="00162542"/>
    <w:rsid w:val="00166206"/>
    <w:rsid w:val="00170213"/>
    <w:rsid w:val="00173FC2"/>
    <w:rsid w:val="0018343E"/>
    <w:rsid w:val="00184321"/>
    <w:rsid w:val="00186A9E"/>
    <w:rsid w:val="001939DF"/>
    <w:rsid w:val="001966EC"/>
    <w:rsid w:val="001A03C8"/>
    <w:rsid w:val="001B4127"/>
    <w:rsid w:val="001B5E17"/>
    <w:rsid w:val="001F01D9"/>
    <w:rsid w:val="001F1813"/>
    <w:rsid w:val="00204F9D"/>
    <w:rsid w:val="00206627"/>
    <w:rsid w:val="0020752A"/>
    <w:rsid w:val="002201AD"/>
    <w:rsid w:val="00220B66"/>
    <w:rsid w:val="0022213B"/>
    <w:rsid w:val="0022702E"/>
    <w:rsid w:val="00237E9E"/>
    <w:rsid w:val="00242813"/>
    <w:rsid w:val="00244FD9"/>
    <w:rsid w:val="002508B5"/>
    <w:rsid w:val="00276103"/>
    <w:rsid w:val="00280D12"/>
    <w:rsid w:val="00281D8C"/>
    <w:rsid w:val="00281F9F"/>
    <w:rsid w:val="00282B21"/>
    <w:rsid w:val="00283CAC"/>
    <w:rsid w:val="002900F8"/>
    <w:rsid w:val="00292D52"/>
    <w:rsid w:val="00296A13"/>
    <w:rsid w:val="00296F11"/>
    <w:rsid w:val="002C0B17"/>
    <w:rsid w:val="002C29F4"/>
    <w:rsid w:val="002C49A4"/>
    <w:rsid w:val="002D044F"/>
    <w:rsid w:val="002D305D"/>
    <w:rsid w:val="002D7BF7"/>
    <w:rsid w:val="002F3F56"/>
    <w:rsid w:val="00315C01"/>
    <w:rsid w:val="003168AE"/>
    <w:rsid w:val="0032580D"/>
    <w:rsid w:val="00332D4E"/>
    <w:rsid w:val="00337E68"/>
    <w:rsid w:val="00361A1D"/>
    <w:rsid w:val="003729BE"/>
    <w:rsid w:val="00376B72"/>
    <w:rsid w:val="003877BB"/>
    <w:rsid w:val="003A587B"/>
    <w:rsid w:val="003B0DE2"/>
    <w:rsid w:val="003D6B4B"/>
    <w:rsid w:val="003D7CD8"/>
    <w:rsid w:val="003F568D"/>
    <w:rsid w:val="00400391"/>
    <w:rsid w:val="004154CD"/>
    <w:rsid w:val="00425EC6"/>
    <w:rsid w:val="0044013C"/>
    <w:rsid w:val="0044055F"/>
    <w:rsid w:val="00451201"/>
    <w:rsid w:val="004611E9"/>
    <w:rsid w:val="004733B1"/>
    <w:rsid w:val="00481F97"/>
    <w:rsid w:val="004A3784"/>
    <w:rsid w:val="004A5C70"/>
    <w:rsid w:val="004A6A2E"/>
    <w:rsid w:val="004B162C"/>
    <w:rsid w:val="004B70F0"/>
    <w:rsid w:val="004D0893"/>
    <w:rsid w:val="004D1923"/>
    <w:rsid w:val="004D1947"/>
    <w:rsid w:val="004D2C3A"/>
    <w:rsid w:val="004D4D4E"/>
    <w:rsid w:val="004F6AEF"/>
    <w:rsid w:val="005020A6"/>
    <w:rsid w:val="00503E5D"/>
    <w:rsid w:val="00511084"/>
    <w:rsid w:val="0051155A"/>
    <w:rsid w:val="00514260"/>
    <w:rsid w:val="005161AD"/>
    <w:rsid w:val="005201C8"/>
    <w:rsid w:val="005325D9"/>
    <w:rsid w:val="005409FB"/>
    <w:rsid w:val="00556315"/>
    <w:rsid w:val="00557145"/>
    <w:rsid w:val="005706CA"/>
    <w:rsid w:val="00571BA4"/>
    <w:rsid w:val="0057240F"/>
    <w:rsid w:val="00572584"/>
    <w:rsid w:val="0057746F"/>
    <w:rsid w:val="00586FDD"/>
    <w:rsid w:val="00597B55"/>
    <w:rsid w:val="005A22A0"/>
    <w:rsid w:val="005C7E89"/>
    <w:rsid w:val="005D5F7B"/>
    <w:rsid w:val="005E42D0"/>
    <w:rsid w:val="005E5474"/>
    <w:rsid w:val="005F02A9"/>
    <w:rsid w:val="005F7F57"/>
    <w:rsid w:val="006068CE"/>
    <w:rsid w:val="006129EF"/>
    <w:rsid w:val="00615800"/>
    <w:rsid w:val="0062351F"/>
    <w:rsid w:val="006257D6"/>
    <w:rsid w:val="00641F44"/>
    <w:rsid w:val="0064782B"/>
    <w:rsid w:val="00653181"/>
    <w:rsid w:val="006637FD"/>
    <w:rsid w:val="0066530C"/>
    <w:rsid w:val="0066729F"/>
    <w:rsid w:val="0067095F"/>
    <w:rsid w:val="00670F43"/>
    <w:rsid w:val="00672ED3"/>
    <w:rsid w:val="006761AE"/>
    <w:rsid w:val="00680DD5"/>
    <w:rsid w:val="00684D1E"/>
    <w:rsid w:val="006A0B87"/>
    <w:rsid w:val="006A5AFB"/>
    <w:rsid w:val="006A6B60"/>
    <w:rsid w:val="006B3BA1"/>
    <w:rsid w:val="006B5562"/>
    <w:rsid w:val="006C0635"/>
    <w:rsid w:val="006C1061"/>
    <w:rsid w:val="006D77AB"/>
    <w:rsid w:val="006F448D"/>
    <w:rsid w:val="00702BAE"/>
    <w:rsid w:val="0070766A"/>
    <w:rsid w:val="00712C55"/>
    <w:rsid w:val="00715913"/>
    <w:rsid w:val="00726BC6"/>
    <w:rsid w:val="007328AF"/>
    <w:rsid w:val="007427B6"/>
    <w:rsid w:val="00752C81"/>
    <w:rsid w:val="00753B39"/>
    <w:rsid w:val="0076664F"/>
    <w:rsid w:val="0077001A"/>
    <w:rsid w:val="00772DBA"/>
    <w:rsid w:val="007736D7"/>
    <w:rsid w:val="00773EBF"/>
    <w:rsid w:val="007740BC"/>
    <w:rsid w:val="00780744"/>
    <w:rsid w:val="007A1555"/>
    <w:rsid w:val="007A5F2D"/>
    <w:rsid w:val="007B0684"/>
    <w:rsid w:val="007B3BBF"/>
    <w:rsid w:val="007C4591"/>
    <w:rsid w:val="007D0B8B"/>
    <w:rsid w:val="007D4AB6"/>
    <w:rsid w:val="007D6FFA"/>
    <w:rsid w:val="007E1076"/>
    <w:rsid w:val="007E3AB0"/>
    <w:rsid w:val="007E6CF8"/>
    <w:rsid w:val="007F33F2"/>
    <w:rsid w:val="007F79B0"/>
    <w:rsid w:val="00804069"/>
    <w:rsid w:val="0080416E"/>
    <w:rsid w:val="00806FB8"/>
    <w:rsid w:val="0081070E"/>
    <w:rsid w:val="00814CE0"/>
    <w:rsid w:val="008159D8"/>
    <w:rsid w:val="00816DB5"/>
    <w:rsid w:val="008334D4"/>
    <w:rsid w:val="00833E26"/>
    <w:rsid w:val="00837C2B"/>
    <w:rsid w:val="00847EA0"/>
    <w:rsid w:val="00851D8A"/>
    <w:rsid w:val="00862CCE"/>
    <w:rsid w:val="00873058"/>
    <w:rsid w:val="008849B2"/>
    <w:rsid w:val="00887B83"/>
    <w:rsid w:val="00890C91"/>
    <w:rsid w:val="008917F5"/>
    <w:rsid w:val="00897A90"/>
    <w:rsid w:val="008A37C5"/>
    <w:rsid w:val="008B06BB"/>
    <w:rsid w:val="008C258A"/>
    <w:rsid w:val="008C5CA6"/>
    <w:rsid w:val="008C6C36"/>
    <w:rsid w:val="008C6C63"/>
    <w:rsid w:val="008D0A71"/>
    <w:rsid w:val="008E4861"/>
    <w:rsid w:val="008E4E19"/>
    <w:rsid w:val="008E71AC"/>
    <w:rsid w:val="00900298"/>
    <w:rsid w:val="00905C15"/>
    <w:rsid w:val="009146F2"/>
    <w:rsid w:val="00914A8B"/>
    <w:rsid w:val="009250C0"/>
    <w:rsid w:val="0092705C"/>
    <w:rsid w:val="0093064E"/>
    <w:rsid w:val="0093228C"/>
    <w:rsid w:val="00934F82"/>
    <w:rsid w:val="00936BCF"/>
    <w:rsid w:val="00940713"/>
    <w:rsid w:val="00945C0F"/>
    <w:rsid w:val="00954B1C"/>
    <w:rsid w:val="00957C29"/>
    <w:rsid w:val="00957E4D"/>
    <w:rsid w:val="00957E85"/>
    <w:rsid w:val="00960EA6"/>
    <w:rsid w:val="0096731C"/>
    <w:rsid w:val="00972EC6"/>
    <w:rsid w:val="009745E7"/>
    <w:rsid w:val="00981840"/>
    <w:rsid w:val="00986913"/>
    <w:rsid w:val="00991644"/>
    <w:rsid w:val="00993DE7"/>
    <w:rsid w:val="0099413E"/>
    <w:rsid w:val="00996B4A"/>
    <w:rsid w:val="009A3DD3"/>
    <w:rsid w:val="009A65C8"/>
    <w:rsid w:val="009B2EAF"/>
    <w:rsid w:val="009C10BC"/>
    <w:rsid w:val="009D2C6F"/>
    <w:rsid w:val="009D4801"/>
    <w:rsid w:val="009D5ADB"/>
    <w:rsid w:val="009E1BFA"/>
    <w:rsid w:val="009E1DB3"/>
    <w:rsid w:val="00A01B02"/>
    <w:rsid w:val="00A03416"/>
    <w:rsid w:val="00A03B7E"/>
    <w:rsid w:val="00A11036"/>
    <w:rsid w:val="00A23B66"/>
    <w:rsid w:val="00A33FED"/>
    <w:rsid w:val="00A40C53"/>
    <w:rsid w:val="00A47337"/>
    <w:rsid w:val="00A6062F"/>
    <w:rsid w:val="00A640A3"/>
    <w:rsid w:val="00A663A6"/>
    <w:rsid w:val="00A773B6"/>
    <w:rsid w:val="00A80308"/>
    <w:rsid w:val="00A83D3A"/>
    <w:rsid w:val="00AA1885"/>
    <w:rsid w:val="00AA1BCD"/>
    <w:rsid w:val="00AA784D"/>
    <w:rsid w:val="00AD0F96"/>
    <w:rsid w:val="00AD2581"/>
    <w:rsid w:val="00AD30A0"/>
    <w:rsid w:val="00AD6C1D"/>
    <w:rsid w:val="00B0531A"/>
    <w:rsid w:val="00B25F9A"/>
    <w:rsid w:val="00B326BB"/>
    <w:rsid w:val="00B337CA"/>
    <w:rsid w:val="00B37977"/>
    <w:rsid w:val="00B440E3"/>
    <w:rsid w:val="00B50A09"/>
    <w:rsid w:val="00B52936"/>
    <w:rsid w:val="00B60489"/>
    <w:rsid w:val="00B7110A"/>
    <w:rsid w:val="00B72694"/>
    <w:rsid w:val="00B84E33"/>
    <w:rsid w:val="00B93FA2"/>
    <w:rsid w:val="00BB21CE"/>
    <w:rsid w:val="00BB4519"/>
    <w:rsid w:val="00BC4177"/>
    <w:rsid w:val="00BC4DD3"/>
    <w:rsid w:val="00BC79B7"/>
    <w:rsid w:val="00BE201B"/>
    <w:rsid w:val="00BF48F9"/>
    <w:rsid w:val="00BF5918"/>
    <w:rsid w:val="00C17F21"/>
    <w:rsid w:val="00C20704"/>
    <w:rsid w:val="00C22887"/>
    <w:rsid w:val="00C24167"/>
    <w:rsid w:val="00C33221"/>
    <w:rsid w:val="00C335BD"/>
    <w:rsid w:val="00C37196"/>
    <w:rsid w:val="00C5278B"/>
    <w:rsid w:val="00C632D5"/>
    <w:rsid w:val="00C65199"/>
    <w:rsid w:val="00C77E73"/>
    <w:rsid w:val="00C81252"/>
    <w:rsid w:val="00C81890"/>
    <w:rsid w:val="00C82CC8"/>
    <w:rsid w:val="00C85571"/>
    <w:rsid w:val="00CA1A1D"/>
    <w:rsid w:val="00CA1EB0"/>
    <w:rsid w:val="00CB437B"/>
    <w:rsid w:val="00CC0998"/>
    <w:rsid w:val="00CC6F65"/>
    <w:rsid w:val="00CD1CD2"/>
    <w:rsid w:val="00CD4E43"/>
    <w:rsid w:val="00CD5C8A"/>
    <w:rsid w:val="00CF5F91"/>
    <w:rsid w:val="00D10085"/>
    <w:rsid w:val="00D1330B"/>
    <w:rsid w:val="00D14E58"/>
    <w:rsid w:val="00D20ECC"/>
    <w:rsid w:val="00D214B5"/>
    <w:rsid w:val="00D30722"/>
    <w:rsid w:val="00D426E1"/>
    <w:rsid w:val="00D665AC"/>
    <w:rsid w:val="00D72CB8"/>
    <w:rsid w:val="00D762E1"/>
    <w:rsid w:val="00D93EF9"/>
    <w:rsid w:val="00D963C2"/>
    <w:rsid w:val="00DA0A9B"/>
    <w:rsid w:val="00DB2110"/>
    <w:rsid w:val="00DB2A49"/>
    <w:rsid w:val="00DC5E92"/>
    <w:rsid w:val="00DD2CA0"/>
    <w:rsid w:val="00DD7CEA"/>
    <w:rsid w:val="00DF13FA"/>
    <w:rsid w:val="00DF1B6A"/>
    <w:rsid w:val="00E0352F"/>
    <w:rsid w:val="00E111FA"/>
    <w:rsid w:val="00E137D2"/>
    <w:rsid w:val="00E2067C"/>
    <w:rsid w:val="00E2238A"/>
    <w:rsid w:val="00E3183C"/>
    <w:rsid w:val="00E3653E"/>
    <w:rsid w:val="00E457F3"/>
    <w:rsid w:val="00E47011"/>
    <w:rsid w:val="00E51486"/>
    <w:rsid w:val="00E607AC"/>
    <w:rsid w:val="00E60C94"/>
    <w:rsid w:val="00E72327"/>
    <w:rsid w:val="00E77659"/>
    <w:rsid w:val="00E86980"/>
    <w:rsid w:val="00E93791"/>
    <w:rsid w:val="00E93C35"/>
    <w:rsid w:val="00EA3665"/>
    <w:rsid w:val="00EA5F54"/>
    <w:rsid w:val="00EB2EC6"/>
    <w:rsid w:val="00EB3188"/>
    <w:rsid w:val="00EB34AA"/>
    <w:rsid w:val="00ED57DF"/>
    <w:rsid w:val="00ED7435"/>
    <w:rsid w:val="00EE0120"/>
    <w:rsid w:val="00EF31FF"/>
    <w:rsid w:val="00F01874"/>
    <w:rsid w:val="00F03175"/>
    <w:rsid w:val="00F049FE"/>
    <w:rsid w:val="00F12D0E"/>
    <w:rsid w:val="00F14667"/>
    <w:rsid w:val="00F149FB"/>
    <w:rsid w:val="00F14F2B"/>
    <w:rsid w:val="00F16E4C"/>
    <w:rsid w:val="00F2082E"/>
    <w:rsid w:val="00F2305A"/>
    <w:rsid w:val="00F23579"/>
    <w:rsid w:val="00F30643"/>
    <w:rsid w:val="00F34E8D"/>
    <w:rsid w:val="00F42736"/>
    <w:rsid w:val="00F465B6"/>
    <w:rsid w:val="00F54930"/>
    <w:rsid w:val="00F6301C"/>
    <w:rsid w:val="00F72BD8"/>
    <w:rsid w:val="00F7393A"/>
    <w:rsid w:val="00F9351B"/>
    <w:rsid w:val="00F97044"/>
    <w:rsid w:val="00FA216E"/>
    <w:rsid w:val="00FA27D1"/>
    <w:rsid w:val="00FA2885"/>
    <w:rsid w:val="00FA2B41"/>
    <w:rsid w:val="00FA3A62"/>
    <w:rsid w:val="00FB1EEA"/>
    <w:rsid w:val="00FB285B"/>
    <w:rsid w:val="00FB6BCA"/>
    <w:rsid w:val="00FC3554"/>
    <w:rsid w:val="00FC7F76"/>
    <w:rsid w:val="00FF6C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3406423"/>
  <w15:docId w15:val="{AE7A8E8B-D90B-4098-9A4D-D29AC03DB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E43"/>
    <w:rPr>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C10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D214B5"/>
    <w:rPr>
      <w:sz w:val="20"/>
      <w:szCs w:val="20"/>
    </w:rPr>
  </w:style>
  <w:style w:type="character" w:customStyle="1" w:styleId="FootnoteTextChar">
    <w:name w:val="Footnote Text Char"/>
    <w:link w:val="FootnoteText"/>
    <w:uiPriority w:val="99"/>
    <w:semiHidden/>
    <w:locked/>
    <w:rsid w:val="00D214B5"/>
    <w:rPr>
      <w:rFonts w:cs="Times New Roman"/>
      <w:sz w:val="20"/>
      <w:szCs w:val="20"/>
    </w:rPr>
  </w:style>
  <w:style w:type="character" w:styleId="FootnoteReference">
    <w:name w:val="footnote reference"/>
    <w:uiPriority w:val="99"/>
    <w:semiHidden/>
    <w:rsid w:val="00D214B5"/>
    <w:rPr>
      <w:rFonts w:cs="Times New Roman"/>
      <w:vertAlign w:val="superscript"/>
    </w:rPr>
  </w:style>
  <w:style w:type="character" w:styleId="Hyperlink">
    <w:name w:val="Hyperlink"/>
    <w:uiPriority w:val="99"/>
    <w:rsid w:val="005C7E89"/>
    <w:rPr>
      <w:rFonts w:cs="Times New Roman"/>
      <w:color w:val="0000FF"/>
      <w:u w:val="single"/>
    </w:rPr>
  </w:style>
  <w:style w:type="paragraph" w:styleId="Caption">
    <w:name w:val="caption"/>
    <w:basedOn w:val="Normal"/>
    <w:next w:val="Normal"/>
    <w:uiPriority w:val="99"/>
    <w:qFormat/>
    <w:rsid w:val="00DF1B6A"/>
    <w:pPr>
      <w:spacing w:after="200"/>
    </w:pPr>
    <w:rPr>
      <w:b/>
      <w:bCs/>
      <w:color w:val="4F81BD"/>
      <w:sz w:val="18"/>
      <w:szCs w:val="18"/>
    </w:rPr>
  </w:style>
  <w:style w:type="paragraph" w:styleId="ListParagraph">
    <w:name w:val="List Paragraph"/>
    <w:basedOn w:val="Normal"/>
    <w:uiPriority w:val="99"/>
    <w:qFormat/>
    <w:rsid w:val="00173FC2"/>
    <w:pPr>
      <w:ind w:left="720"/>
      <w:contextualSpacing/>
    </w:pPr>
  </w:style>
  <w:style w:type="character" w:styleId="CommentReference">
    <w:name w:val="annotation reference"/>
    <w:uiPriority w:val="99"/>
    <w:semiHidden/>
    <w:rsid w:val="00993DE7"/>
    <w:rPr>
      <w:rFonts w:cs="Times New Roman"/>
      <w:sz w:val="16"/>
      <w:szCs w:val="16"/>
    </w:rPr>
  </w:style>
  <w:style w:type="paragraph" w:styleId="CommentText">
    <w:name w:val="annotation text"/>
    <w:basedOn w:val="Normal"/>
    <w:link w:val="CommentTextChar"/>
    <w:uiPriority w:val="99"/>
    <w:rsid w:val="00993DE7"/>
    <w:rPr>
      <w:sz w:val="20"/>
      <w:szCs w:val="20"/>
    </w:rPr>
  </w:style>
  <w:style w:type="character" w:customStyle="1" w:styleId="CommentTextChar">
    <w:name w:val="Comment Text Char"/>
    <w:link w:val="CommentText"/>
    <w:uiPriority w:val="99"/>
    <w:locked/>
    <w:rsid w:val="00993DE7"/>
    <w:rPr>
      <w:rFonts w:cs="Times New Roman"/>
      <w:sz w:val="20"/>
      <w:szCs w:val="20"/>
    </w:rPr>
  </w:style>
  <w:style w:type="paragraph" w:styleId="CommentSubject">
    <w:name w:val="annotation subject"/>
    <w:basedOn w:val="CommentText"/>
    <w:next w:val="CommentText"/>
    <w:link w:val="CommentSubjectChar"/>
    <w:uiPriority w:val="99"/>
    <w:semiHidden/>
    <w:rsid w:val="00993DE7"/>
    <w:rPr>
      <w:b/>
      <w:bCs/>
    </w:rPr>
  </w:style>
  <w:style w:type="character" w:customStyle="1" w:styleId="CommentSubjectChar">
    <w:name w:val="Comment Subject Char"/>
    <w:link w:val="CommentSubject"/>
    <w:uiPriority w:val="99"/>
    <w:semiHidden/>
    <w:locked/>
    <w:rsid w:val="00993DE7"/>
    <w:rPr>
      <w:rFonts w:cs="Times New Roman"/>
      <w:b/>
      <w:bCs/>
      <w:sz w:val="20"/>
      <w:szCs w:val="20"/>
    </w:rPr>
  </w:style>
  <w:style w:type="paragraph" w:styleId="BalloonText">
    <w:name w:val="Balloon Text"/>
    <w:basedOn w:val="Normal"/>
    <w:link w:val="BalloonTextChar"/>
    <w:uiPriority w:val="99"/>
    <w:semiHidden/>
    <w:rsid w:val="00993DE7"/>
    <w:rPr>
      <w:rFonts w:ascii="Tahoma" w:hAnsi="Tahoma" w:cs="Tahoma"/>
      <w:sz w:val="16"/>
      <w:szCs w:val="16"/>
    </w:rPr>
  </w:style>
  <w:style w:type="character" w:customStyle="1" w:styleId="BalloonTextChar">
    <w:name w:val="Balloon Text Char"/>
    <w:link w:val="BalloonText"/>
    <w:uiPriority w:val="99"/>
    <w:semiHidden/>
    <w:locked/>
    <w:rsid w:val="00993DE7"/>
    <w:rPr>
      <w:rFonts w:ascii="Tahoma" w:hAnsi="Tahoma" w:cs="Tahoma"/>
      <w:sz w:val="16"/>
      <w:szCs w:val="16"/>
    </w:rPr>
  </w:style>
  <w:style w:type="paragraph" w:customStyle="1" w:styleId="Default">
    <w:name w:val="Default"/>
    <w:uiPriority w:val="99"/>
    <w:rsid w:val="00481F97"/>
    <w:pPr>
      <w:autoSpaceDE w:val="0"/>
      <w:autoSpaceDN w:val="0"/>
      <w:adjustRightInd w:val="0"/>
    </w:pPr>
    <w:rPr>
      <w:color w:val="000000"/>
      <w:sz w:val="24"/>
      <w:szCs w:val="24"/>
      <w:lang w:eastAsia="en-US"/>
    </w:rPr>
  </w:style>
  <w:style w:type="paragraph" w:styleId="Revision">
    <w:name w:val="Revision"/>
    <w:hidden/>
    <w:uiPriority w:val="99"/>
    <w:semiHidden/>
    <w:rsid w:val="00702BAE"/>
    <w:rPr>
      <w:sz w:val="24"/>
      <w:szCs w:val="22"/>
      <w:lang w:eastAsia="en-US"/>
    </w:rPr>
  </w:style>
  <w:style w:type="paragraph" w:styleId="NormalWeb">
    <w:name w:val="Normal (Web)"/>
    <w:basedOn w:val="Normal"/>
    <w:uiPriority w:val="99"/>
    <w:semiHidden/>
    <w:unhideWhenUsed/>
    <w:rsid w:val="00BC79B7"/>
    <w:pPr>
      <w:spacing w:before="100" w:beforeAutospacing="1" w:after="100" w:afterAutospacing="1"/>
    </w:pPr>
    <w:rPr>
      <w:rFonts w:eastAsia="Times New Roman"/>
      <w:szCs w:val="24"/>
      <w:lang w:eastAsia="lv-LV"/>
    </w:rPr>
  </w:style>
  <w:style w:type="paragraph" w:styleId="Header">
    <w:name w:val="header"/>
    <w:basedOn w:val="Normal"/>
    <w:link w:val="HeaderChar"/>
    <w:uiPriority w:val="99"/>
    <w:unhideWhenUsed/>
    <w:rsid w:val="00E86980"/>
    <w:pPr>
      <w:tabs>
        <w:tab w:val="center" w:pos="4513"/>
        <w:tab w:val="right" w:pos="9026"/>
      </w:tabs>
    </w:pPr>
  </w:style>
  <w:style w:type="character" w:customStyle="1" w:styleId="HeaderChar">
    <w:name w:val="Header Char"/>
    <w:basedOn w:val="DefaultParagraphFont"/>
    <w:link w:val="Header"/>
    <w:uiPriority w:val="99"/>
    <w:rsid w:val="00E86980"/>
    <w:rPr>
      <w:sz w:val="24"/>
      <w:szCs w:val="22"/>
      <w:lang w:eastAsia="en-US"/>
    </w:rPr>
  </w:style>
  <w:style w:type="paragraph" w:styleId="Footer">
    <w:name w:val="footer"/>
    <w:basedOn w:val="Normal"/>
    <w:link w:val="FooterChar"/>
    <w:uiPriority w:val="99"/>
    <w:unhideWhenUsed/>
    <w:rsid w:val="00E86980"/>
    <w:pPr>
      <w:tabs>
        <w:tab w:val="center" w:pos="4513"/>
        <w:tab w:val="right" w:pos="9026"/>
      </w:tabs>
    </w:pPr>
  </w:style>
  <w:style w:type="character" w:customStyle="1" w:styleId="FooterChar">
    <w:name w:val="Footer Char"/>
    <w:basedOn w:val="DefaultParagraphFont"/>
    <w:link w:val="Footer"/>
    <w:uiPriority w:val="99"/>
    <w:rsid w:val="00E86980"/>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626748">
      <w:bodyDiv w:val="1"/>
      <w:marLeft w:val="0"/>
      <w:marRight w:val="0"/>
      <w:marTop w:val="0"/>
      <w:marBottom w:val="0"/>
      <w:divBdr>
        <w:top w:val="none" w:sz="0" w:space="0" w:color="auto"/>
        <w:left w:val="none" w:sz="0" w:space="0" w:color="auto"/>
        <w:bottom w:val="none" w:sz="0" w:space="0" w:color="auto"/>
        <w:right w:val="none" w:sz="0" w:space="0" w:color="auto"/>
      </w:divBdr>
      <w:divsChild>
        <w:div w:id="1334724868">
          <w:marLeft w:val="734"/>
          <w:marRight w:val="0"/>
          <w:marTop w:val="96"/>
          <w:marBottom w:val="0"/>
          <w:divBdr>
            <w:top w:val="none" w:sz="0" w:space="0" w:color="auto"/>
            <w:left w:val="none" w:sz="0" w:space="0" w:color="auto"/>
            <w:bottom w:val="none" w:sz="0" w:space="0" w:color="auto"/>
            <w:right w:val="none" w:sz="0" w:space="0" w:color="auto"/>
          </w:divBdr>
        </w:div>
        <w:div w:id="2040617820">
          <w:marLeft w:val="734"/>
          <w:marRight w:val="0"/>
          <w:marTop w:val="96"/>
          <w:marBottom w:val="0"/>
          <w:divBdr>
            <w:top w:val="none" w:sz="0" w:space="0" w:color="auto"/>
            <w:left w:val="none" w:sz="0" w:space="0" w:color="auto"/>
            <w:bottom w:val="none" w:sz="0" w:space="0" w:color="auto"/>
            <w:right w:val="none" w:sz="0" w:space="0" w:color="auto"/>
          </w:divBdr>
        </w:div>
        <w:div w:id="1502161194">
          <w:marLeft w:val="734"/>
          <w:marRight w:val="0"/>
          <w:marTop w:val="96"/>
          <w:marBottom w:val="0"/>
          <w:divBdr>
            <w:top w:val="none" w:sz="0" w:space="0" w:color="auto"/>
            <w:left w:val="none" w:sz="0" w:space="0" w:color="auto"/>
            <w:bottom w:val="none" w:sz="0" w:space="0" w:color="auto"/>
            <w:right w:val="none" w:sz="0" w:space="0" w:color="auto"/>
          </w:divBdr>
        </w:div>
        <w:div w:id="1216549563">
          <w:marLeft w:val="734"/>
          <w:marRight w:val="0"/>
          <w:marTop w:val="96"/>
          <w:marBottom w:val="0"/>
          <w:divBdr>
            <w:top w:val="none" w:sz="0" w:space="0" w:color="auto"/>
            <w:left w:val="none" w:sz="0" w:space="0" w:color="auto"/>
            <w:bottom w:val="none" w:sz="0" w:space="0" w:color="auto"/>
            <w:right w:val="none" w:sz="0" w:space="0" w:color="auto"/>
          </w:divBdr>
        </w:div>
        <w:div w:id="1589532392">
          <w:marLeft w:val="734"/>
          <w:marRight w:val="0"/>
          <w:marTop w:val="96"/>
          <w:marBottom w:val="0"/>
          <w:divBdr>
            <w:top w:val="none" w:sz="0" w:space="0" w:color="auto"/>
            <w:left w:val="none" w:sz="0" w:space="0" w:color="auto"/>
            <w:bottom w:val="none" w:sz="0" w:space="0" w:color="auto"/>
            <w:right w:val="none" w:sz="0" w:space="0" w:color="auto"/>
          </w:divBdr>
        </w:div>
        <w:div w:id="385834290">
          <w:marLeft w:val="734"/>
          <w:marRight w:val="0"/>
          <w:marTop w:val="96"/>
          <w:marBottom w:val="0"/>
          <w:divBdr>
            <w:top w:val="none" w:sz="0" w:space="0" w:color="auto"/>
            <w:left w:val="none" w:sz="0" w:space="0" w:color="auto"/>
            <w:bottom w:val="none" w:sz="0" w:space="0" w:color="auto"/>
            <w:right w:val="none" w:sz="0" w:space="0" w:color="auto"/>
          </w:divBdr>
        </w:div>
        <w:div w:id="519319862">
          <w:marLeft w:val="734"/>
          <w:marRight w:val="0"/>
          <w:marTop w:val="96"/>
          <w:marBottom w:val="0"/>
          <w:divBdr>
            <w:top w:val="none" w:sz="0" w:space="0" w:color="auto"/>
            <w:left w:val="none" w:sz="0" w:space="0" w:color="auto"/>
            <w:bottom w:val="none" w:sz="0" w:space="0" w:color="auto"/>
            <w:right w:val="none" w:sz="0" w:space="0" w:color="auto"/>
          </w:divBdr>
        </w:div>
        <w:div w:id="1521238649">
          <w:marLeft w:val="734"/>
          <w:marRight w:val="0"/>
          <w:marTop w:val="96"/>
          <w:marBottom w:val="0"/>
          <w:divBdr>
            <w:top w:val="none" w:sz="0" w:space="0" w:color="auto"/>
            <w:left w:val="none" w:sz="0" w:space="0" w:color="auto"/>
            <w:bottom w:val="none" w:sz="0" w:space="0" w:color="auto"/>
            <w:right w:val="none" w:sz="0" w:space="0" w:color="auto"/>
          </w:divBdr>
        </w:div>
        <w:div w:id="1938556918">
          <w:marLeft w:val="734"/>
          <w:marRight w:val="0"/>
          <w:marTop w:val="96"/>
          <w:marBottom w:val="0"/>
          <w:divBdr>
            <w:top w:val="none" w:sz="0" w:space="0" w:color="auto"/>
            <w:left w:val="none" w:sz="0" w:space="0" w:color="auto"/>
            <w:bottom w:val="none" w:sz="0" w:space="0" w:color="auto"/>
            <w:right w:val="none" w:sz="0" w:space="0" w:color="auto"/>
          </w:divBdr>
        </w:div>
      </w:divsChild>
    </w:div>
    <w:div w:id="195894949">
      <w:bodyDiv w:val="1"/>
      <w:marLeft w:val="0"/>
      <w:marRight w:val="0"/>
      <w:marTop w:val="0"/>
      <w:marBottom w:val="0"/>
      <w:divBdr>
        <w:top w:val="none" w:sz="0" w:space="0" w:color="auto"/>
        <w:left w:val="none" w:sz="0" w:space="0" w:color="auto"/>
        <w:bottom w:val="none" w:sz="0" w:space="0" w:color="auto"/>
        <w:right w:val="none" w:sz="0" w:space="0" w:color="auto"/>
      </w:divBdr>
    </w:div>
    <w:div w:id="475267810">
      <w:bodyDiv w:val="1"/>
      <w:marLeft w:val="0"/>
      <w:marRight w:val="0"/>
      <w:marTop w:val="0"/>
      <w:marBottom w:val="0"/>
      <w:divBdr>
        <w:top w:val="none" w:sz="0" w:space="0" w:color="auto"/>
        <w:left w:val="none" w:sz="0" w:space="0" w:color="auto"/>
        <w:bottom w:val="none" w:sz="0" w:space="0" w:color="auto"/>
        <w:right w:val="none" w:sz="0" w:space="0" w:color="auto"/>
      </w:divBdr>
    </w:div>
    <w:div w:id="561062162">
      <w:bodyDiv w:val="1"/>
      <w:marLeft w:val="0"/>
      <w:marRight w:val="0"/>
      <w:marTop w:val="0"/>
      <w:marBottom w:val="0"/>
      <w:divBdr>
        <w:top w:val="none" w:sz="0" w:space="0" w:color="auto"/>
        <w:left w:val="none" w:sz="0" w:space="0" w:color="auto"/>
        <w:bottom w:val="none" w:sz="0" w:space="0" w:color="auto"/>
        <w:right w:val="none" w:sz="0" w:space="0" w:color="auto"/>
      </w:divBdr>
    </w:div>
    <w:div w:id="1784491410">
      <w:bodyDiv w:val="1"/>
      <w:marLeft w:val="0"/>
      <w:marRight w:val="0"/>
      <w:marTop w:val="0"/>
      <w:marBottom w:val="0"/>
      <w:divBdr>
        <w:top w:val="none" w:sz="0" w:space="0" w:color="auto"/>
        <w:left w:val="none" w:sz="0" w:space="0" w:color="auto"/>
        <w:bottom w:val="none" w:sz="0" w:space="0" w:color="auto"/>
        <w:right w:val="none" w:sz="0" w:space="0" w:color="auto"/>
      </w:divBdr>
      <w:divsChild>
        <w:div w:id="1786147057">
          <w:marLeft w:val="734"/>
          <w:marRight w:val="0"/>
          <w:marTop w:val="96"/>
          <w:marBottom w:val="0"/>
          <w:divBdr>
            <w:top w:val="none" w:sz="0" w:space="0" w:color="auto"/>
            <w:left w:val="none" w:sz="0" w:space="0" w:color="auto"/>
            <w:bottom w:val="none" w:sz="0" w:space="0" w:color="auto"/>
            <w:right w:val="none" w:sz="0" w:space="0" w:color="auto"/>
          </w:divBdr>
        </w:div>
        <w:div w:id="138619033">
          <w:marLeft w:val="734"/>
          <w:marRight w:val="0"/>
          <w:marTop w:val="96"/>
          <w:marBottom w:val="0"/>
          <w:divBdr>
            <w:top w:val="none" w:sz="0" w:space="0" w:color="auto"/>
            <w:left w:val="none" w:sz="0" w:space="0" w:color="auto"/>
            <w:bottom w:val="none" w:sz="0" w:space="0" w:color="auto"/>
            <w:right w:val="none" w:sz="0" w:space="0" w:color="auto"/>
          </w:divBdr>
        </w:div>
        <w:div w:id="1413308400">
          <w:marLeft w:val="734"/>
          <w:marRight w:val="0"/>
          <w:marTop w:val="96"/>
          <w:marBottom w:val="0"/>
          <w:divBdr>
            <w:top w:val="none" w:sz="0" w:space="0" w:color="auto"/>
            <w:left w:val="none" w:sz="0" w:space="0" w:color="auto"/>
            <w:bottom w:val="none" w:sz="0" w:space="0" w:color="auto"/>
            <w:right w:val="none" w:sz="0" w:space="0" w:color="auto"/>
          </w:divBdr>
        </w:div>
        <w:div w:id="1617370832">
          <w:marLeft w:val="734"/>
          <w:marRight w:val="0"/>
          <w:marTop w:val="96"/>
          <w:marBottom w:val="0"/>
          <w:divBdr>
            <w:top w:val="none" w:sz="0" w:space="0" w:color="auto"/>
            <w:left w:val="none" w:sz="0" w:space="0" w:color="auto"/>
            <w:bottom w:val="none" w:sz="0" w:space="0" w:color="auto"/>
            <w:right w:val="none" w:sz="0" w:space="0" w:color="auto"/>
          </w:divBdr>
        </w:div>
        <w:div w:id="4793679">
          <w:marLeft w:val="734"/>
          <w:marRight w:val="0"/>
          <w:marTop w:val="96"/>
          <w:marBottom w:val="0"/>
          <w:divBdr>
            <w:top w:val="none" w:sz="0" w:space="0" w:color="auto"/>
            <w:left w:val="none" w:sz="0" w:space="0" w:color="auto"/>
            <w:bottom w:val="none" w:sz="0" w:space="0" w:color="auto"/>
            <w:right w:val="none" w:sz="0" w:space="0" w:color="auto"/>
          </w:divBdr>
        </w:div>
        <w:div w:id="1456369968">
          <w:marLeft w:val="734"/>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LV/TXT/?qid=1421584799618&amp;uri=CELEX:32013R13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2ACDC-EE66-453B-A462-658B69FB6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1458</Words>
  <Characters>10700</Characters>
  <Application>Microsoft Office Word</Application>
  <DocSecurity>0</DocSecurity>
  <Lines>89</Lines>
  <Paragraphs>24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Finanšu ministrija</Company>
  <LinksUpToDate>false</LinksUpToDate>
  <CharactersWithSpaces>12134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LV</dc:creator>
  <cp:lastModifiedBy>Edijs Kirsanovs</cp:lastModifiedBy>
  <cp:revision>3</cp:revision>
  <cp:lastPrinted>2020-07-02T10:55:00Z</cp:lastPrinted>
  <dcterms:created xsi:type="dcterms:W3CDTF">2020-07-02T11:24:00Z</dcterms:created>
  <dcterms:modified xsi:type="dcterms:W3CDTF">2020-08-18T13:58:00Z</dcterms:modified>
</cp:coreProperties>
</file>