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0AB106" w14:textId="77777777" w:rsidR="00C109A7" w:rsidRPr="008C1994" w:rsidRDefault="00C109A7" w:rsidP="009B75BA">
      <w:pPr>
        <w:keepNext/>
        <w:spacing w:after="0" w:line="240" w:lineRule="auto"/>
        <w:jc w:val="center"/>
        <w:rPr>
          <w:rFonts w:ascii="Times New Roman" w:eastAsiaTheme="minorHAnsi" w:hAnsi="Times New Roman" w:cstheme="minorBidi"/>
          <w:b/>
          <w:bCs/>
          <w:sz w:val="18"/>
          <w:szCs w:val="18"/>
        </w:rPr>
      </w:pPr>
      <w:r w:rsidRPr="008C1994">
        <w:rPr>
          <w:rFonts w:ascii="Times New Roman" w:eastAsiaTheme="minorHAnsi" w:hAnsi="Times New Roman" w:cstheme="minorBidi"/>
          <w:b/>
          <w:bCs/>
          <w:sz w:val="18"/>
          <w:szCs w:val="18"/>
        </w:rPr>
        <w:t xml:space="preserve">Tabula </w:t>
      </w:r>
      <w:r w:rsidR="00503CD0" w:rsidRPr="008C1994">
        <w:rPr>
          <w:rFonts w:ascii="Times New Roman" w:eastAsiaTheme="minorHAnsi" w:hAnsi="Times New Roman" w:cstheme="minorBidi"/>
          <w:b/>
          <w:bCs/>
          <w:sz w:val="18"/>
          <w:szCs w:val="18"/>
        </w:rPr>
        <w:fldChar w:fldCharType="begin"/>
      </w:r>
      <w:r w:rsidRPr="008C1994">
        <w:rPr>
          <w:rFonts w:ascii="Times New Roman" w:eastAsiaTheme="minorHAnsi" w:hAnsi="Times New Roman" w:cstheme="minorBidi"/>
          <w:b/>
          <w:bCs/>
          <w:sz w:val="18"/>
          <w:szCs w:val="18"/>
        </w:rPr>
        <w:instrText xml:space="preserve"> SEQ Tabula \* ARABIC </w:instrText>
      </w:r>
      <w:r w:rsidR="00503CD0" w:rsidRPr="008C1994">
        <w:rPr>
          <w:rFonts w:ascii="Times New Roman" w:eastAsiaTheme="minorHAnsi" w:hAnsi="Times New Roman" w:cstheme="minorBidi"/>
          <w:b/>
          <w:bCs/>
          <w:sz w:val="18"/>
          <w:szCs w:val="18"/>
        </w:rPr>
        <w:fldChar w:fldCharType="separate"/>
      </w:r>
      <w:r w:rsidR="00F50576" w:rsidRPr="008C1994">
        <w:rPr>
          <w:rFonts w:ascii="Times New Roman" w:eastAsiaTheme="minorHAnsi" w:hAnsi="Times New Roman" w:cstheme="minorBidi"/>
          <w:b/>
          <w:bCs/>
          <w:noProof/>
          <w:sz w:val="18"/>
          <w:szCs w:val="18"/>
        </w:rPr>
        <w:t>1</w:t>
      </w:r>
      <w:r w:rsidR="00503CD0" w:rsidRPr="008C1994">
        <w:rPr>
          <w:rFonts w:ascii="Times New Roman" w:eastAsiaTheme="minorHAnsi" w:hAnsi="Times New Roman" w:cstheme="minorBidi"/>
          <w:b/>
          <w:bCs/>
          <w:sz w:val="18"/>
          <w:szCs w:val="18"/>
        </w:rPr>
        <w:fldChar w:fldCharType="end"/>
      </w:r>
      <w:r w:rsidRPr="008C1994">
        <w:rPr>
          <w:rFonts w:ascii="Times New Roman" w:eastAsiaTheme="minorHAnsi" w:hAnsi="Times New Roman" w:cstheme="minorBidi"/>
          <w:b/>
          <w:bCs/>
          <w:sz w:val="18"/>
          <w:szCs w:val="18"/>
        </w:rPr>
        <w:t xml:space="preserve"> Rādītāju pase investīciju prioritātes specifiskajiem mērķiem</w:t>
      </w:r>
    </w:p>
    <w:tbl>
      <w:tblPr>
        <w:tblStyle w:val="TableGrid1"/>
        <w:tblW w:w="0" w:type="auto"/>
        <w:tblLayout w:type="fixed"/>
        <w:tblLook w:val="04A0" w:firstRow="1" w:lastRow="0" w:firstColumn="1" w:lastColumn="0" w:noHBand="0" w:noVBand="1"/>
      </w:tblPr>
      <w:tblGrid>
        <w:gridCol w:w="1242"/>
        <w:gridCol w:w="1242"/>
        <w:gridCol w:w="1593"/>
        <w:gridCol w:w="3261"/>
        <w:gridCol w:w="4819"/>
        <w:gridCol w:w="2612"/>
      </w:tblGrid>
      <w:tr w:rsidR="001F0C54" w:rsidRPr="008C1994" w14:paraId="2DBE9F67" w14:textId="77777777" w:rsidTr="00C06C01">
        <w:tc>
          <w:tcPr>
            <w:tcW w:w="1242" w:type="dxa"/>
          </w:tcPr>
          <w:p w14:paraId="6135FE1B" w14:textId="77777777" w:rsidR="001F0C54" w:rsidRPr="008C1994" w:rsidRDefault="001F0C54" w:rsidP="00376554">
            <w:pPr>
              <w:spacing w:after="0" w:line="240" w:lineRule="auto"/>
              <w:jc w:val="center"/>
              <w:rPr>
                <w:rFonts w:ascii="Times New Roman" w:eastAsiaTheme="minorHAnsi" w:hAnsi="Times New Roman"/>
                <w:b/>
                <w:sz w:val="16"/>
                <w:szCs w:val="16"/>
              </w:rPr>
            </w:pPr>
            <w:r w:rsidRPr="008C1994">
              <w:rPr>
                <w:rFonts w:ascii="Times New Roman" w:eastAsiaTheme="minorHAnsi" w:hAnsi="Times New Roman"/>
                <w:b/>
                <w:sz w:val="16"/>
                <w:szCs w:val="16"/>
              </w:rPr>
              <w:t>Prioritārais virziens</w:t>
            </w:r>
          </w:p>
        </w:tc>
        <w:tc>
          <w:tcPr>
            <w:tcW w:w="1242" w:type="dxa"/>
          </w:tcPr>
          <w:p w14:paraId="6F624439" w14:textId="77777777" w:rsidR="001F0C54" w:rsidRPr="008C1994" w:rsidRDefault="001F0C54" w:rsidP="00376554">
            <w:pPr>
              <w:spacing w:after="0" w:line="240" w:lineRule="auto"/>
              <w:jc w:val="center"/>
              <w:rPr>
                <w:rFonts w:ascii="Times New Roman" w:eastAsiaTheme="minorHAnsi" w:hAnsi="Times New Roman"/>
                <w:b/>
                <w:sz w:val="16"/>
                <w:szCs w:val="16"/>
              </w:rPr>
            </w:pPr>
            <w:r w:rsidRPr="008C1994">
              <w:rPr>
                <w:rFonts w:ascii="Times New Roman" w:eastAsiaTheme="minorHAnsi" w:hAnsi="Times New Roman"/>
                <w:b/>
                <w:sz w:val="16"/>
                <w:szCs w:val="16"/>
              </w:rPr>
              <w:t>Investīciju prioritātes nosaukums</w:t>
            </w:r>
          </w:p>
        </w:tc>
        <w:tc>
          <w:tcPr>
            <w:tcW w:w="1593" w:type="dxa"/>
          </w:tcPr>
          <w:p w14:paraId="27E0268F" w14:textId="77777777" w:rsidR="001F0C54" w:rsidRPr="008C1994" w:rsidRDefault="001F0C54" w:rsidP="00376554">
            <w:pPr>
              <w:spacing w:after="0" w:line="240" w:lineRule="auto"/>
              <w:jc w:val="center"/>
              <w:rPr>
                <w:rFonts w:ascii="Times New Roman" w:eastAsiaTheme="minorHAnsi" w:hAnsi="Times New Roman"/>
                <w:b/>
                <w:sz w:val="16"/>
                <w:szCs w:val="16"/>
              </w:rPr>
            </w:pPr>
            <w:r w:rsidRPr="008C1994">
              <w:rPr>
                <w:rFonts w:ascii="Times New Roman" w:eastAsiaTheme="minorHAnsi" w:hAnsi="Times New Roman"/>
                <w:b/>
                <w:sz w:val="16"/>
                <w:szCs w:val="16"/>
              </w:rPr>
              <w:t>Specifiskie atbalsta mērķi (SAM)</w:t>
            </w:r>
          </w:p>
        </w:tc>
        <w:tc>
          <w:tcPr>
            <w:tcW w:w="3261" w:type="dxa"/>
          </w:tcPr>
          <w:p w14:paraId="5D340C7F" w14:textId="77777777" w:rsidR="001F0C54" w:rsidRPr="008C1994" w:rsidRDefault="001F0C54" w:rsidP="00376554">
            <w:pPr>
              <w:spacing w:after="0" w:line="240" w:lineRule="auto"/>
              <w:jc w:val="center"/>
              <w:rPr>
                <w:rFonts w:ascii="Times New Roman" w:eastAsiaTheme="minorHAnsi" w:hAnsi="Times New Roman"/>
                <w:b/>
                <w:sz w:val="16"/>
                <w:szCs w:val="16"/>
              </w:rPr>
            </w:pPr>
            <w:r w:rsidRPr="008C1994">
              <w:rPr>
                <w:rFonts w:ascii="Times New Roman" w:eastAsiaTheme="minorHAnsi" w:hAnsi="Times New Roman"/>
                <w:b/>
                <w:sz w:val="16"/>
                <w:szCs w:val="16"/>
              </w:rPr>
              <w:t>Rezultāta rādītāji</w:t>
            </w:r>
          </w:p>
        </w:tc>
        <w:tc>
          <w:tcPr>
            <w:tcW w:w="4819" w:type="dxa"/>
          </w:tcPr>
          <w:p w14:paraId="30D04818" w14:textId="77777777" w:rsidR="001F0C54" w:rsidRPr="008C1994" w:rsidRDefault="001F0C54" w:rsidP="00376554">
            <w:pPr>
              <w:spacing w:after="0" w:line="240" w:lineRule="auto"/>
              <w:jc w:val="center"/>
              <w:rPr>
                <w:rFonts w:ascii="Times New Roman" w:eastAsiaTheme="minorHAnsi" w:hAnsi="Times New Roman"/>
                <w:b/>
                <w:sz w:val="16"/>
                <w:szCs w:val="16"/>
              </w:rPr>
            </w:pPr>
            <w:r w:rsidRPr="008C1994">
              <w:rPr>
                <w:rFonts w:ascii="Times New Roman" w:eastAsiaTheme="minorHAnsi" w:hAnsi="Times New Roman"/>
                <w:b/>
                <w:sz w:val="16"/>
                <w:szCs w:val="16"/>
              </w:rPr>
              <w:t>Iznākuma rādītāji (IR)</w:t>
            </w:r>
          </w:p>
        </w:tc>
        <w:tc>
          <w:tcPr>
            <w:tcW w:w="2612" w:type="dxa"/>
          </w:tcPr>
          <w:p w14:paraId="416A8009" w14:textId="098D83E5" w:rsidR="001F0C54" w:rsidRPr="008C1994" w:rsidRDefault="001F0C54" w:rsidP="00376554">
            <w:pPr>
              <w:spacing w:after="0" w:line="240" w:lineRule="auto"/>
              <w:jc w:val="center"/>
              <w:rPr>
                <w:rFonts w:ascii="Times New Roman" w:eastAsiaTheme="minorHAnsi" w:hAnsi="Times New Roman"/>
                <w:b/>
                <w:sz w:val="16"/>
                <w:szCs w:val="16"/>
              </w:rPr>
            </w:pPr>
            <w:r w:rsidRPr="008C1994">
              <w:rPr>
                <w:rFonts w:ascii="Times New Roman" w:eastAsiaTheme="minorHAnsi" w:hAnsi="Times New Roman"/>
                <w:b/>
                <w:sz w:val="16"/>
                <w:szCs w:val="16"/>
              </w:rPr>
              <w:t>Finanšu rādītāji</w:t>
            </w:r>
            <w:r w:rsidR="00D00C34">
              <w:rPr>
                <w:rStyle w:val="FootnoteReference"/>
                <w:rFonts w:ascii="Times New Roman" w:eastAsiaTheme="minorHAnsi" w:hAnsi="Times New Roman"/>
                <w:b/>
                <w:sz w:val="16"/>
                <w:szCs w:val="16"/>
              </w:rPr>
              <w:footnoteReference w:id="1"/>
            </w:r>
          </w:p>
        </w:tc>
      </w:tr>
      <w:tr w:rsidR="00C06C01" w:rsidRPr="00C06C01" w14:paraId="6D72146B" w14:textId="77777777" w:rsidTr="00C06C01">
        <w:tc>
          <w:tcPr>
            <w:tcW w:w="1242" w:type="dxa"/>
          </w:tcPr>
          <w:p w14:paraId="04F60CDC" w14:textId="77777777" w:rsidR="00C06C01" w:rsidRPr="008C1994" w:rsidRDefault="00C7107C" w:rsidP="00376554">
            <w:pPr>
              <w:spacing w:after="0" w:line="240" w:lineRule="auto"/>
              <w:jc w:val="both"/>
              <w:rPr>
                <w:rFonts w:ascii="Times New Roman" w:eastAsiaTheme="minorHAnsi" w:hAnsi="Times New Roman"/>
                <w:sz w:val="16"/>
                <w:szCs w:val="16"/>
              </w:rPr>
            </w:pPr>
            <w:r w:rsidRPr="008C1994">
              <w:rPr>
                <w:rFonts w:ascii="Times New Roman" w:eastAsiaTheme="minorHAnsi" w:hAnsi="Times New Roman"/>
                <w:sz w:val="16"/>
                <w:szCs w:val="16"/>
              </w:rPr>
              <w:t>9</w:t>
            </w:r>
            <w:r w:rsidR="00C06C01" w:rsidRPr="008C1994">
              <w:rPr>
                <w:rFonts w:ascii="Times New Roman" w:eastAsiaTheme="minorHAnsi" w:hAnsi="Times New Roman"/>
                <w:sz w:val="16"/>
                <w:szCs w:val="16"/>
              </w:rPr>
              <w:t>. Nodarbinātība, darbaspēka mobilitāte un sociālā iekļaušana</w:t>
            </w:r>
          </w:p>
        </w:tc>
        <w:tc>
          <w:tcPr>
            <w:tcW w:w="1242" w:type="dxa"/>
          </w:tcPr>
          <w:p w14:paraId="6E58109C" w14:textId="77777777" w:rsidR="00C06C01" w:rsidRPr="008C1994" w:rsidRDefault="00C7107C" w:rsidP="00376554">
            <w:pPr>
              <w:spacing w:after="0" w:line="240" w:lineRule="auto"/>
              <w:jc w:val="both"/>
              <w:rPr>
                <w:rFonts w:ascii="Times New Roman" w:eastAsiaTheme="minorHAnsi" w:hAnsi="Times New Roman"/>
                <w:sz w:val="16"/>
                <w:szCs w:val="16"/>
              </w:rPr>
            </w:pPr>
            <w:r w:rsidRPr="008C1994">
              <w:rPr>
                <w:rFonts w:ascii="Times New Roman" w:eastAsiaTheme="minorHAnsi" w:hAnsi="Times New Roman"/>
                <w:sz w:val="16"/>
                <w:szCs w:val="16"/>
              </w:rPr>
              <w:t>9.2. Piekļuves uzlabošana cenas ziņā pieejamiem, ilgtspējīgiem un kvalitatīviem pakalpojumiem, tostarp veselības aprūpei un vispārējas nozīmes sociālajiem pakalpojumiem</w:t>
            </w:r>
          </w:p>
        </w:tc>
        <w:tc>
          <w:tcPr>
            <w:tcW w:w="1593" w:type="dxa"/>
          </w:tcPr>
          <w:p w14:paraId="438235D2" w14:textId="47BC7F81" w:rsidR="00C06C01" w:rsidRPr="00AF23EF" w:rsidRDefault="00707AC9" w:rsidP="00376554">
            <w:pPr>
              <w:spacing w:after="0" w:line="240" w:lineRule="auto"/>
              <w:jc w:val="both"/>
              <w:rPr>
                <w:rFonts w:ascii="Times New Roman" w:eastAsiaTheme="minorHAnsi" w:hAnsi="Times New Roman"/>
                <w:sz w:val="16"/>
                <w:szCs w:val="16"/>
              </w:rPr>
            </w:pPr>
            <w:r w:rsidRPr="00AF23EF">
              <w:rPr>
                <w:rFonts w:ascii="Times New Roman" w:eastAsiaTheme="minorHAnsi" w:hAnsi="Times New Roman"/>
                <w:sz w:val="16"/>
                <w:szCs w:val="16"/>
              </w:rPr>
              <w:t>9.2.7</w:t>
            </w:r>
            <w:r w:rsidR="00C06C01" w:rsidRPr="00AF23EF">
              <w:rPr>
                <w:rFonts w:ascii="Times New Roman" w:eastAsiaTheme="minorHAnsi" w:hAnsi="Times New Roman"/>
                <w:sz w:val="16"/>
                <w:szCs w:val="16"/>
              </w:rPr>
              <w:t xml:space="preserve">. </w:t>
            </w:r>
            <w:r w:rsidRPr="00AF23EF">
              <w:rPr>
                <w:rFonts w:ascii="Times New Roman" w:hAnsi="Times New Roman"/>
                <w:bCs/>
                <w:sz w:val="16"/>
                <w:szCs w:val="16"/>
              </w:rPr>
              <w:t>Atbalsts ārstniecības personām, kas nodrošina pacientu ārstēšanu sabiedrības veselības krīžu situāciju novēršanai</w:t>
            </w:r>
          </w:p>
        </w:tc>
        <w:tc>
          <w:tcPr>
            <w:tcW w:w="3261" w:type="dxa"/>
          </w:tcPr>
          <w:p w14:paraId="75578A95" w14:textId="3047E768" w:rsidR="00C06C01" w:rsidRDefault="00C06C01" w:rsidP="00376554">
            <w:pPr>
              <w:spacing w:after="0" w:line="240" w:lineRule="auto"/>
              <w:jc w:val="both"/>
              <w:rPr>
                <w:rFonts w:ascii="Times New Roman" w:hAnsi="Times New Roman"/>
                <w:i/>
                <w:sz w:val="16"/>
                <w:szCs w:val="16"/>
              </w:rPr>
            </w:pPr>
            <w:r w:rsidRPr="00AF23EF">
              <w:rPr>
                <w:rFonts w:ascii="Times New Roman" w:eastAsiaTheme="minorHAnsi" w:hAnsi="Times New Roman"/>
                <w:b/>
                <w:i/>
                <w:sz w:val="16"/>
                <w:szCs w:val="16"/>
              </w:rPr>
              <w:t>RR1</w:t>
            </w:r>
            <w:r w:rsidRPr="00AF23EF">
              <w:rPr>
                <w:rFonts w:ascii="Times New Roman" w:eastAsiaTheme="minorHAnsi" w:hAnsi="Times New Roman"/>
                <w:i/>
                <w:sz w:val="16"/>
                <w:szCs w:val="16"/>
              </w:rPr>
              <w:t xml:space="preserve"> </w:t>
            </w:r>
            <w:r w:rsidR="00813C56" w:rsidRPr="00783C31">
              <w:rPr>
                <w:rFonts w:ascii="Times New Roman" w:eastAsiaTheme="minorHAnsi" w:hAnsi="Times New Roman"/>
                <w:sz w:val="16"/>
                <w:szCs w:val="16"/>
              </w:rPr>
              <w:t>r.</w:t>
            </w:r>
            <w:r w:rsidR="00C7107C" w:rsidRPr="00783C31">
              <w:rPr>
                <w:rFonts w:ascii="Times New Roman" w:eastAsiaTheme="minorHAnsi" w:hAnsi="Times New Roman"/>
                <w:sz w:val="16"/>
                <w:szCs w:val="16"/>
              </w:rPr>
              <w:t>9.2</w:t>
            </w:r>
            <w:r w:rsidR="00813C56" w:rsidRPr="00783C31">
              <w:rPr>
                <w:rFonts w:ascii="Times New Roman" w:eastAsiaTheme="minorHAnsi" w:hAnsi="Times New Roman"/>
                <w:sz w:val="16"/>
                <w:szCs w:val="16"/>
              </w:rPr>
              <w:t>.</w:t>
            </w:r>
            <w:r w:rsidR="00707AC9" w:rsidRPr="00783C31">
              <w:rPr>
                <w:rFonts w:ascii="Times New Roman" w:eastAsiaTheme="minorHAnsi" w:hAnsi="Times New Roman"/>
                <w:sz w:val="16"/>
                <w:szCs w:val="16"/>
              </w:rPr>
              <w:t>7</w:t>
            </w:r>
            <w:r w:rsidR="00813C56" w:rsidRPr="00783C31">
              <w:rPr>
                <w:rFonts w:ascii="Times New Roman" w:eastAsiaTheme="minorHAnsi" w:hAnsi="Times New Roman"/>
                <w:sz w:val="16"/>
                <w:szCs w:val="16"/>
              </w:rPr>
              <w:t>.a</w:t>
            </w:r>
            <w:r w:rsidR="00664568" w:rsidRPr="00783C31">
              <w:rPr>
                <w:rFonts w:ascii="Times New Roman" w:eastAsiaTheme="minorHAnsi" w:hAnsi="Times New Roman"/>
                <w:sz w:val="16"/>
                <w:szCs w:val="16"/>
              </w:rPr>
              <w:t xml:space="preserve"> (CVR1)</w:t>
            </w:r>
            <w:r w:rsidR="00813C56" w:rsidRPr="00AF23EF">
              <w:rPr>
                <w:rFonts w:ascii="Times New Roman" w:eastAsiaTheme="minorHAnsi" w:hAnsi="Times New Roman"/>
                <w:i/>
                <w:sz w:val="16"/>
                <w:szCs w:val="16"/>
              </w:rPr>
              <w:t xml:space="preserve"> </w:t>
            </w:r>
            <w:r w:rsidR="00CF0DF4">
              <w:rPr>
                <w:rFonts w:ascii="Times New Roman" w:hAnsi="Times New Roman"/>
                <w:sz w:val="16"/>
                <w:szCs w:val="16"/>
              </w:rPr>
              <w:t>Dalībnieku</w:t>
            </w:r>
            <w:r w:rsidR="00AE44E6">
              <w:rPr>
                <w:rFonts w:ascii="Times New Roman" w:hAnsi="Times New Roman"/>
                <w:sz w:val="16"/>
                <w:szCs w:val="16"/>
              </w:rPr>
              <w:t xml:space="preserve"> skaits</w:t>
            </w:r>
            <w:r w:rsidR="00685CDF" w:rsidRPr="00AF23EF">
              <w:rPr>
                <w:rFonts w:ascii="Times New Roman" w:hAnsi="Times New Roman"/>
                <w:sz w:val="16"/>
                <w:szCs w:val="16"/>
              </w:rPr>
              <w:t xml:space="preserve">, </w:t>
            </w:r>
            <w:r w:rsidR="00CF0DF4">
              <w:rPr>
                <w:rFonts w:ascii="Times New Roman" w:hAnsi="Times New Roman"/>
                <w:sz w:val="16"/>
                <w:szCs w:val="16"/>
              </w:rPr>
              <w:t xml:space="preserve">kas strādā </w:t>
            </w:r>
            <w:r w:rsidR="00685CDF" w:rsidRPr="00AF23EF">
              <w:rPr>
                <w:rFonts w:ascii="Times New Roman" w:hAnsi="Times New Roman"/>
                <w:sz w:val="16"/>
                <w:szCs w:val="16"/>
              </w:rPr>
              <w:t>sešus mēnešus pēc atbalsta saņemšanas</w:t>
            </w:r>
            <w:r w:rsidR="00936DE8" w:rsidRPr="00AF23EF">
              <w:rPr>
                <w:rFonts w:ascii="Times New Roman" w:hAnsi="Times New Roman"/>
                <w:i/>
                <w:sz w:val="16"/>
                <w:szCs w:val="16"/>
              </w:rPr>
              <w:t xml:space="preserve"> </w:t>
            </w:r>
            <w:r w:rsidR="00783C31" w:rsidRPr="00783C31">
              <w:rPr>
                <w:rFonts w:ascii="Times New Roman" w:hAnsi="Times New Roman"/>
                <w:sz w:val="16"/>
                <w:szCs w:val="16"/>
              </w:rPr>
              <w:t>(</w:t>
            </w:r>
            <w:r w:rsidR="00B71445" w:rsidRPr="00783C31">
              <w:rPr>
                <w:rFonts w:ascii="Times New Roman" w:hAnsi="Times New Roman"/>
                <w:sz w:val="16"/>
                <w:szCs w:val="16"/>
              </w:rPr>
              <w:t xml:space="preserve">personu </w:t>
            </w:r>
            <w:r w:rsidR="00CE4C43" w:rsidRPr="00783C31">
              <w:rPr>
                <w:rFonts w:ascii="Times New Roman" w:hAnsi="Times New Roman"/>
                <w:sz w:val="16"/>
                <w:szCs w:val="16"/>
              </w:rPr>
              <w:t>skaits</w:t>
            </w:r>
            <w:r w:rsidR="00783C31" w:rsidRPr="00783C31">
              <w:rPr>
                <w:rFonts w:ascii="Times New Roman" w:hAnsi="Times New Roman"/>
                <w:sz w:val="16"/>
                <w:szCs w:val="16"/>
              </w:rPr>
              <w:t>)</w:t>
            </w:r>
          </w:p>
          <w:p w14:paraId="3A6C7967" w14:textId="77777777" w:rsidR="00C06C01" w:rsidRPr="00AF23EF" w:rsidRDefault="00C06C01" w:rsidP="00376554">
            <w:pPr>
              <w:spacing w:after="0" w:line="240" w:lineRule="auto"/>
              <w:jc w:val="both"/>
              <w:rPr>
                <w:rFonts w:ascii="Times New Roman" w:hAnsi="Times New Roman"/>
                <w:b/>
                <w:i/>
                <w:sz w:val="16"/>
                <w:szCs w:val="16"/>
              </w:rPr>
            </w:pPr>
          </w:p>
          <w:p w14:paraId="6E7A473F" w14:textId="16428E94" w:rsidR="00C06C01" w:rsidRPr="00AF23EF" w:rsidRDefault="00C06C01" w:rsidP="00376554">
            <w:pPr>
              <w:pStyle w:val="tv2131"/>
              <w:spacing w:line="240" w:lineRule="auto"/>
              <w:ind w:firstLine="0"/>
              <w:jc w:val="both"/>
              <w:rPr>
                <w:i/>
                <w:color w:val="auto"/>
              </w:rPr>
            </w:pPr>
            <w:r w:rsidRPr="00AF23EF">
              <w:rPr>
                <w:rFonts w:eastAsiaTheme="minorHAnsi"/>
                <w:i/>
                <w:color w:val="auto"/>
              </w:rPr>
              <w:t>Definīcija</w:t>
            </w:r>
            <w:r w:rsidR="008352EE" w:rsidRPr="00AF23EF">
              <w:rPr>
                <w:rFonts w:eastAsiaTheme="minorHAnsi"/>
              </w:rPr>
              <w:t xml:space="preserve"> </w:t>
            </w:r>
            <w:r w:rsidR="008352EE" w:rsidRPr="00AF23EF">
              <w:rPr>
                <w:rFonts w:eastAsiaTheme="minorHAnsi"/>
                <w:color w:val="auto"/>
              </w:rPr>
              <w:t>Atbalstīto ārstniecības personu skaits, kuras strādā teritoriālajās vienībās Rīg</w:t>
            </w:r>
            <w:r w:rsidR="00905CCB" w:rsidRPr="00AF23EF">
              <w:rPr>
                <w:rFonts w:eastAsiaTheme="minorHAnsi"/>
                <w:color w:val="auto"/>
              </w:rPr>
              <w:t>ā</w:t>
            </w:r>
            <w:r w:rsidR="008352EE" w:rsidRPr="00AF23EF">
              <w:rPr>
                <w:rFonts w:eastAsiaTheme="minorHAnsi"/>
                <w:color w:val="auto"/>
              </w:rPr>
              <w:t xml:space="preserve"> </w:t>
            </w:r>
            <w:r w:rsidR="00707AC9" w:rsidRPr="00AF23EF">
              <w:rPr>
                <w:rFonts w:eastAsiaTheme="minorHAnsi"/>
                <w:color w:val="auto"/>
              </w:rPr>
              <w:t>sešus mēnešus</w:t>
            </w:r>
            <w:r w:rsidR="008352EE" w:rsidRPr="00AF23EF">
              <w:rPr>
                <w:rFonts w:eastAsiaTheme="minorHAnsi"/>
                <w:color w:val="auto"/>
              </w:rPr>
              <w:t xml:space="preserve"> pēc </w:t>
            </w:r>
            <w:r w:rsidR="002015CF">
              <w:rPr>
                <w:rFonts w:eastAsiaTheme="minorHAnsi"/>
                <w:color w:val="auto"/>
              </w:rPr>
              <w:t xml:space="preserve">SAM 9.2.7. </w:t>
            </w:r>
            <w:r w:rsidR="008352EE" w:rsidRPr="00AF23EF">
              <w:rPr>
                <w:rFonts w:eastAsiaTheme="minorHAnsi"/>
                <w:color w:val="auto"/>
              </w:rPr>
              <w:t>atbalsta</w:t>
            </w:r>
            <w:r w:rsidR="002015CF">
              <w:rPr>
                <w:rFonts w:eastAsiaTheme="minorHAnsi"/>
                <w:color w:val="auto"/>
              </w:rPr>
              <w:t xml:space="preserve"> ietvaros izmaksātās kompensācijas </w:t>
            </w:r>
            <w:r w:rsidR="008352EE" w:rsidRPr="00AF23EF">
              <w:rPr>
                <w:rFonts w:eastAsiaTheme="minorHAnsi"/>
                <w:color w:val="auto"/>
              </w:rPr>
              <w:t>saņemšanas</w:t>
            </w:r>
            <w:r w:rsidR="00870A69">
              <w:rPr>
                <w:rFonts w:eastAsiaTheme="minorHAnsi"/>
                <w:i/>
                <w:color w:val="auto"/>
              </w:rPr>
              <w:t>.</w:t>
            </w:r>
            <w:bookmarkStart w:id="0" w:name="_GoBack"/>
            <w:bookmarkEnd w:id="0"/>
          </w:p>
          <w:p w14:paraId="640C2C21" w14:textId="77777777" w:rsidR="00C06C01" w:rsidRPr="00AF23EF" w:rsidRDefault="00C06C01" w:rsidP="00376554">
            <w:pPr>
              <w:spacing w:after="0" w:line="240" w:lineRule="auto"/>
              <w:jc w:val="both"/>
              <w:rPr>
                <w:rFonts w:ascii="Times New Roman" w:eastAsiaTheme="minorHAnsi" w:hAnsi="Times New Roman"/>
                <w:i/>
                <w:sz w:val="16"/>
                <w:szCs w:val="16"/>
              </w:rPr>
            </w:pPr>
          </w:p>
          <w:p w14:paraId="4205CBB9" w14:textId="77777777" w:rsidR="00C06C01" w:rsidRPr="00AF23EF" w:rsidRDefault="00C06C01" w:rsidP="00376554">
            <w:pPr>
              <w:spacing w:after="0" w:line="240" w:lineRule="auto"/>
              <w:jc w:val="both"/>
              <w:rPr>
                <w:rFonts w:ascii="Times New Roman" w:eastAsiaTheme="minorHAnsi" w:hAnsi="Times New Roman"/>
                <w:i/>
                <w:sz w:val="16"/>
                <w:szCs w:val="16"/>
              </w:rPr>
            </w:pPr>
          </w:p>
          <w:p w14:paraId="73655AF6" w14:textId="205EA602" w:rsidR="00C06C01" w:rsidRPr="00AF23EF" w:rsidRDefault="00C06C01" w:rsidP="00376554">
            <w:pPr>
              <w:spacing w:after="0" w:line="240" w:lineRule="auto"/>
              <w:jc w:val="both"/>
              <w:rPr>
                <w:rFonts w:ascii="Times New Roman" w:eastAsiaTheme="minorHAnsi" w:hAnsi="Times New Roman"/>
                <w:sz w:val="16"/>
                <w:szCs w:val="16"/>
              </w:rPr>
            </w:pPr>
            <w:r w:rsidRPr="00AF23EF">
              <w:rPr>
                <w:rFonts w:ascii="Times New Roman" w:eastAsiaTheme="minorHAnsi" w:hAnsi="Times New Roman"/>
                <w:i/>
                <w:sz w:val="16"/>
                <w:szCs w:val="16"/>
              </w:rPr>
              <w:t>Bāzes vērtība un tās noteikšanas gads</w:t>
            </w:r>
            <w:r w:rsidRPr="00AF23EF">
              <w:rPr>
                <w:rFonts w:ascii="Times New Roman" w:eastAsiaTheme="minorHAnsi" w:hAnsi="Times New Roman"/>
                <w:sz w:val="16"/>
                <w:szCs w:val="16"/>
              </w:rPr>
              <w:t xml:space="preserve">: </w:t>
            </w:r>
            <w:r w:rsidR="003B1020" w:rsidRPr="00AF23EF">
              <w:rPr>
                <w:rFonts w:ascii="Times New Roman" w:eastAsiaTheme="minorHAnsi" w:hAnsi="Times New Roman"/>
                <w:sz w:val="16"/>
                <w:szCs w:val="16"/>
              </w:rPr>
              <w:t>0</w:t>
            </w:r>
            <w:r w:rsidRPr="00AF23EF">
              <w:rPr>
                <w:rFonts w:ascii="Times New Roman" w:eastAsiaTheme="minorHAnsi" w:hAnsi="Times New Roman"/>
                <w:sz w:val="16"/>
                <w:szCs w:val="16"/>
              </w:rPr>
              <w:t xml:space="preserve"> (20</w:t>
            </w:r>
            <w:r w:rsidR="00707AC9" w:rsidRPr="00AF23EF">
              <w:rPr>
                <w:rFonts w:ascii="Times New Roman" w:eastAsiaTheme="minorHAnsi" w:hAnsi="Times New Roman"/>
                <w:sz w:val="16"/>
                <w:szCs w:val="16"/>
              </w:rPr>
              <w:t>20</w:t>
            </w:r>
            <w:r w:rsidRPr="00AF23EF">
              <w:rPr>
                <w:rFonts w:ascii="Times New Roman" w:eastAsiaTheme="minorHAnsi" w:hAnsi="Times New Roman"/>
                <w:sz w:val="16"/>
                <w:szCs w:val="16"/>
              </w:rPr>
              <w:t>.g.)</w:t>
            </w:r>
            <w:r w:rsidR="008B763D" w:rsidRPr="00AF23EF">
              <w:rPr>
                <w:rFonts w:ascii="Times New Roman" w:eastAsiaTheme="minorHAnsi" w:hAnsi="Times New Roman"/>
                <w:sz w:val="16"/>
                <w:szCs w:val="16"/>
              </w:rPr>
              <w:t xml:space="preserve"> (Kā bāzes vērtība noteikta 0, ņemot vērā, k</w:t>
            </w:r>
            <w:r w:rsidR="00762A7C" w:rsidRPr="00AF23EF">
              <w:rPr>
                <w:rFonts w:ascii="Times New Roman" w:eastAsiaTheme="minorHAnsi" w:hAnsi="Times New Roman"/>
                <w:sz w:val="16"/>
                <w:szCs w:val="16"/>
              </w:rPr>
              <w:t>a</w:t>
            </w:r>
            <w:r w:rsidR="008B763D" w:rsidRPr="00AF23EF">
              <w:rPr>
                <w:rFonts w:ascii="Times New Roman" w:eastAsiaTheme="minorHAnsi" w:hAnsi="Times New Roman"/>
                <w:sz w:val="16"/>
                <w:szCs w:val="16"/>
              </w:rPr>
              <w:t xml:space="preserve"> līdzīgas programmas Latvijā līdz šim nav īstenotas)</w:t>
            </w:r>
          </w:p>
          <w:p w14:paraId="125F78A5" w14:textId="77777777" w:rsidR="00C06C01" w:rsidRPr="00AF23EF" w:rsidRDefault="00C06C01" w:rsidP="00376554">
            <w:pPr>
              <w:spacing w:after="0" w:line="240" w:lineRule="auto"/>
              <w:jc w:val="both"/>
              <w:rPr>
                <w:rFonts w:ascii="Times New Roman" w:eastAsiaTheme="minorHAnsi" w:hAnsi="Times New Roman"/>
                <w:sz w:val="16"/>
                <w:szCs w:val="16"/>
              </w:rPr>
            </w:pPr>
          </w:p>
          <w:p w14:paraId="73A40D5B" w14:textId="4B8F41E6" w:rsidR="00C06C01" w:rsidRPr="00AF23EF" w:rsidRDefault="00C06C01" w:rsidP="00376554">
            <w:pPr>
              <w:spacing w:after="0" w:line="240" w:lineRule="auto"/>
              <w:jc w:val="both"/>
              <w:rPr>
                <w:rFonts w:ascii="Times New Roman" w:eastAsiaTheme="minorHAnsi" w:hAnsi="Times New Roman"/>
                <w:sz w:val="16"/>
                <w:szCs w:val="16"/>
              </w:rPr>
            </w:pPr>
            <w:r w:rsidRPr="00AF23EF">
              <w:rPr>
                <w:rFonts w:ascii="Times New Roman" w:eastAsiaTheme="minorHAnsi" w:hAnsi="Times New Roman"/>
                <w:i/>
                <w:sz w:val="16"/>
                <w:szCs w:val="16"/>
              </w:rPr>
              <w:t xml:space="preserve">Datu avots: </w:t>
            </w:r>
            <w:r w:rsidR="004C71E7" w:rsidRPr="00AF23EF">
              <w:rPr>
                <w:rFonts w:ascii="Times New Roman" w:eastAsiaTheme="minorHAnsi" w:hAnsi="Times New Roman"/>
                <w:i/>
                <w:sz w:val="16"/>
                <w:szCs w:val="16"/>
              </w:rPr>
              <w:t>Projekt</w:t>
            </w:r>
            <w:r w:rsidR="003A2E0C">
              <w:rPr>
                <w:rFonts w:ascii="Times New Roman" w:eastAsiaTheme="minorHAnsi" w:hAnsi="Times New Roman"/>
                <w:i/>
                <w:sz w:val="16"/>
                <w:szCs w:val="16"/>
              </w:rPr>
              <w:t>a</w:t>
            </w:r>
            <w:r w:rsidR="004C71E7" w:rsidRPr="00AF23EF">
              <w:rPr>
                <w:rFonts w:ascii="Times New Roman" w:eastAsiaTheme="minorHAnsi" w:hAnsi="Times New Roman"/>
                <w:i/>
                <w:sz w:val="16"/>
                <w:szCs w:val="16"/>
              </w:rPr>
              <w:t xml:space="preserve"> dati </w:t>
            </w:r>
          </w:p>
          <w:p w14:paraId="77A15DD5" w14:textId="797E6916" w:rsidR="00C06C01" w:rsidRPr="00AF23EF" w:rsidRDefault="00C06C01" w:rsidP="00376554">
            <w:pPr>
              <w:spacing w:after="0" w:line="240" w:lineRule="auto"/>
              <w:jc w:val="both"/>
              <w:rPr>
                <w:rFonts w:ascii="Times New Roman" w:eastAsiaTheme="minorHAnsi" w:hAnsi="Times New Roman"/>
                <w:i/>
                <w:sz w:val="16"/>
                <w:szCs w:val="16"/>
              </w:rPr>
            </w:pPr>
            <w:r w:rsidRPr="00AF23EF">
              <w:rPr>
                <w:rFonts w:ascii="Times New Roman" w:eastAsiaTheme="minorHAnsi" w:hAnsi="Times New Roman"/>
                <w:i/>
                <w:sz w:val="16"/>
                <w:szCs w:val="16"/>
              </w:rPr>
              <w:t xml:space="preserve">Apkopošanas biežums un ieguves metodoloģija: </w:t>
            </w:r>
            <w:r w:rsidRPr="00AF23EF">
              <w:rPr>
                <w:rFonts w:ascii="Times New Roman" w:eastAsiaTheme="minorHAnsi" w:hAnsi="Times New Roman"/>
                <w:sz w:val="16"/>
                <w:szCs w:val="16"/>
              </w:rPr>
              <w:t xml:space="preserve">Dati tiks apkopoti reizi gadā, izmantojot projektu datus par </w:t>
            </w:r>
            <w:r w:rsidR="00ED2315" w:rsidRPr="00AF23EF">
              <w:rPr>
                <w:rFonts w:ascii="Times New Roman" w:eastAsiaTheme="minorHAnsi" w:hAnsi="Times New Roman"/>
                <w:sz w:val="16"/>
                <w:szCs w:val="16"/>
              </w:rPr>
              <w:t>piesaistīt</w:t>
            </w:r>
            <w:r w:rsidR="00707AC9" w:rsidRPr="00AF23EF">
              <w:rPr>
                <w:rFonts w:ascii="Times New Roman" w:eastAsiaTheme="minorHAnsi" w:hAnsi="Times New Roman"/>
                <w:sz w:val="16"/>
                <w:szCs w:val="16"/>
              </w:rPr>
              <w:t>ajām</w:t>
            </w:r>
            <w:r w:rsidR="00ED2315" w:rsidRPr="00AF23EF">
              <w:rPr>
                <w:rFonts w:ascii="Times New Roman" w:eastAsiaTheme="minorHAnsi" w:hAnsi="Times New Roman"/>
                <w:sz w:val="16"/>
                <w:szCs w:val="16"/>
              </w:rPr>
              <w:t xml:space="preserve"> ārstniecības person</w:t>
            </w:r>
            <w:r w:rsidR="00707AC9" w:rsidRPr="00AF23EF">
              <w:rPr>
                <w:rFonts w:ascii="Times New Roman" w:eastAsiaTheme="minorHAnsi" w:hAnsi="Times New Roman"/>
                <w:sz w:val="16"/>
                <w:szCs w:val="16"/>
              </w:rPr>
              <w:t>ām Rīgā</w:t>
            </w:r>
            <w:r w:rsidR="00ED2315" w:rsidRPr="00AF23EF">
              <w:rPr>
                <w:rFonts w:ascii="Times New Roman" w:eastAsiaTheme="minorHAnsi" w:hAnsi="Times New Roman"/>
                <w:sz w:val="16"/>
                <w:szCs w:val="16"/>
              </w:rPr>
              <w:t xml:space="preserve"> veselības aprūpes pakalpojumu pieejamības uzlabošanai</w:t>
            </w:r>
            <w:r w:rsidR="009D1376" w:rsidRPr="00AF23EF">
              <w:rPr>
                <w:rFonts w:ascii="Times New Roman" w:eastAsiaTheme="minorHAnsi" w:hAnsi="Times New Roman"/>
                <w:sz w:val="16"/>
                <w:szCs w:val="16"/>
              </w:rPr>
              <w:t>, gadījumā, ja atbalsts tiks saņemts pēdējā projekta īstenošanas gadā, tad sadarbības iestāde nodrošina iespēju ievadīt datus par rādītāju pēc projekta beigām.</w:t>
            </w:r>
            <w:r w:rsidR="00DD192A" w:rsidRPr="00AF23EF">
              <w:rPr>
                <w:rStyle w:val="FootnoteReference"/>
                <w:rFonts w:ascii="Times New Roman" w:eastAsiaTheme="minorHAnsi" w:hAnsi="Times New Roman"/>
                <w:sz w:val="16"/>
                <w:szCs w:val="16"/>
              </w:rPr>
              <w:footnoteReference w:id="2"/>
            </w:r>
          </w:p>
          <w:p w14:paraId="0499A54D" w14:textId="77777777" w:rsidR="00C06C01" w:rsidRPr="00AF23EF" w:rsidRDefault="00C06C01" w:rsidP="00376554">
            <w:pPr>
              <w:spacing w:after="0" w:line="240" w:lineRule="auto"/>
              <w:jc w:val="both"/>
              <w:rPr>
                <w:rFonts w:ascii="Times New Roman" w:eastAsiaTheme="minorHAnsi" w:hAnsi="Times New Roman"/>
                <w:i/>
                <w:sz w:val="16"/>
                <w:szCs w:val="16"/>
              </w:rPr>
            </w:pPr>
          </w:p>
          <w:p w14:paraId="15672443" w14:textId="5184B221" w:rsidR="00C06C01" w:rsidRPr="00AF23EF" w:rsidRDefault="00C06C01" w:rsidP="00376554">
            <w:pPr>
              <w:spacing w:after="0" w:line="240" w:lineRule="auto"/>
              <w:jc w:val="both"/>
              <w:rPr>
                <w:rFonts w:ascii="Times New Roman" w:eastAsiaTheme="minorHAnsi" w:hAnsi="Times New Roman"/>
                <w:sz w:val="16"/>
                <w:szCs w:val="16"/>
              </w:rPr>
            </w:pPr>
            <w:r w:rsidRPr="00AF23EF">
              <w:rPr>
                <w:rFonts w:ascii="Times New Roman" w:eastAsiaTheme="minorHAnsi" w:hAnsi="Times New Roman"/>
                <w:i/>
                <w:sz w:val="16"/>
                <w:szCs w:val="16"/>
              </w:rPr>
              <w:t>Mērķis 2023</w:t>
            </w:r>
            <w:r w:rsidRPr="00AF23EF">
              <w:rPr>
                <w:rFonts w:ascii="Times New Roman" w:eastAsiaTheme="minorHAnsi" w:hAnsi="Times New Roman"/>
                <w:sz w:val="16"/>
                <w:szCs w:val="16"/>
              </w:rPr>
              <w:t xml:space="preserve">: </w:t>
            </w:r>
            <w:r w:rsidR="00707AC9" w:rsidRPr="00AF23EF">
              <w:rPr>
                <w:rFonts w:ascii="Times New Roman" w:eastAsiaTheme="minorHAnsi" w:hAnsi="Times New Roman"/>
                <w:sz w:val="16"/>
                <w:szCs w:val="16"/>
              </w:rPr>
              <w:t>270</w:t>
            </w:r>
          </w:p>
          <w:p w14:paraId="30E6D50A" w14:textId="77777777" w:rsidR="00C06C01" w:rsidRPr="00AF23EF" w:rsidRDefault="00C06C01" w:rsidP="00376554">
            <w:pPr>
              <w:spacing w:after="0" w:line="240" w:lineRule="auto"/>
              <w:jc w:val="both"/>
              <w:rPr>
                <w:rFonts w:ascii="Times New Roman" w:eastAsiaTheme="minorHAnsi" w:hAnsi="Times New Roman"/>
                <w:sz w:val="16"/>
                <w:szCs w:val="16"/>
              </w:rPr>
            </w:pPr>
          </w:p>
          <w:p w14:paraId="553F536F" w14:textId="7BB68122" w:rsidR="00B61328" w:rsidRDefault="00C06C01" w:rsidP="00376554">
            <w:pPr>
              <w:pStyle w:val="NormalWeb"/>
              <w:shd w:val="clear" w:color="auto" w:fill="FFFFFF"/>
              <w:spacing w:before="0" w:beforeAutospacing="0" w:after="0" w:afterAutospacing="0"/>
              <w:jc w:val="both"/>
              <w:rPr>
                <w:sz w:val="16"/>
                <w:szCs w:val="16"/>
              </w:rPr>
            </w:pPr>
            <w:r w:rsidRPr="00AF23EF">
              <w:rPr>
                <w:rFonts w:eastAsiaTheme="minorHAnsi"/>
                <w:i/>
                <w:sz w:val="16"/>
                <w:szCs w:val="16"/>
              </w:rPr>
              <w:t xml:space="preserve">Mērķa vērtības noteikšanas principi/metodoloģija: </w:t>
            </w:r>
            <w:r w:rsidR="008352EE" w:rsidRPr="00AF23EF">
              <w:rPr>
                <w:sz w:val="16"/>
                <w:szCs w:val="16"/>
              </w:rPr>
              <w:t>Mērķa vērtība noteikta</w:t>
            </w:r>
            <w:r w:rsidR="00744D72">
              <w:rPr>
                <w:sz w:val="16"/>
                <w:szCs w:val="16"/>
              </w:rPr>
              <w:t xml:space="preserve"> </w:t>
            </w:r>
            <w:r w:rsidR="00B61328">
              <w:rPr>
                <w:sz w:val="16"/>
                <w:szCs w:val="16"/>
              </w:rPr>
              <w:t xml:space="preserve">1) </w:t>
            </w:r>
            <w:r w:rsidR="00744D72">
              <w:rPr>
                <w:sz w:val="16"/>
                <w:szCs w:val="16"/>
              </w:rPr>
              <w:t>ņemot vērā māsu, māsu palīgu un ārstu palīgu iztrūkumu Rīgā</w:t>
            </w:r>
            <w:r w:rsidR="00B61328">
              <w:rPr>
                <w:sz w:val="16"/>
                <w:szCs w:val="16"/>
              </w:rPr>
              <w:t>, kā arī analizējot Nodarbinātības valsts aģentūras datus par bezdarbniekiem ar ārstniecības personas izglītību un attiecīgo specialitāšu datus plānots sniegt atbalstu 230 šī līmeņa ārstniecības personām, slēdzot līgumus ar saistībām uz 5 gadiem atbalstāmajā specialitātē, līdz ar to plānots, ka visi atbalstu saņēmušie speciālisti turpinās darbu 6 mēnešus pēc atbalsta;</w:t>
            </w:r>
          </w:p>
          <w:p w14:paraId="2384EBE4" w14:textId="407954B8" w:rsidR="00B61328" w:rsidRDefault="00B61328" w:rsidP="00376554">
            <w:pPr>
              <w:pStyle w:val="NormalWeb"/>
              <w:shd w:val="clear" w:color="auto" w:fill="FFFFFF"/>
              <w:spacing w:before="0" w:beforeAutospacing="0" w:after="0" w:afterAutospacing="0"/>
              <w:jc w:val="both"/>
              <w:rPr>
                <w:color w:val="000000"/>
                <w:sz w:val="16"/>
                <w:szCs w:val="16"/>
              </w:rPr>
            </w:pPr>
            <w:r>
              <w:rPr>
                <w:sz w:val="16"/>
                <w:szCs w:val="16"/>
              </w:rPr>
              <w:t xml:space="preserve">2) attiecībā uz ģimenes ārstu paaudžu nomaiņu, paredzēts, ka, ņemot vērā, ka </w:t>
            </w:r>
            <w:r w:rsidRPr="00AF23EF">
              <w:rPr>
                <w:color w:val="000000"/>
                <w:sz w:val="16"/>
                <w:szCs w:val="16"/>
              </w:rPr>
              <w:t xml:space="preserve">2020.gada beigās </w:t>
            </w:r>
            <w:r w:rsidRPr="00AF23EF">
              <w:rPr>
                <w:color w:val="000000"/>
                <w:sz w:val="16"/>
                <w:szCs w:val="16"/>
              </w:rPr>
              <w:lastRenderedPageBreak/>
              <w:t>Rīgā strādās 130 ģimenes ārsti, kas sasnieguši pensijas vecumu</w:t>
            </w:r>
            <w:r>
              <w:rPr>
                <w:color w:val="000000"/>
                <w:sz w:val="16"/>
                <w:szCs w:val="16"/>
              </w:rPr>
              <w:t xml:space="preserve"> un nepieciešama vismaz 40 ģimenes ārstu nomaiņa, tad atbalsts tiks sniegts 40 šādām praksēm, slēdzot attiecīgu līgumu, līdz ar to plānots, ka 6 mēnešus pēc atbalsta saņemšanas 40 jaunie ārsti turpinās strādāt atbalstītajā praksē.</w:t>
            </w:r>
          </w:p>
          <w:p w14:paraId="09B3F867" w14:textId="55FF12C4" w:rsidR="00B61328" w:rsidRDefault="00B61328" w:rsidP="00376554">
            <w:pPr>
              <w:pStyle w:val="NormalWeb"/>
              <w:shd w:val="clear" w:color="auto" w:fill="FFFFFF"/>
              <w:spacing w:before="0" w:beforeAutospacing="0" w:after="0" w:afterAutospacing="0"/>
              <w:jc w:val="both"/>
              <w:rPr>
                <w:sz w:val="16"/>
                <w:szCs w:val="16"/>
              </w:rPr>
            </w:pPr>
            <w:r>
              <w:rPr>
                <w:color w:val="000000"/>
                <w:sz w:val="16"/>
                <w:szCs w:val="16"/>
              </w:rPr>
              <w:t>Atbalsta fakts tiek fiksēts ar līguma parakstīšanas brīdi ar ārstniecības personu.</w:t>
            </w:r>
          </w:p>
          <w:p w14:paraId="49B96045" w14:textId="36357E5A" w:rsidR="00E0551F" w:rsidRPr="00AF23EF" w:rsidRDefault="00E0551F" w:rsidP="00376554">
            <w:pPr>
              <w:spacing w:after="0" w:line="240" w:lineRule="auto"/>
              <w:jc w:val="both"/>
              <w:rPr>
                <w:rFonts w:ascii="Times New Roman" w:hAnsi="Times New Roman"/>
                <w:sz w:val="16"/>
                <w:szCs w:val="16"/>
              </w:rPr>
            </w:pPr>
          </w:p>
          <w:p w14:paraId="43D685CC" w14:textId="77777777" w:rsidR="00107DA4" w:rsidRPr="00AF23EF" w:rsidRDefault="00107DA4" w:rsidP="00376554">
            <w:pPr>
              <w:spacing w:after="0" w:line="240" w:lineRule="auto"/>
              <w:jc w:val="both"/>
              <w:rPr>
                <w:rFonts w:ascii="Times New Roman" w:eastAsiaTheme="minorHAnsi" w:hAnsi="Times New Roman"/>
                <w:sz w:val="16"/>
                <w:szCs w:val="16"/>
              </w:rPr>
            </w:pPr>
            <w:r w:rsidRPr="00AF23EF">
              <w:rPr>
                <w:rFonts w:ascii="Times New Roman" w:eastAsiaTheme="minorHAnsi" w:hAnsi="Times New Roman"/>
                <w:i/>
                <w:sz w:val="16"/>
                <w:szCs w:val="16"/>
              </w:rPr>
              <w:t>Darbības līmenis</w:t>
            </w:r>
            <w:r w:rsidRPr="00AF23EF">
              <w:rPr>
                <w:rFonts w:ascii="Times New Roman" w:eastAsiaTheme="minorHAnsi" w:hAnsi="Times New Roman"/>
                <w:sz w:val="16"/>
                <w:szCs w:val="16"/>
              </w:rPr>
              <w:t>: projekts. Kopējā mērķa vērtība veidosies no projektu datiem.</w:t>
            </w:r>
          </w:p>
          <w:p w14:paraId="0D3E48C4" w14:textId="77777777" w:rsidR="00107DA4" w:rsidRPr="00AF23EF" w:rsidRDefault="00107DA4" w:rsidP="00376554">
            <w:pPr>
              <w:pStyle w:val="xmsolistparagraph"/>
              <w:shd w:val="clear" w:color="auto" w:fill="FFFFFF"/>
              <w:spacing w:before="0" w:beforeAutospacing="0" w:after="0" w:afterAutospacing="0"/>
              <w:jc w:val="both"/>
              <w:rPr>
                <w:b/>
                <w:bCs/>
                <w:color w:val="000000"/>
                <w:sz w:val="16"/>
                <w:szCs w:val="16"/>
              </w:rPr>
            </w:pPr>
          </w:p>
          <w:p w14:paraId="67AF1566" w14:textId="47D311CF" w:rsidR="00E0551F" w:rsidRPr="00AF23EF" w:rsidRDefault="00FE3407" w:rsidP="00376554">
            <w:pPr>
              <w:pStyle w:val="xmsolistparagraph"/>
              <w:shd w:val="clear" w:color="auto" w:fill="FFFFFF"/>
              <w:spacing w:before="0" w:beforeAutospacing="0" w:after="0" w:afterAutospacing="0"/>
              <w:jc w:val="both"/>
              <w:rPr>
                <w:rFonts w:eastAsiaTheme="minorHAnsi"/>
                <w:sz w:val="16"/>
                <w:szCs w:val="16"/>
              </w:rPr>
            </w:pPr>
            <w:r w:rsidRPr="00AF23EF">
              <w:rPr>
                <w:b/>
                <w:bCs/>
                <w:color w:val="000000"/>
                <w:sz w:val="16"/>
                <w:szCs w:val="16"/>
              </w:rPr>
              <w:t>Darbības, kas liek uzskatīt mērķa vērtību par izpildītu: </w:t>
            </w:r>
            <w:r w:rsidR="00107DA4" w:rsidRPr="00AF23EF">
              <w:rPr>
                <w:color w:val="000000"/>
                <w:sz w:val="16"/>
                <w:szCs w:val="16"/>
                <w:shd w:val="clear" w:color="auto" w:fill="FFFFFF"/>
              </w:rPr>
              <w:t>p</w:t>
            </w:r>
            <w:r w:rsidR="00AD50E4" w:rsidRPr="00AF23EF">
              <w:rPr>
                <w:color w:val="000000"/>
                <w:sz w:val="16"/>
                <w:szCs w:val="16"/>
                <w:shd w:val="clear" w:color="auto" w:fill="FFFFFF"/>
              </w:rPr>
              <w:t xml:space="preserve">ersona, kura ir darba attiecībās, </w:t>
            </w:r>
            <w:r w:rsidR="006B75A1" w:rsidRPr="00AF23EF">
              <w:rPr>
                <w:color w:val="000000"/>
                <w:sz w:val="16"/>
                <w:szCs w:val="16"/>
                <w:shd w:val="clear" w:color="auto" w:fill="FFFFFF"/>
              </w:rPr>
              <w:t>sešus mēnešus</w:t>
            </w:r>
            <w:r w:rsidR="00AD50E4" w:rsidRPr="00AF23EF">
              <w:rPr>
                <w:color w:val="000000"/>
                <w:sz w:val="16"/>
                <w:szCs w:val="16"/>
                <w:shd w:val="clear" w:color="auto" w:fill="FFFFFF"/>
              </w:rPr>
              <w:t xml:space="preserve"> pēc atbalsta saņemšanas</w:t>
            </w:r>
            <w:r w:rsidR="00B76AEC" w:rsidRPr="00AF23EF">
              <w:rPr>
                <w:color w:val="000000"/>
                <w:sz w:val="16"/>
                <w:szCs w:val="16"/>
                <w:shd w:val="clear" w:color="auto" w:fill="FFFFFF"/>
              </w:rPr>
              <w:t xml:space="preserve"> (atbalstāmā persona iekļaujama sasniegtajos rādītājos pēc atbalsta saņemšanas projekta ietvaros</w:t>
            </w:r>
            <w:r w:rsidR="00E57517" w:rsidRPr="00AF23EF">
              <w:rPr>
                <w:color w:val="000000"/>
                <w:sz w:val="16"/>
                <w:szCs w:val="16"/>
                <w:shd w:val="clear" w:color="auto" w:fill="FFFFFF"/>
              </w:rPr>
              <w:t>, par darba turpināšanu</w:t>
            </w:r>
            <w:r w:rsidR="006B75A1" w:rsidRPr="00AF23EF">
              <w:rPr>
                <w:color w:val="000000"/>
                <w:sz w:val="16"/>
                <w:szCs w:val="16"/>
                <w:shd w:val="clear" w:color="auto" w:fill="FFFFFF"/>
              </w:rPr>
              <w:t xml:space="preserve"> sešus mēnešus</w:t>
            </w:r>
            <w:r w:rsidR="00E57517" w:rsidRPr="00AF23EF">
              <w:rPr>
                <w:color w:val="000000"/>
                <w:sz w:val="16"/>
                <w:szCs w:val="16"/>
                <w:shd w:val="clear" w:color="auto" w:fill="FFFFFF"/>
              </w:rPr>
              <w:t xml:space="preserve"> pēc atbalsta saņemšanas finansējuma saņēmējs (VM) pārliecinās pamatojoties uz darba uzskaites tabelēm</w:t>
            </w:r>
            <w:r w:rsidR="00B76AEC" w:rsidRPr="00AF23EF">
              <w:rPr>
                <w:color w:val="000000"/>
                <w:sz w:val="16"/>
                <w:szCs w:val="16"/>
                <w:shd w:val="clear" w:color="auto" w:fill="FFFFFF"/>
              </w:rPr>
              <w:t>).</w:t>
            </w:r>
          </w:p>
          <w:p w14:paraId="42D4DE32" w14:textId="77777777" w:rsidR="00E0551F" w:rsidRPr="00AF23EF" w:rsidRDefault="00E0551F" w:rsidP="00376554">
            <w:pPr>
              <w:spacing w:after="0" w:line="240" w:lineRule="auto"/>
              <w:jc w:val="both"/>
              <w:rPr>
                <w:rFonts w:ascii="Times New Roman" w:eastAsiaTheme="minorHAnsi" w:hAnsi="Times New Roman"/>
                <w:sz w:val="16"/>
                <w:szCs w:val="16"/>
              </w:rPr>
            </w:pPr>
          </w:p>
        </w:tc>
        <w:tc>
          <w:tcPr>
            <w:tcW w:w="4819" w:type="dxa"/>
          </w:tcPr>
          <w:p w14:paraId="7B5CEC77" w14:textId="49BA3147" w:rsidR="00C06C01" w:rsidRPr="006B75A1" w:rsidRDefault="00C06C01" w:rsidP="00376554">
            <w:pPr>
              <w:spacing w:after="0" w:line="240" w:lineRule="auto"/>
              <w:jc w:val="both"/>
              <w:rPr>
                <w:rFonts w:ascii="Times New Roman" w:eastAsiaTheme="minorHAnsi" w:hAnsi="Times New Roman"/>
                <w:sz w:val="16"/>
                <w:szCs w:val="16"/>
              </w:rPr>
            </w:pPr>
            <w:r w:rsidRPr="006B75A1">
              <w:rPr>
                <w:rFonts w:ascii="Times New Roman" w:eastAsiaTheme="minorHAnsi" w:hAnsi="Times New Roman"/>
                <w:b/>
                <w:i/>
                <w:sz w:val="16"/>
                <w:szCs w:val="16"/>
              </w:rPr>
              <w:lastRenderedPageBreak/>
              <w:t>IR1</w:t>
            </w:r>
            <w:r w:rsidRPr="006B75A1">
              <w:rPr>
                <w:rFonts w:ascii="Times New Roman" w:eastAsiaTheme="minorHAnsi" w:hAnsi="Times New Roman"/>
                <w:i/>
                <w:sz w:val="16"/>
                <w:szCs w:val="16"/>
              </w:rPr>
              <w:t xml:space="preserve"> </w:t>
            </w:r>
            <w:r w:rsidR="00013701" w:rsidRPr="006B75A1">
              <w:rPr>
                <w:rFonts w:ascii="Times New Roman" w:eastAsiaTheme="minorHAnsi" w:hAnsi="Times New Roman"/>
                <w:sz w:val="16"/>
                <w:szCs w:val="16"/>
              </w:rPr>
              <w:t>i.</w:t>
            </w:r>
            <w:r w:rsidR="00C7107C" w:rsidRPr="006B75A1">
              <w:rPr>
                <w:rFonts w:ascii="Times New Roman" w:eastAsiaTheme="minorHAnsi" w:hAnsi="Times New Roman"/>
                <w:sz w:val="16"/>
                <w:szCs w:val="16"/>
              </w:rPr>
              <w:t>9.2</w:t>
            </w:r>
            <w:r w:rsidR="00F5726A" w:rsidRPr="006B75A1">
              <w:rPr>
                <w:rFonts w:ascii="Times New Roman" w:eastAsiaTheme="minorHAnsi" w:hAnsi="Times New Roman"/>
                <w:sz w:val="16"/>
                <w:szCs w:val="16"/>
              </w:rPr>
              <w:t>.</w:t>
            </w:r>
            <w:r w:rsidR="006B75A1" w:rsidRPr="006B75A1">
              <w:rPr>
                <w:rFonts w:ascii="Times New Roman" w:eastAsiaTheme="minorHAnsi" w:hAnsi="Times New Roman"/>
                <w:sz w:val="16"/>
                <w:szCs w:val="16"/>
              </w:rPr>
              <w:t>7</w:t>
            </w:r>
            <w:r w:rsidR="00F5726A" w:rsidRPr="006B75A1">
              <w:rPr>
                <w:rFonts w:ascii="Times New Roman" w:eastAsiaTheme="minorHAnsi" w:hAnsi="Times New Roman"/>
                <w:sz w:val="16"/>
                <w:szCs w:val="16"/>
              </w:rPr>
              <w:t>.a</w:t>
            </w:r>
            <w:r w:rsidR="00664568">
              <w:rPr>
                <w:rFonts w:ascii="Times New Roman" w:eastAsiaTheme="minorHAnsi" w:hAnsi="Times New Roman"/>
                <w:sz w:val="16"/>
                <w:szCs w:val="16"/>
              </w:rPr>
              <w:t xml:space="preserve"> (CVHC)</w:t>
            </w:r>
            <w:r w:rsidR="00013701" w:rsidRPr="006B75A1">
              <w:rPr>
                <w:rFonts w:ascii="Times New Roman" w:eastAsiaTheme="minorHAnsi" w:hAnsi="Times New Roman"/>
                <w:sz w:val="16"/>
                <w:szCs w:val="16"/>
              </w:rPr>
              <w:t xml:space="preserve"> </w:t>
            </w:r>
            <w:r w:rsidR="006B75A1" w:rsidRPr="006B75A1">
              <w:rPr>
                <w:rFonts w:ascii="Times New Roman" w:hAnsi="Times New Roman"/>
                <w:sz w:val="16"/>
                <w:szCs w:val="16"/>
              </w:rPr>
              <w:t>Ārstniecības personu skaits, kuras saņēmušas ESF atbalstu</w:t>
            </w:r>
            <w:r w:rsidR="006B75A1" w:rsidRPr="006B75A1">
              <w:rPr>
                <w:rFonts w:ascii="Times New Roman" w:eastAsiaTheme="minorHAnsi" w:hAnsi="Times New Roman"/>
                <w:sz w:val="16"/>
                <w:szCs w:val="16"/>
              </w:rPr>
              <w:t xml:space="preserve"> </w:t>
            </w:r>
            <w:r w:rsidR="00013701" w:rsidRPr="006B75A1">
              <w:rPr>
                <w:rFonts w:ascii="Times New Roman" w:eastAsiaTheme="minorHAnsi" w:hAnsi="Times New Roman"/>
                <w:sz w:val="16"/>
                <w:szCs w:val="16"/>
              </w:rPr>
              <w:t>(</w:t>
            </w:r>
            <w:r w:rsidR="00510079">
              <w:rPr>
                <w:rFonts w:ascii="Times New Roman" w:eastAsiaTheme="minorHAnsi" w:hAnsi="Times New Roman"/>
                <w:sz w:val="16"/>
                <w:szCs w:val="16"/>
              </w:rPr>
              <w:t xml:space="preserve">personu </w:t>
            </w:r>
            <w:r w:rsidR="00013701" w:rsidRPr="006B75A1">
              <w:rPr>
                <w:rFonts w:ascii="Times New Roman" w:eastAsiaTheme="minorHAnsi" w:hAnsi="Times New Roman"/>
                <w:sz w:val="16"/>
                <w:szCs w:val="16"/>
              </w:rPr>
              <w:t>skaits)</w:t>
            </w:r>
          </w:p>
          <w:p w14:paraId="36E89C4C" w14:textId="77777777" w:rsidR="00C06C01" w:rsidRPr="00685CDF" w:rsidRDefault="00C06C01" w:rsidP="00376554">
            <w:pPr>
              <w:spacing w:after="0" w:line="240" w:lineRule="auto"/>
              <w:jc w:val="both"/>
              <w:rPr>
                <w:rFonts w:ascii="Times New Roman" w:eastAsiaTheme="minorHAnsi" w:hAnsi="Times New Roman"/>
                <w:i/>
                <w:sz w:val="16"/>
                <w:szCs w:val="16"/>
                <w:highlight w:val="yellow"/>
              </w:rPr>
            </w:pPr>
          </w:p>
          <w:p w14:paraId="14C0EE3F" w14:textId="77777777" w:rsidR="00C06C01" w:rsidRPr="0048645A" w:rsidRDefault="00C06C01" w:rsidP="00376554">
            <w:pPr>
              <w:spacing w:after="0" w:line="240" w:lineRule="auto"/>
              <w:jc w:val="both"/>
              <w:rPr>
                <w:rFonts w:ascii="Times New Roman" w:eastAsiaTheme="minorHAnsi" w:hAnsi="Times New Roman"/>
                <w:i/>
                <w:sz w:val="16"/>
                <w:szCs w:val="16"/>
              </w:rPr>
            </w:pPr>
            <w:r w:rsidRPr="0048645A">
              <w:rPr>
                <w:rFonts w:ascii="Times New Roman" w:eastAsiaTheme="minorHAnsi" w:hAnsi="Times New Roman"/>
                <w:i/>
                <w:sz w:val="16"/>
                <w:szCs w:val="16"/>
              </w:rPr>
              <w:t xml:space="preserve">Definīcija: </w:t>
            </w:r>
            <w:r w:rsidR="00BE3340" w:rsidRPr="0048645A">
              <w:rPr>
                <w:rFonts w:ascii="Times New Roman" w:hAnsi="Times New Roman"/>
                <w:sz w:val="16"/>
                <w:szCs w:val="16"/>
              </w:rPr>
              <w:t>Ā</w:t>
            </w:r>
            <w:r w:rsidR="003A01B4" w:rsidRPr="0048645A">
              <w:rPr>
                <w:rFonts w:ascii="Times New Roman" w:hAnsi="Times New Roman"/>
                <w:sz w:val="16"/>
                <w:szCs w:val="16"/>
              </w:rPr>
              <w:t>rstniecības personu skaits, kuras saņēmušas atbalstu specifiskā atbalsta mērķa ietvaros</w:t>
            </w:r>
            <w:r w:rsidR="003A01B4" w:rsidRPr="0048645A">
              <w:rPr>
                <w:rFonts w:ascii="Times New Roman" w:hAnsi="Times New Roman"/>
                <w:i/>
                <w:sz w:val="16"/>
                <w:szCs w:val="16"/>
              </w:rPr>
              <w:t xml:space="preserve"> </w:t>
            </w:r>
          </w:p>
          <w:p w14:paraId="4880AA2C" w14:textId="614DE92B" w:rsidR="00C06C01" w:rsidRPr="0048645A" w:rsidRDefault="00C06C01" w:rsidP="00376554">
            <w:pPr>
              <w:spacing w:after="0" w:line="240" w:lineRule="auto"/>
              <w:jc w:val="both"/>
              <w:rPr>
                <w:rFonts w:ascii="Times New Roman" w:eastAsiaTheme="minorHAnsi" w:hAnsi="Times New Roman"/>
                <w:sz w:val="16"/>
                <w:szCs w:val="16"/>
              </w:rPr>
            </w:pPr>
            <w:r w:rsidRPr="0048645A">
              <w:rPr>
                <w:rFonts w:ascii="Times New Roman" w:eastAsiaTheme="minorHAnsi" w:hAnsi="Times New Roman"/>
                <w:i/>
                <w:sz w:val="16"/>
                <w:szCs w:val="16"/>
              </w:rPr>
              <w:t xml:space="preserve">Datu avots: </w:t>
            </w:r>
            <w:r w:rsidRPr="0048645A">
              <w:rPr>
                <w:rFonts w:ascii="Times New Roman" w:eastAsiaTheme="minorHAnsi" w:hAnsi="Times New Roman"/>
                <w:sz w:val="16"/>
                <w:szCs w:val="16"/>
              </w:rPr>
              <w:t>Projekt</w:t>
            </w:r>
            <w:r w:rsidR="00376554">
              <w:rPr>
                <w:rFonts w:ascii="Times New Roman" w:eastAsiaTheme="minorHAnsi" w:hAnsi="Times New Roman"/>
                <w:sz w:val="16"/>
                <w:szCs w:val="16"/>
              </w:rPr>
              <w:t>a</w:t>
            </w:r>
            <w:r w:rsidRPr="0048645A">
              <w:rPr>
                <w:rFonts w:ascii="Times New Roman" w:eastAsiaTheme="minorHAnsi" w:hAnsi="Times New Roman"/>
                <w:sz w:val="16"/>
                <w:szCs w:val="16"/>
              </w:rPr>
              <w:t xml:space="preserve"> dati</w:t>
            </w:r>
          </w:p>
          <w:p w14:paraId="0B0D382C" w14:textId="77777777" w:rsidR="00C06C01" w:rsidRPr="00685CDF" w:rsidRDefault="00C06C01" w:rsidP="00376554">
            <w:pPr>
              <w:spacing w:after="0" w:line="240" w:lineRule="auto"/>
              <w:jc w:val="both"/>
              <w:rPr>
                <w:rFonts w:ascii="Times New Roman" w:eastAsiaTheme="minorHAnsi" w:hAnsi="Times New Roman"/>
                <w:i/>
                <w:sz w:val="16"/>
                <w:szCs w:val="16"/>
                <w:highlight w:val="yellow"/>
              </w:rPr>
            </w:pPr>
          </w:p>
          <w:p w14:paraId="1530AFD4" w14:textId="77777777" w:rsidR="00C06C01" w:rsidRPr="00376554" w:rsidRDefault="00C06C01" w:rsidP="00376554">
            <w:pPr>
              <w:spacing w:after="0" w:line="240" w:lineRule="auto"/>
              <w:jc w:val="both"/>
              <w:rPr>
                <w:rFonts w:ascii="Times New Roman" w:eastAsiaTheme="minorHAnsi" w:hAnsi="Times New Roman"/>
                <w:sz w:val="16"/>
                <w:szCs w:val="16"/>
              </w:rPr>
            </w:pPr>
            <w:r w:rsidRPr="00376554">
              <w:rPr>
                <w:rFonts w:ascii="Times New Roman" w:eastAsiaTheme="minorHAnsi" w:hAnsi="Times New Roman"/>
                <w:i/>
                <w:sz w:val="16"/>
                <w:szCs w:val="16"/>
              </w:rPr>
              <w:t xml:space="preserve">Apkopošanas biežums un ieguves metodoloģija: </w:t>
            </w:r>
            <w:r w:rsidRPr="00376554">
              <w:rPr>
                <w:rFonts w:ascii="Times New Roman" w:eastAsiaTheme="minorHAnsi" w:hAnsi="Times New Roman"/>
                <w:sz w:val="16"/>
                <w:szCs w:val="16"/>
              </w:rPr>
              <w:t>Dati tiks apkopoti reizi gadā, izmantojot projektu dokumentāciju</w:t>
            </w:r>
          </w:p>
          <w:p w14:paraId="5137AB29" w14:textId="0DE7D1F6" w:rsidR="009E6BF1" w:rsidRPr="00685CDF" w:rsidRDefault="009E6BF1" w:rsidP="00376554">
            <w:pPr>
              <w:spacing w:after="0" w:line="240" w:lineRule="auto"/>
              <w:jc w:val="both"/>
              <w:rPr>
                <w:rFonts w:ascii="Times New Roman" w:hAnsi="Times New Roman"/>
                <w:i/>
                <w:sz w:val="16"/>
                <w:szCs w:val="16"/>
                <w:highlight w:val="yellow"/>
              </w:rPr>
            </w:pPr>
          </w:p>
          <w:p w14:paraId="07D60234" w14:textId="7D3FA539" w:rsidR="00786CF3" w:rsidRPr="00376554" w:rsidRDefault="009E6BF1" w:rsidP="00376554">
            <w:pPr>
              <w:spacing w:after="0" w:line="240" w:lineRule="auto"/>
              <w:jc w:val="both"/>
              <w:rPr>
                <w:rFonts w:ascii="Times New Roman" w:eastAsiaTheme="minorHAnsi" w:hAnsi="Times New Roman"/>
                <w:i/>
                <w:sz w:val="16"/>
                <w:szCs w:val="16"/>
              </w:rPr>
            </w:pPr>
            <w:r w:rsidRPr="00376554">
              <w:rPr>
                <w:rFonts w:ascii="Times New Roman" w:hAnsi="Times New Roman"/>
                <w:i/>
                <w:sz w:val="16"/>
                <w:szCs w:val="16"/>
              </w:rPr>
              <w:t>Darbības līmenis</w:t>
            </w:r>
            <w:r w:rsidR="00786CF3" w:rsidRPr="00376554">
              <w:rPr>
                <w:rFonts w:ascii="Times New Roman" w:hAnsi="Times New Roman"/>
                <w:i/>
                <w:sz w:val="16"/>
                <w:szCs w:val="16"/>
              </w:rPr>
              <w:t xml:space="preserve">: </w:t>
            </w:r>
            <w:r w:rsidRPr="00376554">
              <w:rPr>
                <w:rFonts w:ascii="Times New Roman" w:hAnsi="Times New Roman"/>
                <w:i/>
                <w:sz w:val="16"/>
                <w:szCs w:val="16"/>
              </w:rPr>
              <w:t xml:space="preserve">projekts. </w:t>
            </w:r>
            <w:r w:rsidRPr="00376554">
              <w:rPr>
                <w:rFonts w:ascii="Times New Roman" w:eastAsiaTheme="minorHAnsi" w:hAnsi="Times New Roman"/>
                <w:i/>
                <w:color w:val="000000"/>
                <w:sz w:val="16"/>
                <w:szCs w:val="16"/>
              </w:rPr>
              <w:t>S</w:t>
            </w:r>
            <w:r w:rsidR="00786CF3" w:rsidRPr="00376554">
              <w:rPr>
                <w:rFonts w:ascii="Times New Roman" w:eastAsiaTheme="minorHAnsi" w:hAnsi="Times New Roman"/>
                <w:i/>
                <w:color w:val="000000"/>
                <w:sz w:val="16"/>
                <w:szCs w:val="16"/>
              </w:rPr>
              <w:t>aistībā ar Eiropas Komisijas (EK) prasību</w:t>
            </w:r>
            <w:r w:rsidR="00CE3327">
              <w:rPr>
                <w:rStyle w:val="FootnoteReference"/>
                <w:rFonts w:ascii="Times New Roman" w:eastAsiaTheme="minorHAnsi" w:hAnsi="Times New Roman"/>
                <w:i/>
                <w:color w:val="000000"/>
                <w:sz w:val="16"/>
                <w:szCs w:val="16"/>
              </w:rPr>
              <w:footnoteReference w:id="3"/>
            </w:r>
            <w:r w:rsidR="00786CF3" w:rsidRPr="00376554">
              <w:rPr>
                <w:rFonts w:ascii="Times New Roman" w:eastAsiaTheme="minorHAnsi" w:hAnsi="Times New Roman"/>
                <w:i/>
                <w:color w:val="000000"/>
                <w:sz w:val="16"/>
                <w:szCs w:val="16"/>
              </w:rPr>
              <w:t xml:space="preserve"> </w:t>
            </w:r>
            <w:r w:rsidR="00786CF3" w:rsidRPr="00376554">
              <w:rPr>
                <w:rFonts w:ascii="Times New Roman" w:eastAsiaTheme="minorHAnsi" w:hAnsi="Times New Roman"/>
                <w:i/>
                <w:color w:val="000000"/>
                <w:sz w:val="16"/>
                <w:szCs w:val="16"/>
                <w:u w:val="single"/>
              </w:rPr>
              <w:t>nodrošināt dalībnieku uzskaiti dalījumā pa darbībām</w:t>
            </w:r>
            <w:r w:rsidR="001E5DAB">
              <w:rPr>
                <w:rFonts w:ascii="Times New Roman" w:eastAsiaTheme="minorHAnsi" w:hAnsi="Times New Roman"/>
                <w:i/>
                <w:color w:val="000000"/>
                <w:sz w:val="16"/>
                <w:szCs w:val="16"/>
                <w:u w:val="single"/>
              </w:rPr>
              <w:t xml:space="preserve">, specifiskā atbalsta mērķa </w:t>
            </w:r>
            <w:r w:rsidR="00786CF3" w:rsidRPr="00376554">
              <w:rPr>
                <w:rFonts w:ascii="Times New Roman" w:hAnsi="Times New Roman"/>
                <w:i/>
                <w:sz w:val="16"/>
                <w:szCs w:val="16"/>
              </w:rPr>
              <w:t xml:space="preserve">projekts uzskatāms par darbību, kura ietvaros tiks nodrošināta mikrodatu uzkrāšana. </w:t>
            </w:r>
          </w:p>
          <w:p w14:paraId="381F427C" w14:textId="77777777" w:rsidR="00786CF3" w:rsidRPr="00685CDF" w:rsidRDefault="00786CF3" w:rsidP="00376554">
            <w:pPr>
              <w:spacing w:after="0" w:line="240" w:lineRule="auto"/>
              <w:jc w:val="both"/>
              <w:rPr>
                <w:rFonts w:ascii="Times New Roman" w:eastAsiaTheme="minorHAnsi" w:hAnsi="Times New Roman"/>
                <w:sz w:val="16"/>
                <w:szCs w:val="16"/>
                <w:highlight w:val="yellow"/>
              </w:rPr>
            </w:pPr>
          </w:p>
          <w:p w14:paraId="22464E5D" w14:textId="77777777" w:rsidR="00C06C01" w:rsidRPr="00685CDF" w:rsidRDefault="00C06C01" w:rsidP="00376554">
            <w:pPr>
              <w:spacing w:after="0" w:line="240" w:lineRule="auto"/>
              <w:jc w:val="both"/>
              <w:rPr>
                <w:rFonts w:ascii="Times New Roman" w:eastAsiaTheme="minorHAnsi" w:hAnsi="Times New Roman"/>
                <w:i/>
                <w:sz w:val="16"/>
                <w:szCs w:val="16"/>
                <w:highlight w:val="yellow"/>
              </w:rPr>
            </w:pPr>
          </w:p>
          <w:p w14:paraId="7E390BEA" w14:textId="3DC74DDB" w:rsidR="00C06C01" w:rsidRPr="00707AC9" w:rsidRDefault="00C06C01" w:rsidP="00376554">
            <w:pPr>
              <w:spacing w:after="0" w:line="240" w:lineRule="auto"/>
              <w:jc w:val="both"/>
              <w:rPr>
                <w:rFonts w:ascii="Times New Roman" w:eastAsiaTheme="minorHAnsi" w:hAnsi="Times New Roman"/>
                <w:i/>
                <w:sz w:val="16"/>
                <w:szCs w:val="16"/>
              </w:rPr>
            </w:pPr>
            <w:r w:rsidRPr="00707AC9">
              <w:rPr>
                <w:rFonts w:ascii="Times New Roman" w:eastAsiaTheme="minorHAnsi" w:hAnsi="Times New Roman"/>
                <w:i/>
                <w:sz w:val="16"/>
                <w:szCs w:val="16"/>
              </w:rPr>
              <w:t>Mērķis 2023:</w:t>
            </w:r>
            <w:r w:rsidR="009A677D">
              <w:rPr>
                <w:rFonts w:ascii="Times New Roman" w:eastAsiaTheme="minorHAnsi" w:hAnsi="Times New Roman"/>
                <w:i/>
                <w:sz w:val="16"/>
                <w:szCs w:val="16"/>
              </w:rPr>
              <w:t xml:space="preserve"> </w:t>
            </w:r>
            <w:r w:rsidR="009C37D3">
              <w:rPr>
                <w:rFonts w:ascii="Times New Roman" w:eastAsiaTheme="minorHAnsi" w:hAnsi="Times New Roman"/>
                <w:sz w:val="16"/>
                <w:szCs w:val="16"/>
              </w:rPr>
              <w:t>270</w:t>
            </w:r>
          </w:p>
          <w:p w14:paraId="6D8B10CF" w14:textId="77777777" w:rsidR="00C06C01" w:rsidRPr="00685CDF" w:rsidRDefault="00C06C01" w:rsidP="00376554">
            <w:pPr>
              <w:spacing w:after="0" w:line="240" w:lineRule="auto"/>
              <w:jc w:val="both"/>
              <w:rPr>
                <w:rFonts w:ascii="Times New Roman" w:eastAsiaTheme="minorHAnsi" w:hAnsi="Times New Roman"/>
                <w:i/>
                <w:sz w:val="16"/>
                <w:szCs w:val="16"/>
                <w:highlight w:val="yellow"/>
              </w:rPr>
            </w:pPr>
          </w:p>
          <w:p w14:paraId="4A90211C" w14:textId="77777777" w:rsidR="002015CF" w:rsidRDefault="00C06C01" w:rsidP="002015CF">
            <w:pPr>
              <w:pStyle w:val="NormalWeb"/>
              <w:shd w:val="clear" w:color="auto" w:fill="FFFFFF"/>
              <w:spacing w:before="0" w:beforeAutospacing="0" w:after="0" w:afterAutospacing="0"/>
              <w:jc w:val="both"/>
              <w:rPr>
                <w:sz w:val="16"/>
                <w:szCs w:val="16"/>
              </w:rPr>
            </w:pPr>
            <w:r w:rsidRPr="00376554">
              <w:rPr>
                <w:rFonts w:eastAsiaTheme="minorHAnsi"/>
                <w:i/>
                <w:sz w:val="16"/>
                <w:szCs w:val="16"/>
              </w:rPr>
              <w:t xml:space="preserve">Mērķa vērtības noteikšanas principi/metodoloģija: </w:t>
            </w:r>
            <w:r w:rsidR="002015CF" w:rsidRPr="00AF23EF">
              <w:rPr>
                <w:sz w:val="16"/>
                <w:szCs w:val="16"/>
              </w:rPr>
              <w:t xml:space="preserve">Mērķa vērtība noteikta: </w:t>
            </w:r>
          </w:p>
          <w:p w14:paraId="6C2FBA0D" w14:textId="3AA79872" w:rsidR="002015CF" w:rsidRPr="00AF23EF" w:rsidRDefault="002015CF" w:rsidP="002015CF">
            <w:pPr>
              <w:pStyle w:val="NormalWeb"/>
              <w:shd w:val="clear" w:color="auto" w:fill="FFFFFF"/>
              <w:spacing w:before="0" w:beforeAutospacing="0" w:after="0" w:afterAutospacing="0"/>
              <w:jc w:val="both"/>
              <w:rPr>
                <w:color w:val="000000" w:themeColor="text1"/>
                <w:sz w:val="16"/>
                <w:szCs w:val="16"/>
              </w:rPr>
            </w:pPr>
            <w:r w:rsidRPr="00AF23EF">
              <w:rPr>
                <w:sz w:val="16"/>
                <w:szCs w:val="16"/>
              </w:rPr>
              <w:t xml:space="preserve">1) </w:t>
            </w:r>
            <w:r w:rsidRPr="00AF23EF">
              <w:rPr>
                <w:color w:val="000000" w:themeColor="text1"/>
                <w:sz w:val="16"/>
                <w:szCs w:val="16"/>
              </w:rPr>
              <w:t xml:space="preserve">Atbilstoši aktuālajiem Nodarbinātības valsts aģentūras datiem par šobrīd bezdarbnieku statusu ieguvušajām reģistrētajām ārstniecības personām ar medicīnas māsas izglītību, kā arī ārstniecības personu reģistra datus par reģistrētajām (praktizēt tiesīgām) māsām, māsu palīgiem un ārstu palīgiem, kas šobrīd nestrādā nozarē, objektīvi sasniedzams papildu piesaistāmo māsu un māsu palīgu skaits, kā arī ārstu palīgu skaits valsts apmaksātajā veselības aprūpē Rīgā būtu 230 (māsas un māsu palīgi slimnīcās un ārstu palīgi NMPD). Vidējās piesaistes izmaksas uz vienu šāda līmeņa ārstniecības personu (t.sk. administrācijas izmaksas) ir ~10 000 EUR, līdz ar to papildu nepieciešamais finansējums šai aktivitātei ir 2,3 milj. EUR.  </w:t>
            </w:r>
          </w:p>
          <w:p w14:paraId="2A33C816" w14:textId="77777777" w:rsidR="009C37D3" w:rsidRPr="009C37D3" w:rsidRDefault="002015CF" w:rsidP="002015CF">
            <w:pPr>
              <w:pStyle w:val="ListParagraph"/>
              <w:numPr>
                <w:ilvl w:val="0"/>
                <w:numId w:val="3"/>
              </w:numPr>
              <w:shd w:val="clear" w:color="auto" w:fill="FFFFFF"/>
              <w:spacing w:after="0" w:line="240" w:lineRule="auto"/>
              <w:ind w:left="0" w:firstLine="0"/>
              <w:jc w:val="both"/>
              <w:rPr>
                <w:rFonts w:ascii="Times New Roman" w:hAnsi="Times New Roman"/>
                <w:sz w:val="16"/>
                <w:szCs w:val="16"/>
              </w:rPr>
            </w:pPr>
            <w:r w:rsidRPr="00AF23EF">
              <w:rPr>
                <w:rFonts w:ascii="Times New Roman" w:hAnsi="Times New Roman"/>
                <w:color w:val="000000"/>
                <w:sz w:val="16"/>
                <w:szCs w:val="16"/>
              </w:rPr>
              <w:t>Attiecībā uz ģimenes ārstu nomaiņu Rīgā vidējās izmaksas uz ģimenes ārsta praksi tiek rēķinātas 17 500 EUR apmērā un ietver</w:t>
            </w:r>
            <w:r w:rsidR="009C37D3">
              <w:rPr>
                <w:rFonts w:ascii="Times New Roman" w:hAnsi="Times New Roman"/>
                <w:color w:val="000000"/>
                <w:sz w:val="16"/>
                <w:szCs w:val="16"/>
              </w:rPr>
              <w:t>:</w:t>
            </w:r>
          </w:p>
          <w:p w14:paraId="37636F44" w14:textId="360B9556" w:rsidR="009C37D3" w:rsidRDefault="009C37D3" w:rsidP="009C37D3">
            <w:pPr>
              <w:pStyle w:val="ListParagraph"/>
              <w:shd w:val="clear" w:color="auto" w:fill="FFFFFF"/>
              <w:spacing w:after="0" w:line="240" w:lineRule="auto"/>
              <w:ind w:left="0"/>
              <w:jc w:val="both"/>
              <w:rPr>
                <w:rFonts w:ascii="Times New Roman" w:hAnsi="Times New Roman"/>
                <w:color w:val="000000"/>
                <w:sz w:val="16"/>
                <w:szCs w:val="16"/>
              </w:rPr>
            </w:pPr>
            <w:r>
              <w:rPr>
                <w:rFonts w:ascii="Times New Roman" w:hAnsi="Times New Roman"/>
                <w:color w:val="000000"/>
                <w:sz w:val="16"/>
                <w:szCs w:val="16"/>
              </w:rPr>
              <w:t xml:space="preserve">- </w:t>
            </w:r>
            <w:r w:rsidR="002015CF" w:rsidRPr="00AF23EF">
              <w:rPr>
                <w:rFonts w:ascii="Times New Roman" w:hAnsi="Times New Roman"/>
                <w:color w:val="000000"/>
                <w:sz w:val="16"/>
                <w:szCs w:val="16"/>
              </w:rPr>
              <w:t xml:space="preserve"> kompensāciju ārstam, kas dodas pensijā (ap 10 000 EUR)</w:t>
            </w:r>
            <w:r>
              <w:rPr>
                <w:rFonts w:ascii="Times New Roman" w:hAnsi="Times New Roman"/>
                <w:color w:val="000000"/>
                <w:sz w:val="16"/>
                <w:szCs w:val="16"/>
              </w:rPr>
              <w:t>, kuram kompensācija tiek maksāta par pieredzes, prakses un zināšanu nodošanu jaunajam ģimenes ārstam, līdz ar to jaunais un vecais ģimenes ārsts 3 mēnešus strādā kopā, nodrošinot pakalpojuma un kvalitātes nepārtrauktību</w:t>
            </w:r>
            <w:r w:rsidR="002015CF" w:rsidRPr="00AF23EF">
              <w:rPr>
                <w:rFonts w:ascii="Times New Roman" w:hAnsi="Times New Roman"/>
                <w:color w:val="000000"/>
                <w:sz w:val="16"/>
                <w:szCs w:val="16"/>
              </w:rPr>
              <w:t>,</w:t>
            </w:r>
          </w:p>
          <w:p w14:paraId="1092E3FA" w14:textId="2202AB4B" w:rsidR="009C37D3" w:rsidRDefault="009C37D3" w:rsidP="009C37D3">
            <w:pPr>
              <w:pStyle w:val="ListParagraph"/>
              <w:shd w:val="clear" w:color="auto" w:fill="FFFFFF"/>
              <w:spacing w:after="0" w:line="240" w:lineRule="auto"/>
              <w:ind w:left="0"/>
              <w:jc w:val="both"/>
              <w:rPr>
                <w:rFonts w:ascii="Times New Roman" w:hAnsi="Times New Roman"/>
                <w:color w:val="000000"/>
                <w:sz w:val="16"/>
                <w:szCs w:val="16"/>
              </w:rPr>
            </w:pPr>
            <w:r>
              <w:rPr>
                <w:rFonts w:ascii="Times New Roman" w:hAnsi="Times New Roman"/>
                <w:color w:val="000000"/>
                <w:sz w:val="16"/>
                <w:szCs w:val="16"/>
              </w:rPr>
              <w:t xml:space="preserve">- </w:t>
            </w:r>
            <w:r w:rsidR="002015CF" w:rsidRPr="00AF23EF">
              <w:rPr>
                <w:rFonts w:ascii="Times New Roman" w:hAnsi="Times New Roman"/>
                <w:color w:val="000000"/>
                <w:sz w:val="16"/>
                <w:szCs w:val="16"/>
              </w:rPr>
              <w:t xml:space="preserve">trīs mēnešu algu jaunajam ārstam (ap 3 500 EUR), kā arī administrēšanas izmaksas. </w:t>
            </w:r>
          </w:p>
          <w:p w14:paraId="7E017F87" w14:textId="262EF5EC" w:rsidR="002015CF" w:rsidRPr="00AF23EF" w:rsidRDefault="002015CF" w:rsidP="009C37D3">
            <w:pPr>
              <w:pStyle w:val="ListParagraph"/>
              <w:shd w:val="clear" w:color="auto" w:fill="FFFFFF"/>
              <w:spacing w:after="0" w:line="240" w:lineRule="auto"/>
              <w:ind w:left="0"/>
              <w:jc w:val="both"/>
              <w:rPr>
                <w:rFonts w:ascii="Times New Roman" w:hAnsi="Times New Roman"/>
                <w:sz w:val="16"/>
                <w:szCs w:val="16"/>
              </w:rPr>
            </w:pPr>
            <w:r w:rsidRPr="00AF23EF">
              <w:rPr>
                <w:rFonts w:ascii="Times New Roman" w:hAnsi="Times New Roman"/>
                <w:color w:val="000000"/>
                <w:sz w:val="16"/>
                <w:szCs w:val="16"/>
              </w:rPr>
              <w:lastRenderedPageBreak/>
              <w:t xml:space="preserve">Līdz ar to šim pasākumam nepieciešami papildu 0,7 milj. EUR. </w:t>
            </w:r>
            <w:r w:rsidR="009C37D3">
              <w:rPr>
                <w:rFonts w:ascii="Times New Roman" w:hAnsi="Times New Roman"/>
                <w:color w:val="000000"/>
                <w:sz w:val="16"/>
                <w:szCs w:val="16"/>
              </w:rPr>
              <w:t>Ņ</w:t>
            </w:r>
            <w:r w:rsidRPr="00AF23EF">
              <w:rPr>
                <w:rFonts w:ascii="Times New Roman" w:hAnsi="Times New Roman"/>
                <w:color w:val="000000"/>
                <w:sz w:val="16"/>
                <w:szCs w:val="16"/>
              </w:rPr>
              <w:t>emta vērā esošā ģimenes ārstu vecumstruktūra Rīgā ( 2020.gada beigās Rīgā strādās 130 ģimenes ārsti, kas sasnieguši pensijas vecumu), kā arī iespējas piesaistīt jaunos ģimenes ārstu, ņemot vērā nepieciešamību nodrošināt jaunos ārstus arī reģionos. Līdz ar to laikā līdz 2023.gadam plānots ar ESF atbalstu veicināt paaudžu nomaiņu aptuveni 40 ģimenes ārstu praksēs Rīgā</w:t>
            </w:r>
            <w:r w:rsidR="009C37D3">
              <w:rPr>
                <w:rFonts w:ascii="Times New Roman" w:hAnsi="Times New Roman"/>
                <w:color w:val="000000"/>
                <w:sz w:val="16"/>
                <w:szCs w:val="16"/>
              </w:rPr>
              <w:t>.</w:t>
            </w:r>
          </w:p>
          <w:p w14:paraId="0BBC880B" w14:textId="77777777" w:rsidR="00EF567E" w:rsidRPr="00376554" w:rsidRDefault="00376554" w:rsidP="00376554">
            <w:pPr>
              <w:spacing w:after="0" w:line="240" w:lineRule="auto"/>
              <w:jc w:val="both"/>
              <w:rPr>
                <w:rFonts w:ascii="Times New Roman" w:hAnsi="Times New Roman"/>
                <w:sz w:val="16"/>
                <w:szCs w:val="16"/>
              </w:rPr>
            </w:pPr>
            <w:r w:rsidRPr="00376554">
              <w:rPr>
                <w:rFonts w:ascii="Times New Roman" w:hAnsi="Times New Roman"/>
                <w:sz w:val="16"/>
                <w:szCs w:val="16"/>
              </w:rPr>
              <w:t>Mērķa vērtība noteikta ņemot vērā rezultā</w:t>
            </w:r>
            <w:r w:rsidR="00EC66F0">
              <w:rPr>
                <w:rFonts w:ascii="Times New Roman" w:hAnsi="Times New Roman"/>
                <w:sz w:val="16"/>
                <w:szCs w:val="16"/>
              </w:rPr>
              <w:t>t</w:t>
            </w:r>
            <w:r w:rsidRPr="00376554">
              <w:rPr>
                <w:rFonts w:ascii="Times New Roman" w:hAnsi="Times New Roman"/>
                <w:sz w:val="16"/>
                <w:szCs w:val="16"/>
              </w:rPr>
              <w:t>a rādītāj</w:t>
            </w:r>
            <w:r w:rsidR="00D8764D">
              <w:rPr>
                <w:rFonts w:ascii="Times New Roman" w:hAnsi="Times New Roman"/>
                <w:sz w:val="16"/>
                <w:szCs w:val="16"/>
              </w:rPr>
              <w:t>a</w:t>
            </w:r>
            <w:r w:rsidRPr="00376554">
              <w:rPr>
                <w:rFonts w:ascii="Times New Roman" w:hAnsi="Times New Roman"/>
                <w:sz w:val="16"/>
                <w:szCs w:val="16"/>
              </w:rPr>
              <w:t xml:space="preserve"> metodoloģijā aprakstīto aprēķinu papildus pieskaitot ģimenes ārstu, kas savu praksi nodos jaunajam ārstam un līdz ar to 6 mēnešus pēc atbalsta saņemšanas vairs nestrādās veselības aprūpē.</w:t>
            </w:r>
          </w:p>
          <w:p w14:paraId="5ABBB9D4" w14:textId="77777777" w:rsidR="00E0551F" w:rsidRPr="00685CDF" w:rsidRDefault="00E0551F" w:rsidP="00376554">
            <w:pPr>
              <w:spacing w:after="0" w:line="240" w:lineRule="auto"/>
              <w:jc w:val="both"/>
              <w:rPr>
                <w:rFonts w:ascii="Times New Roman" w:hAnsi="Times New Roman"/>
                <w:i/>
                <w:sz w:val="16"/>
                <w:szCs w:val="16"/>
                <w:highlight w:val="yellow"/>
              </w:rPr>
            </w:pPr>
          </w:p>
          <w:p w14:paraId="6ED4DDD1" w14:textId="04F70764" w:rsidR="00E0551F" w:rsidRPr="00376554" w:rsidRDefault="00FE3407" w:rsidP="00376554">
            <w:pPr>
              <w:pStyle w:val="xmsolistparagraph"/>
              <w:shd w:val="clear" w:color="auto" w:fill="FFFFFF"/>
              <w:spacing w:before="0" w:beforeAutospacing="0" w:after="0" w:afterAutospacing="0"/>
              <w:jc w:val="both"/>
              <w:rPr>
                <w:rFonts w:eastAsiaTheme="minorHAnsi"/>
                <w:sz w:val="16"/>
                <w:szCs w:val="16"/>
              </w:rPr>
            </w:pPr>
            <w:r w:rsidRPr="00376554">
              <w:rPr>
                <w:b/>
                <w:bCs/>
                <w:color w:val="000000"/>
                <w:sz w:val="16"/>
                <w:szCs w:val="16"/>
              </w:rPr>
              <w:t>Darbības, kas liek uzskatīt mērķa vērtību par izpildītu: </w:t>
            </w:r>
            <w:r w:rsidR="00AD50E4" w:rsidRPr="00376554">
              <w:rPr>
                <w:color w:val="000000"/>
                <w:sz w:val="16"/>
                <w:szCs w:val="16"/>
                <w:shd w:val="clear" w:color="auto" w:fill="FFFFFF"/>
              </w:rPr>
              <w:t xml:space="preserve"> Persona, kurai sniegts ESF atbalsts (atbalstāmā persona iekļaujama sasniegtajos rādītājos pēc atbalsta saņemšanas projekta ietvaros</w:t>
            </w:r>
            <w:r w:rsidR="00E57517" w:rsidRPr="00376554">
              <w:rPr>
                <w:color w:val="000000"/>
                <w:sz w:val="16"/>
                <w:szCs w:val="16"/>
                <w:shd w:val="clear" w:color="auto" w:fill="FFFFFF"/>
              </w:rPr>
              <w:t>, pamatojoties uz veikto maksājumu atbalstāmajai personai (MP iekļautā informācija)</w:t>
            </w:r>
            <w:r w:rsidR="00AD50E4" w:rsidRPr="00376554">
              <w:rPr>
                <w:color w:val="000000"/>
                <w:sz w:val="16"/>
                <w:szCs w:val="16"/>
                <w:shd w:val="clear" w:color="auto" w:fill="FFFFFF"/>
              </w:rPr>
              <w:t>)</w:t>
            </w:r>
            <w:r w:rsidR="00B76AEC" w:rsidRPr="00376554">
              <w:rPr>
                <w:color w:val="000000"/>
                <w:sz w:val="16"/>
                <w:szCs w:val="16"/>
                <w:shd w:val="clear" w:color="auto" w:fill="FFFFFF"/>
              </w:rPr>
              <w:t>.</w:t>
            </w:r>
          </w:p>
          <w:p w14:paraId="774E9907" w14:textId="77777777" w:rsidR="00E0551F" w:rsidRPr="00685CDF" w:rsidRDefault="00E0551F" w:rsidP="00376554">
            <w:pPr>
              <w:spacing w:after="0" w:line="240" w:lineRule="auto"/>
              <w:jc w:val="both"/>
              <w:rPr>
                <w:rFonts w:ascii="Times New Roman" w:eastAsiaTheme="minorHAnsi" w:hAnsi="Times New Roman"/>
                <w:i/>
                <w:sz w:val="16"/>
                <w:szCs w:val="16"/>
                <w:highlight w:val="yellow"/>
              </w:rPr>
            </w:pPr>
          </w:p>
        </w:tc>
        <w:tc>
          <w:tcPr>
            <w:tcW w:w="2612" w:type="dxa"/>
          </w:tcPr>
          <w:p w14:paraId="1D51965C" w14:textId="13789EBC" w:rsidR="00C06C01" w:rsidRPr="0047140D" w:rsidRDefault="00C06C01" w:rsidP="00376554">
            <w:pPr>
              <w:spacing w:after="0" w:line="240" w:lineRule="auto"/>
              <w:jc w:val="both"/>
              <w:rPr>
                <w:rFonts w:ascii="Times New Roman" w:eastAsiaTheme="minorHAnsi" w:hAnsi="Times New Roman"/>
                <w:sz w:val="16"/>
                <w:szCs w:val="16"/>
              </w:rPr>
            </w:pPr>
            <w:r w:rsidRPr="0047140D">
              <w:rPr>
                <w:rFonts w:ascii="Times New Roman" w:eastAsiaTheme="minorHAnsi" w:hAnsi="Times New Roman"/>
                <w:i/>
                <w:sz w:val="16"/>
                <w:szCs w:val="16"/>
              </w:rPr>
              <w:lastRenderedPageBreak/>
              <w:t xml:space="preserve">Starpposma vērtība 2018. gadam: </w:t>
            </w:r>
            <w:r w:rsidR="0047140D" w:rsidRPr="0047140D">
              <w:rPr>
                <w:rFonts w:ascii="Times New Roman" w:eastAsiaTheme="minorHAnsi" w:hAnsi="Times New Roman"/>
                <w:i/>
                <w:sz w:val="16"/>
                <w:szCs w:val="16"/>
              </w:rPr>
              <w:t>N/A</w:t>
            </w:r>
          </w:p>
          <w:p w14:paraId="5E0201CA" w14:textId="77777777" w:rsidR="00C06C01" w:rsidRPr="00685CDF" w:rsidRDefault="00C06C01" w:rsidP="00376554">
            <w:pPr>
              <w:spacing w:after="0" w:line="240" w:lineRule="auto"/>
              <w:jc w:val="both"/>
              <w:rPr>
                <w:rFonts w:ascii="Times New Roman" w:eastAsiaTheme="minorHAnsi" w:hAnsi="Times New Roman"/>
                <w:i/>
                <w:sz w:val="16"/>
                <w:szCs w:val="16"/>
                <w:highlight w:val="yellow"/>
              </w:rPr>
            </w:pPr>
          </w:p>
          <w:p w14:paraId="0E0B8F55" w14:textId="1B6D92BE" w:rsidR="00C06C01" w:rsidRPr="0047140D" w:rsidRDefault="00C06C01" w:rsidP="00376554">
            <w:pPr>
              <w:spacing w:after="0" w:line="240" w:lineRule="auto"/>
              <w:jc w:val="both"/>
              <w:rPr>
                <w:rFonts w:ascii="Times New Roman" w:eastAsiaTheme="minorHAnsi" w:hAnsi="Times New Roman"/>
                <w:sz w:val="16"/>
                <w:szCs w:val="16"/>
              </w:rPr>
            </w:pPr>
            <w:r w:rsidRPr="0047140D">
              <w:rPr>
                <w:rFonts w:ascii="Times New Roman" w:eastAsiaTheme="minorHAnsi" w:hAnsi="Times New Roman"/>
                <w:i/>
                <w:sz w:val="16"/>
                <w:szCs w:val="16"/>
              </w:rPr>
              <w:t xml:space="preserve">Mērķis 2023. gadam (vienāds ar  100 % no  SAM paredzētā kopējā finansējuma):   </w:t>
            </w:r>
            <w:r w:rsidR="0047140D" w:rsidRPr="0047140D">
              <w:rPr>
                <w:rFonts w:ascii="Times New Roman" w:eastAsiaTheme="minorHAnsi" w:hAnsi="Times New Roman"/>
                <w:sz w:val="16"/>
                <w:szCs w:val="16"/>
              </w:rPr>
              <w:t>3 000 000</w:t>
            </w:r>
            <w:r w:rsidRPr="0047140D">
              <w:rPr>
                <w:rFonts w:ascii="Times New Roman" w:eastAsiaTheme="minorHAnsi" w:hAnsi="Times New Roman"/>
                <w:sz w:val="16"/>
                <w:szCs w:val="16"/>
              </w:rPr>
              <w:t xml:space="preserve"> EUR</w:t>
            </w:r>
          </w:p>
          <w:p w14:paraId="6C866766" w14:textId="77777777" w:rsidR="00C06C01" w:rsidRPr="0047140D" w:rsidRDefault="00C06C01" w:rsidP="00376554">
            <w:pPr>
              <w:spacing w:after="0" w:line="240" w:lineRule="auto"/>
              <w:jc w:val="both"/>
              <w:rPr>
                <w:rFonts w:ascii="Times New Roman" w:eastAsiaTheme="minorHAnsi" w:hAnsi="Times New Roman"/>
                <w:i/>
                <w:sz w:val="16"/>
                <w:szCs w:val="16"/>
              </w:rPr>
            </w:pPr>
          </w:p>
          <w:p w14:paraId="7B39A4BE" w14:textId="01D9C1B0" w:rsidR="00C06C01" w:rsidRPr="00685CDF" w:rsidRDefault="00C06C01" w:rsidP="00376554">
            <w:pPr>
              <w:spacing w:after="0" w:line="240" w:lineRule="auto"/>
              <w:jc w:val="both"/>
              <w:rPr>
                <w:rFonts w:ascii="Times New Roman" w:eastAsiaTheme="minorHAnsi" w:hAnsi="Times New Roman"/>
                <w:sz w:val="16"/>
                <w:szCs w:val="16"/>
                <w:highlight w:val="yellow"/>
              </w:rPr>
            </w:pPr>
            <w:r w:rsidRPr="0047140D">
              <w:rPr>
                <w:rFonts w:ascii="Times New Roman" w:eastAsiaTheme="minorHAnsi" w:hAnsi="Times New Roman"/>
                <w:i/>
                <w:sz w:val="16"/>
                <w:szCs w:val="16"/>
              </w:rPr>
              <w:t>Starpposma vērtības noteikšanas aprēķins:</w:t>
            </w:r>
            <w:r w:rsidRPr="0047140D">
              <w:rPr>
                <w:rFonts w:ascii="Times New Roman" w:hAnsi="Times New Roman"/>
                <w:i/>
                <w:sz w:val="16"/>
                <w:szCs w:val="16"/>
              </w:rPr>
              <w:t xml:space="preserve"> </w:t>
            </w:r>
            <w:r w:rsidR="0047140D" w:rsidRPr="0047140D">
              <w:rPr>
                <w:rFonts w:ascii="Times New Roman" w:hAnsi="Times New Roman"/>
                <w:sz w:val="16"/>
                <w:szCs w:val="16"/>
              </w:rPr>
              <w:t>N/A</w:t>
            </w:r>
          </w:p>
        </w:tc>
      </w:tr>
    </w:tbl>
    <w:p w14:paraId="4C862F67" w14:textId="77777777" w:rsidR="00CB437B" w:rsidRDefault="00CB437B" w:rsidP="009B75BA">
      <w:pPr>
        <w:spacing w:after="0" w:line="240" w:lineRule="auto"/>
      </w:pPr>
    </w:p>
    <w:sectPr w:rsidR="00CB437B" w:rsidSect="00A54082">
      <w:headerReference w:type="default" r:id="rId8"/>
      <w:pgSz w:w="16838" w:h="11906" w:orient="landscape"/>
      <w:pgMar w:top="340" w:right="1440" w:bottom="85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948576" w14:textId="77777777" w:rsidR="002E30AA" w:rsidRDefault="002E30AA" w:rsidP="00C109A7">
      <w:pPr>
        <w:spacing w:after="0" w:line="240" w:lineRule="auto"/>
      </w:pPr>
      <w:r>
        <w:separator/>
      </w:r>
    </w:p>
  </w:endnote>
  <w:endnote w:type="continuationSeparator" w:id="0">
    <w:p w14:paraId="16494AF9" w14:textId="77777777" w:rsidR="002E30AA" w:rsidRDefault="002E30AA" w:rsidP="00C10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B8721E" w14:textId="77777777" w:rsidR="002E30AA" w:rsidRDefault="002E30AA" w:rsidP="00C109A7">
      <w:pPr>
        <w:spacing w:after="0" w:line="240" w:lineRule="auto"/>
      </w:pPr>
      <w:r>
        <w:separator/>
      </w:r>
    </w:p>
  </w:footnote>
  <w:footnote w:type="continuationSeparator" w:id="0">
    <w:p w14:paraId="464E8EB3" w14:textId="77777777" w:rsidR="002E30AA" w:rsidRDefault="002E30AA" w:rsidP="00C109A7">
      <w:pPr>
        <w:spacing w:after="0" w:line="240" w:lineRule="auto"/>
      </w:pPr>
      <w:r>
        <w:continuationSeparator/>
      </w:r>
    </w:p>
  </w:footnote>
  <w:footnote w:id="1">
    <w:p w14:paraId="1509AD34" w14:textId="03B65C48" w:rsidR="00D00C34" w:rsidRPr="00CF672F" w:rsidRDefault="00D00C34">
      <w:pPr>
        <w:pStyle w:val="FootnoteText"/>
        <w:rPr>
          <w:rFonts w:ascii="Times New Roman" w:hAnsi="Times New Roman"/>
          <w:sz w:val="18"/>
          <w:szCs w:val="18"/>
        </w:rPr>
      </w:pPr>
      <w:r>
        <w:rPr>
          <w:rStyle w:val="FootnoteReference"/>
        </w:rPr>
        <w:footnoteRef/>
      </w:r>
      <w:r>
        <w:t xml:space="preserve"> </w:t>
      </w:r>
      <w:r w:rsidRPr="00CF672F">
        <w:rPr>
          <w:rFonts w:ascii="Times New Roman" w:hAnsi="Times New Roman"/>
          <w:sz w:val="18"/>
          <w:szCs w:val="18"/>
        </w:rPr>
        <w:t xml:space="preserve">Finanšu rādītāju mērvienība - </w:t>
      </w:r>
      <w:r w:rsidR="000C2D7A" w:rsidRPr="000C2D7A">
        <w:rPr>
          <w:rFonts w:ascii="Times New Roman" w:hAnsi="Times New Roman"/>
          <w:sz w:val="18"/>
          <w:szCs w:val="18"/>
        </w:rPr>
        <w:t xml:space="preserve">starpposma vērtība 2018. gadam ir </w:t>
      </w:r>
      <w:r w:rsidRPr="00CF672F">
        <w:rPr>
          <w:rFonts w:ascii="Times New Roman" w:hAnsi="Times New Roman"/>
          <w:sz w:val="18"/>
          <w:szCs w:val="18"/>
        </w:rPr>
        <w:t>attiecināmie izdevumi EUR  sertificējošās iestādes uzskaites sistēmā, līdz 30.06.2019. sertificētie izdevumi, kas finansējuma saņēmējam radušies līdz 31.12.2018. Starpposma vērtības noteikšanā nedrīkst iekļaut snieguma rezerves apjomu 6 %, kamēr mērķis nosakāms iekļaujot rezerves apjomu.</w:t>
      </w:r>
    </w:p>
  </w:footnote>
  <w:footnote w:id="2">
    <w:p w14:paraId="253A966F" w14:textId="77777777" w:rsidR="00DD192A" w:rsidRPr="00CF672F" w:rsidRDefault="00DD192A">
      <w:pPr>
        <w:pStyle w:val="FootnoteText"/>
        <w:rPr>
          <w:rFonts w:ascii="Times New Roman" w:hAnsi="Times New Roman"/>
          <w:sz w:val="18"/>
          <w:szCs w:val="18"/>
        </w:rPr>
      </w:pPr>
      <w:r w:rsidRPr="00CF672F">
        <w:rPr>
          <w:rStyle w:val="FootnoteReference"/>
          <w:rFonts w:ascii="Times New Roman" w:hAnsi="Times New Roman"/>
          <w:sz w:val="18"/>
          <w:szCs w:val="18"/>
        </w:rPr>
        <w:footnoteRef/>
      </w:r>
      <w:r w:rsidRPr="00CF672F">
        <w:rPr>
          <w:rFonts w:ascii="Times New Roman" w:hAnsi="Times New Roman"/>
          <w:sz w:val="18"/>
          <w:szCs w:val="18"/>
        </w:rPr>
        <w:t xml:space="preserve"> Informāciju par rādītāju KPVIS ievada finansējuma saņēmējs</w:t>
      </w:r>
    </w:p>
  </w:footnote>
  <w:footnote w:id="3">
    <w:p w14:paraId="14A27E58" w14:textId="7E6BDBC3" w:rsidR="00CE3327" w:rsidRDefault="00CE3327">
      <w:pPr>
        <w:pStyle w:val="FootnoteText"/>
      </w:pPr>
      <w:r>
        <w:rPr>
          <w:rStyle w:val="FootnoteReference"/>
        </w:rPr>
        <w:footnoteRef/>
      </w:r>
      <w:r>
        <w:t xml:space="preserve"> </w:t>
      </w:r>
      <w:r w:rsidRPr="00A5589A">
        <w:rPr>
          <w:rFonts w:ascii="Times New Roman" w:hAnsi="Times New Roman"/>
          <w:sz w:val="18"/>
          <w:szCs w:val="18"/>
        </w:rPr>
        <w:t xml:space="preserve">Eiropas Parlamenta un Padomes Regula (ES) Nr. 1304/2013 2013. gada 17. decembris par Eiropas Sociālo fondu un ar ko atceļ Padomes Regulu (EK) Nr. 1081/2006: </w:t>
      </w:r>
      <w:hyperlink r:id="rId1" w:history="1">
        <w:r w:rsidRPr="00A5589A">
          <w:rPr>
            <w:rStyle w:val="Hyperlink"/>
            <w:rFonts w:ascii="Times New Roman" w:hAnsi="Times New Roman"/>
            <w:sz w:val="18"/>
            <w:szCs w:val="18"/>
          </w:rPr>
          <w:t>https://eur-lex.europa.eu/legal-content/LV/TXT/?qid=1421584799618&amp;uri=CELEX:32013R1304</w:t>
        </w:r>
      </w:hyperlink>
      <w:r>
        <w:rPr>
          <w:rFonts w:ascii="Times New Roman" w:hAnsi="Times New Roman"/>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99438"/>
      <w:docPartObj>
        <w:docPartGallery w:val="Page Numbers (Top of Page)"/>
        <w:docPartUnique/>
      </w:docPartObj>
    </w:sdtPr>
    <w:sdtEndPr/>
    <w:sdtContent>
      <w:p w14:paraId="4BF9100C" w14:textId="37B5A5F1" w:rsidR="00113190" w:rsidRDefault="00503CD0">
        <w:pPr>
          <w:pStyle w:val="Header"/>
          <w:jc w:val="center"/>
        </w:pPr>
        <w:r>
          <w:fldChar w:fldCharType="begin"/>
        </w:r>
        <w:r w:rsidR="0052462C">
          <w:instrText xml:space="preserve"> PAGE   \* MERGEFORMAT </w:instrText>
        </w:r>
        <w:r>
          <w:fldChar w:fldCharType="separate"/>
        </w:r>
        <w:r w:rsidR="00870A69">
          <w:rPr>
            <w:noProof/>
          </w:rPr>
          <w:t>1</w:t>
        </w:r>
        <w:r>
          <w:rPr>
            <w:noProof/>
          </w:rPr>
          <w:fldChar w:fldCharType="end"/>
        </w:r>
      </w:p>
    </w:sdtContent>
  </w:sdt>
  <w:p w14:paraId="2CE971B4" w14:textId="77777777" w:rsidR="00113190" w:rsidRDefault="001131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05C54"/>
    <w:multiLevelType w:val="hybridMultilevel"/>
    <w:tmpl w:val="0E1824A4"/>
    <w:lvl w:ilvl="0" w:tplc="5FEE91E2">
      <w:start w:val="2"/>
      <w:numFmt w:val="decimal"/>
      <w:lvlText w:val="%1)"/>
      <w:lvlJc w:val="left"/>
      <w:pPr>
        <w:ind w:left="720"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1F50BE2"/>
    <w:multiLevelType w:val="hybridMultilevel"/>
    <w:tmpl w:val="26B44898"/>
    <w:lvl w:ilvl="0" w:tplc="3C32D85E">
      <w:start w:val="1"/>
      <w:numFmt w:val="decimal"/>
      <w:lvlText w:val="(%1)"/>
      <w:lvlJc w:val="left"/>
      <w:pPr>
        <w:ind w:left="644" w:hanging="360"/>
      </w:pPr>
      <w:rPr>
        <w:rFonts w:ascii="Times New Roman" w:hAnsi="Times New Roman" w:cs="Times New Roman" w:hint="default"/>
        <w:b w:val="0"/>
        <w:i w:val="0"/>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090005">
      <w:start w:val="1"/>
      <w:numFmt w:val="decimal"/>
      <w:lvlText w:val="(%4)"/>
      <w:lvlJc w:val="left"/>
      <w:pPr>
        <w:ind w:left="2880" w:hanging="360"/>
      </w:pPr>
      <w:rPr>
        <w:rFonts w:hint="default"/>
      </w:r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B7C08D6"/>
    <w:multiLevelType w:val="hybridMultilevel"/>
    <w:tmpl w:val="A85ED318"/>
    <w:lvl w:ilvl="0" w:tplc="EA6249F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9A7"/>
    <w:rsid w:val="0000573A"/>
    <w:rsid w:val="00013701"/>
    <w:rsid w:val="00013723"/>
    <w:rsid w:val="00015D26"/>
    <w:rsid w:val="0002016B"/>
    <w:rsid w:val="00023250"/>
    <w:rsid w:val="00023EFB"/>
    <w:rsid w:val="000271EE"/>
    <w:rsid w:val="00027384"/>
    <w:rsid w:val="00033597"/>
    <w:rsid w:val="00033CFF"/>
    <w:rsid w:val="00040F03"/>
    <w:rsid w:val="00045D12"/>
    <w:rsid w:val="00047169"/>
    <w:rsid w:val="00056A4D"/>
    <w:rsid w:val="00060B07"/>
    <w:rsid w:val="000617A4"/>
    <w:rsid w:val="0006641C"/>
    <w:rsid w:val="00066AB8"/>
    <w:rsid w:val="00066DE4"/>
    <w:rsid w:val="000727C4"/>
    <w:rsid w:val="00074987"/>
    <w:rsid w:val="000A038B"/>
    <w:rsid w:val="000C2D7A"/>
    <w:rsid w:val="000C6100"/>
    <w:rsid w:val="000C618D"/>
    <w:rsid w:val="000C7119"/>
    <w:rsid w:val="000D5DBF"/>
    <w:rsid w:val="000D7AD3"/>
    <w:rsid w:val="000E65E4"/>
    <w:rsid w:val="000E713E"/>
    <w:rsid w:val="000E7597"/>
    <w:rsid w:val="000F32B4"/>
    <w:rsid w:val="00102F05"/>
    <w:rsid w:val="0010367A"/>
    <w:rsid w:val="00104279"/>
    <w:rsid w:val="00107DA4"/>
    <w:rsid w:val="00112A58"/>
    <w:rsid w:val="00113190"/>
    <w:rsid w:val="00114C82"/>
    <w:rsid w:val="00116461"/>
    <w:rsid w:val="00144E44"/>
    <w:rsid w:val="00147489"/>
    <w:rsid w:val="001502AA"/>
    <w:rsid w:val="001507C5"/>
    <w:rsid w:val="001526A2"/>
    <w:rsid w:val="00167023"/>
    <w:rsid w:val="00176760"/>
    <w:rsid w:val="00176EF4"/>
    <w:rsid w:val="00192195"/>
    <w:rsid w:val="001938A1"/>
    <w:rsid w:val="00193A6A"/>
    <w:rsid w:val="001C208E"/>
    <w:rsid w:val="001C6800"/>
    <w:rsid w:val="001E5C51"/>
    <w:rsid w:val="001E5DAB"/>
    <w:rsid w:val="001E5F3B"/>
    <w:rsid w:val="001E6A1F"/>
    <w:rsid w:val="001E7571"/>
    <w:rsid w:val="001F0C54"/>
    <w:rsid w:val="002015CF"/>
    <w:rsid w:val="002054A8"/>
    <w:rsid w:val="002202BF"/>
    <w:rsid w:val="002464CA"/>
    <w:rsid w:val="002512B8"/>
    <w:rsid w:val="00251F9E"/>
    <w:rsid w:val="0025628E"/>
    <w:rsid w:val="002837E5"/>
    <w:rsid w:val="00285015"/>
    <w:rsid w:val="0028557D"/>
    <w:rsid w:val="00291A75"/>
    <w:rsid w:val="002964B9"/>
    <w:rsid w:val="00296A45"/>
    <w:rsid w:val="002A5775"/>
    <w:rsid w:val="002B0170"/>
    <w:rsid w:val="002C04BE"/>
    <w:rsid w:val="002D5CE4"/>
    <w:rsid w:val="002E30AA"/>
    <w:rsid w:val="002E3572"/>
    <w:rsid w:val="002F2D6B"/>
    <w:rsid w:val="002F3033"/>
    <w:rsid w:val="002F3E22"/>
    <w:rsid w:val="002F63C9"/>
    <w:rsid w:val="0030736E"/>
    <w:rsid w:val="003140F6"/>
    <w:rsid w:val="0031698B"/>
    <w:rsid w:val="00320782"/>
    <w:rsid w:val="00330956"/>
    <w:rsid w:val="00330FA3"/>
    <w:rsid w:val="00332A8A"/>
    <w:rsid w:val="00345018"/>
    <w:rsid w:val="003514CD"/>
    <w:rsid w:val="00353523"/>
    <w:rsid w:val="003540B6"/>
    <w:rsid w:val="003609FC"/>
    <w:rsid w:val="00361B41"/>
    <w:rsid w:val="00376554"/>
    <w:rsid w:val="003802E1"/>
    <w:rsid w:val="00383FBF"/>
    <w:rsid w:val="003A01B4"/>
    <w:rsid w:val="003A2E0C"/>
    <w:rsid w:val="003A795C"/>
    <w:rsid w:val="003B1020"/>
    <w:rsid w:val="003B321A"/>
    <w:rsid w:val="003B4811"/>
    <w:rsid w:val="003C152F"/>
    <w:rsid w:val="003C6295"/>
    <w:rsid w:val="003C7779"/>
    <w:rsid w:val="003D2EC9"/>
    <w:rsid w:val="003D3A9E"/>
    <w:rsid w:val="003D5D4A"/>
    <w:rsid w:val="003D7538"/>
    <w:rsid w:val="003E36E4"/>
    <w:rsid w:val="003E444F"/>
    <w:rsid w:val="003F1092"/>
    <w:rsid w:val="003F45FA"/>
    <w:rsid w:val="003F544D"/>
    <w:rsid w:val="00401365"/>
    <w:rsid w:val="00404CCE"/>
    <w:rsid w:val="004100E8"/>
    <w:rsid w:val="004228CF"/>
    <w:rsid w:val="00427E8A"/>
    <w:rsid w:val="00431CB3"/>
    <w:rsid w:val="00432F07"/>
    <w:rsid w:val="0043445A"/>
    <w:rsid w:val="00434D38"/>
    <w:rsid w:val="00436C9C"/>
    <w:rsid w:val="0044255A"/>
    <w:rsid w:val="00446B15"/>
    <w:rsid w:val="004545B5"/>
    <w:rsid w:val="00466F9C"/>
    <w:rsid w:val="0047140D"/>
    <w:rsid w:val="00480A1E"/>
    <w:rsid w:val="0048645A"/>
    <w:rsid w:val="0049089F"/>
    <w:rsid w:val="00494DA4"/>
    <w:rsid w:val="00497D55"/>
    <w:rsid w:val="004B3C70"/>
    <w:rsid w:val="004C129E"/>
    <w:rsid w:val="004C71E7"/>
    <w:rsid w:val="004F0738"/>
    <w:rsid w:val="004F6651"/>
    <w:rsid w:val="00501494"/>
    <w:rsid w:val="00502AFF"/>
    <w:rsid w:val="00503CD0"/>
    <w:rsid w:val="00503F44"/>
    <w:rsid w:val="00510079"/>
    <w:rsid w:val="0052462C"/>
    <w:rsid w:val="00530633"/>
    <w:rsid w:val="00531AFF"/>
    <w:rsid w:val="00531B92"/>
    <w:rsid w:val="0053278F"/>
    <w:rsid w:val="00532B1F"/>
    <w:rsid w:val="00537590"/>
    <w:rsid w:val="00543B81"/>
    <w:rsid w:val="00546B4C"/>
    <w:rsid w:val="0055091F"/>
    <w:rsid w:val="00550B06"/>
    <w:rsid w:val="00555301"/>
    <w:rsid w:val="00557713"/>
    <w:rsid w:val="00592346"/>
    <w:rsid w:val="00597B32"/>
    <w:rsid w:val="005A26CF"/>
    <w:rsid w:val="005C0764"/>
    <w:rsid w:val="005C1314"/>
    <w:rsid w:val="005C492F"/>
    <w:rsid w:val="005F13EC"/>
    <w:rsid w:val="005F66C0"/>
    <w:rsid w:val="005F7D05"/>
    <w:rsid w:val="006020E5"/>
    <w:rsid w:val="00604D03"/>
    <w:rsid w:val="00605F25"/>
    <w:rsid w:val="006129C6"/>
    <w:rsid w:val="00620C9C"/>
    <w:rsid w:val="0062120E"/>
    <w:rsid w:val="00622CA9"/>
    <w:rsid w:val="006233D7"/>
    <w:rsid w:val="00623779"/>
    <w:rsid w:val="00625ED3"/>
    <w:rsid w:val="00632FEA"/>
    <w:rsid w:val="006357C0"/>
    <w:rsid w:val="00636414"/>
    <w:rsid w:val="0063651A"/>
    <w:rsid w:val="00641795"/>
    <w:rsid w:val="00647C51"/>
    <w:rsid w:val="006523B3"/>
    <w:rsid w:val="00652432"/>
    <w:rsid w:val="00655A5A"/>
    <w:rsid w:val="00664568"/>
    <w:rsid w:val="00670215"/>
    <w:rsid w:val="00670392"/>
    <w:rsid w:val="00673451"/>
    <w:rsid w:val="006748FB"/>
    <w:rsid w:val="00675639"/>
    <w:rsid w:val="00685765"/>
    <w:rsid w:val="00685CDF"/>
    <w:rsid w:val="006879A6"/>
    <w:rsid w:val="0069045E"/>
    <w:rsid w:val="006952C0"/>
    <w:rsid w:val="00696F00"/>
    <w:rsid w:val="006B07D2"/>
    <w:rsid w:val="006B632E"/>
    <w:rsid w:val="006B75A1"/>
    <w:rsid w:val="006C1508"/>
    <w:rsid w:val="006D2A6F"/>
    <w:rsid w:val="006D5FE0"/>
    <w:rsid w:val="006E57D9"/>
    <w:rsid w:val="006E7F5B"/>
    <w:rsid w:val="006F3E6C"/>
    <w:rsid w:val="006F6753"/>
    <w:rsid w:val="006F67B9"/>
    <w:rsid w:val="007079BC"/>
    <w:rsid w:val="00707AC9"/>
    <w:rsid w:val="007172E3"/>
    <w:rsid w:val="007232FF"/>
    <w:rsid w:val="00723B28"/>
    <w:rsid w:val="007407E4"/>
    <w:rsid w:val="00744D72"/>
    <w:rsid w:val="00753B39"/>
    <w:rsid w:val="00760C07"/>
    <w:rsid w:val="007617FA"/>
    <w:rsid w:val="00762A7C"/>
    <w:rsid w:val="00766F34"/>
    <w:rsid w:val="007747B3"/>
    <w:rsid w:val="00781F2A"/>
    <w:rsid w:val="00783C31"/>
    <w:rsid w:val="007842B5"/>
    <w:rsid w:val="0078540A"/>
    <w:rsid w:val="00786CF3"/>
    <w:rsid w:val="007A555E"/>
    <w:rsid w:val="007A79F9"/>
    <w:rsid w:val="007D1FD8"/>
    <w:rsid w:val="007D66E0"/>
    <w:rsid w:val="007E3CCC"/>
    <w:rsid w:val="007E5AC5"/>
    <w:rsid w:val="00805A84"/>
    <w:rsid w:val="00813C56"/>
    <w:rsid w:val="00823BAD"/>
    <w:rsid w:val="008316F0"/>
    <w:rsid w:val="008352EE"/>
    <w:rsid w:val="00841CE4"/>
    <w:rsid w:val="0084618B"/>
    <w:rsid w:val="00870A69"/>
    <w:rsid w:val="00873411"/>
    <w:rsid w:val="00876709"/>
    <w:rsid w:val="008A67C0"/>
    <w:rsid w:val="008B763D"/>
    <w:rsid w:val="008B799A"/>
    <w:rsid w:val="008C1994"/>
    <w:rsid w:val="008D15DF"/>
    <w:rsid w:val="008D3BBC"/>
    <w:rsid w:val="008D4D7E"/>
    <w:rsid w:val="008D7B74"/>
    <w:rsid w:val="008E586B"/>
    <w:rsid w:val="008F00FE"/>
    <w:rsid w:val="008F2453"/>
    <w:rsid w:val="008F3885"/>
    <w:rsid w:val="008F6E14"/>
    <w:rsid w:val="008F7085"/>
    <w:rsid w:val="00900187"/>
    <w:rsid w:val="00905CCB"/>
    <w:rsid w:val="00911A11"/>
    <w:rsid w:val="00913FAF"/>
    <w:rsid w:val="00916927"/>
    <w:rsid w:val="009303A6"/>
    <w:rsid w:val="00931245"/>
    <w:rsid w:val="009330FF"/>
    <w:rsid w:val="0093537A"/>
    <w:rsid w:val="00936DE8"/>
    <w:rsid w:val="00937A58"/>
    <w:rsid w:val="00941DC7"/>
    <w:rsid w:val="00966585"/>
    <w:rsid w:val="00967B81"/>
    <w:rsid w:val="009771B8"/>
    <w:rsid w:val="00987415"/>
    <w:rsid w:val="00990270"/>
    <w:rsid w:val="009A3E19"/>
    <w:rsid w:val="009A677D"/>
    <w:rsid w:val="009A6FEC"/>
    <w:rsid w:val="009B75BA"/>
    <w:rsid w:val="009C1D16"/>
    <w:rsid w:val="009C37D3"/>
    <w:rsid w:val="009C419B"/>
    <w:rsid w:val="009D1376"/>
    <w:rsid w:val="009D416C"/>
    <w:rsid w:val="009E6BF1"/>
    <w:rsid w:val="009F6681"/>
    <w:rsid w:val="009F685D"/>
    <w:rsid w:val="00A07CD9"/>
    <w:rsid w:val="00A07E7C"/>
    <w:rsid w:val="00A110A0"/>
    <w:rsid w:val="00A15199"/>
    <w:rsid w:val="00A231AF"/>
    <w:rsid w:val="00A2449E"/>
    <w:rsid w:val="00A25200"/>
    <w:rsid w:val="00A35AC3"/>
    <w:rsid w:val="00A456CE"/>
    <w:rsid w:val="00A504CB"/>
    <w:rsid w:val="00A524C4"/>
    <w:rsid w:val="00A54082"/>
    <w:rsid w:val="00A5589A"/>
    <w:rsid w:val="00A632AB"/>
    <w:rsid w:val="00A70DBE"/>
    <w:rsid w:val="00A7219F"/>
    <w:rsid w:val="00A8110B"/>
    <w:rsid w:val="00A82C2A"/>
    <w:rsid w:val="00A82CCA"/>
    <w:rsid w:val="00A91440"/>
    <w:rsid w:val="00A939D9"/>
    <w:rsid w:val="00A9550E"/>
    <w:rsid w:val="00A95B8D"/>
    <w:rsid w:val="00AA2FBF"/>
    <w:rsid w:val="00AA6DBF"/>
    <w:rsid w:val="00AB14E5"/>
    <w:rsid w:val="00AB19F8"/>
    <w:rsid w:val="00AC31A9"/>
    <w:rsid w:val="00AC7954"/>
    <w:rsid w:val="00AD50E4"/>
    <w:rsid w:val="00AD61A9"/>
    <w:rsid w:val="00AD6798"/>
    <w:rsid w:val="00AE44E6"/>
    <w:rsid w:val="00AE4B09"/>
    <w:rsid w:val="00AF109D"/>
    <w:rsid w:val="00AF23EF"/>
    <w:rsid w:val="00AF539F"/>
    <w:rsid w:val="00AF56ED"/>
    <w:rsid w:val="00B0227F"/>
    <w:rsid w:val="00B05060"/>
    <w:rsid w:val="00B10A23"/>
    <w:rsid w:val="00B1485E"/>
    <w:rsid w:val="00B22B28"/>
    <w:rsid w:val="00B24719"/>
    <w:rsid w:val="00B24F0F"/>
    <w:rsid w:val="00B3361B"/>
    <w:rsid w:val="00B37482"/>
    <w:rsid w:val="00B42AF4"/>
    <w:rsid w:val="00B53D22"/>
    <w:rsid w:val="00B5740C"/>
    <w:rsid w:val="00B61328"/>
    <w:rsid w:val="00B637DB"/>
    <w:rsid w:val="00B71445"/>
    <w:rsid w:val="00B76AEC"/>
    <w:rsid w:val="00B77626"/>
    <w:rsid w:val="00B80D2E"/>
    <w:rsid w:val="00B82E60"/>
    <w:rsid w:val="00BA0627"/>
    <w:rsid w:val="00BB07E8"/>
    <w:rsid w:val="00BB5F3E"/>
    <w:rsid w:val="00BC7B78"/>
    <w:rsid w:val="00BD0FE5"/>
    <w:rsid w:val="00BD1A24"/>
    <w:rsid w:val="00BE3340"/>
    <w:rsid w:val="00BE5E20"/>
    <w:rsid w:val="00BF04E1"/>
    <w:rsid w:val="00BF1569"/>
    <w:rsid w:val="00C01E0C"/>
    <w:rsid w:val="00C03E69"/>
    <w:rsid w:val="00C06C01"/>
    <w:rsid w:val="00C06E74"/>
    <w:rsid w:val="00C07C46"/>
    <w:rsid w:val="00C109A7"/>
    <w:rsid w:val="00C13D60"/>
    <w:rsid w:val="00C2304C"/>
    <w:rsid w:val="00C23964"/>
    <w:rsid w:val="00C23D28"/>
    <w:rsid w:val="00C2560E"/>
    <w:rsid w:val="00C33E8E"/>
    <w:rsid w:val="00C361C3"/>
    <w:rsid w:val="00C43994"/>
    <w:rsid w:val="00C448D0"/>
    <w:rsid w:val="00C47735"/>
    <w:rsid w:val="00C526D3"/>
    <w:rsid w:val="00C61335"/>
    <w:rsid w:val="00C644B9"/>
    <w:rsid w:val="00C65D4E"/>
    <w:rsid w:val="00C7107C"/>
    <w:rsid w:val="00C8581E"/>
    <w:rsid w:val="00C8634F"/>
    <w:rsid w:val="00C86D19"/>
    <w:rsid w:val="00C90AAD"/>
    <w:rsid w:val="00C90F36"/>
    <w:rsid w:val="00CA124A"/>
    <w:rsid w:val="00CA3A98"/>
    <w:rsid w:val="00CB10B5"/>
    <w:rsid w:val="00CB226B"/>
    <w:rsid w:val="00CB437B"/>
    <w:rsid w:val="00CC5A95"/>
    <w:rsid w:val="00CE3327"/>
    <w:rsid w:val="00CE4C43"/>
    <w:rsid w:val="00CF0DF4"/>
    <w:rsid w:val="00CF4E4A"/>
    <w:rsid w:val="00CF672F"/>
    <w:rsid w:val="00CF72C8"/>
    <w:rsid w:val="00CF7B7F"/>
    <w:rsid w:val="00D00C34"/>
    <w:rsid w:val="00D01D43"/>
    <w:rsid w:val="00D03777"/>
    <w:rsid w:val="00D10085"/>
    <w:rsid w:val="00D13EAD"/>
    <w:rsid w:val="00D20134"/>
    <w:rsid w:val="00D25803"/>
    <w:rsid w:val="00D275E7"/>
    <w:rsid w:val="00D30B8B"/>
    <w:rsid w:val="00D323DD"/>
    <w:rsid w:val="00D36513"/>
    <w:rsid w:val="00D44480"/>
    <w:rsid w:val="00D61040"/>
    <w:rsid w:val="00D64780"/>
    <w:rsid w:val="00D7167D"/>
    <w:rsid w:val="00D77D9C"/>
    <w:rsid w:val="00D821A6"/>
    <w:rsid w:val="00D85C49"/>
    <w:rsid w:val="00D8764D"/>
    <w:rsid w:val="00D92940"/>
    <w:rsid w:val="00D92FCF"/>
    <w:rsid w:val="00DA172B"/>
    <w:rsid w:val="00DB4A6F"/>
    <w:rsid w:val="00DC2078"/>
    <w:rsid w:val="00DC4AE8"/>
    <w:rsid w:val="00DD192A"/>
    <w:rsid w:val="00DD3305"/>
    <w:rsid w:val="00DD6E9E"/>
    <w:rsid w:val="00DE193B"/>
    <w:rsid w:val="00DE1E1D"/>
    <w:rsid w:val="00DE3D8F"/>
    <w:rsid w:val="00E0551F"/>
    <w:rsid w:val="00E176A7"/>
    <w:rsid w:val="00E201F3"/>
    <w:rsid w:val="00E2113C"/>
    <w:rsid w:val="00E23A81"/>
    <w:rsid w:val="00E26CD7"/>
    <w:rsid w:val="00E420FC"/>
    <w:rsid w:val="00E43CA5"/>
    <w:rsid w:val="00E447EC"/>
    <w:rsid w:val="00E47B60"/>
    <w:rsid w:val="00E508EC"/>
    <w:rsid w:val="00E5384B"/>
    <w:rsid w:val="00E57517"/>
    <w:rsid w:val="00E579F5"/>
    <w:rsid w:val="00E651D6"/>
    <w:rsid w:val="00E67A3D"/>
    <w:rsid w:val="00E75B1C"/>
    <w:rsid w:val="00E76E62"/>
    <w:rsid w:val="00EA2933"/>
    <w:rsid w:val="00EA4908"/>
    <w:rsid w:val="00EB32AE"/>
    <w:rsid w:val="00EB3FB5"/>
    <w:rsid w:val="00EB7D82"/>
    <w:rsid w:val="00EC66F0"/>
    <w:rsid w:val="00EC7C02"/>
    <w:rsid w:val="00ED082D"/>
    <w:rsid w:val="00ED2315"/>
    <w:rsid w:val="00ED46E2"/>
    <w:rsid w:val="00ED476D"/>
    <w:rsid w:val="00EE0C01"/>
    <w:rsid w:val="00EE1E55"/>
    <w:rsid w:val="00EF0528"/>
    <w:rsid w:val="00EF39C5"/>
    <w:rsid w:val="00EF567E"/>
    <w:rsid w:val="00F027BC"/>
    <w:rsid w:val="00F07D36"/>
    <w:rsid w:val="00F1327D"/>
    <w:rsid w:val="00F15A2E"/>
    <w:rsid w:val="00F16C70"/>
    <w:rsid w:val="00F27FAE"/>
    <w:rsid w:val="00F435A8"/>
    <w:rsid w:val="00F50576"/>
    <w:rsid w:val="00F53ED5"/>
    <w:rsid w:val="00F5726A"/>
    <w:rsid w:val="00F602B0"/>
    <w:rsid w:val="00F66445"/>
    <w:rsid w:val="00F6687D"/>
    <w:rsid w:val="00F66D54"/>
    <w:rsid w:val="00F71C49"/>
    <w:rsid w:val="00F750BA"/>
    <w:rsid w:val="00F81904"/>
    <w:rsid w:val="00F82E61"/>
    <w:rsid w:val="00F91DB8"/>
    <w:rsid w:val="00F96316"/>
    <w:rsid w:val="00FA2E18"/>
    <w:rsid w:val="00FB0FCE"/>
    <w:rsid w:val="00FC1758"/>
    <w:rsid w:val="00FC6F6C"/>
    <w:rsid w:val="00FC74CE"/>
    <w:rsid w:val="00FD3EC2"/>
    <w:rsid w:val="00FD7B08"/>
    <w:rsid w:val="00FE3407"/>
    <w:rsid w:val="00FF6D6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062A2"/>
  <w15:docId w15:val="{A35ACF58-C027-49BB-B754-95F2CB9A5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09A7"/>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109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09A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C109A7"/>
    <w:rPr>
      <w:vertAlign w:val="superscript"/>
    </w:rPr>
  </w:style>
  <w:style w:type="character" w:styleId="Hyperlink">
    <w:name w:val="Hyperlink"/>
    <w:basedOn w:val="DefaultParagraphFont"/>
    <w:uiPriority w:val="99"/>
    <w:unhideWhenUsed/>
    <w:rsid w:val="00C109A7"/>
    <w:rPr>
      <w:color w:val="0000FF" w:themeColor="hyperlink"/>
      <w:u w:val="single"/>
    </w:rPr>
  </w:style>
  <w:style w:type="table" w:customStyle="1" w:styleId="TableGrid1">
    <w:name w:val="Table Grid1"/>
    <w:basedOn w:val="TableNormal"/>
    <w:next w:val="TableGrid"/>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09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09A7"/>
    <w:rPr>
      <w:rFonts w:ascii="Tahoma" w:eastAsia="Calibri" w:hAnsi="Tahoma" w:cs="Tahoma"/>
      <w:sz w:val="16"/>
      <w:szCs w:val="16"/>
    </w:rPr>
  </w:style>
  <w:style w:type="paragraph" w:styleId="Header">
    <w:name w:val="header"/>
    <w:basedOn w:val="Normal"/>
    <w:link w:val="HeaderChar"/>
    <w:uiPriority w:val="99"/>
    <w:unhideWhenUsed/>
    <w:rsid w:val="00D323DD"/>
    <w:pPr>
      <w:tabs>
        <w:tab w:val="center" w:pos="4153"/>
        <w:tab w:val="right" w:pos="8306"/>
      </w:tabs>
      <w:spacing w:after="0" w:line="240" w:lineRule="auto"/>
    </w:pPr>
  </w:style>
  <w:style w:type="character" w:customStyle="1" w:styleId="HeaderChar">
    <w:name w:val="Header Char"/>
    <w:basedOn w:val="DefaultParagraphFont"/>
    <w:link w:val="Header"/>
    <w:uiPriority w:val="99"/>
    <w:rsid w:val="00D323DD"/>
    <w:rPr>
      <w:rFonts w:ascii="Calibri" w:eastAsia="Calibri" w:hAnsi="Calibri" w:cs="Times New Roman"/>
      <w:sz w:val="22"/>
    </w:rPr>
  </w:style>
  <w:style w:type="paragraph" w:styleId="Footer">
    <w:name w:val="footer"/>
    <w:basedOn w:val="Normal"/>
    <w:link w:val="FooterChar"/>
    <w:uiPriority w:val="99"/>
    <w:unhideWhenUsed/>
    <w:rsid w:val="00D323DD"/>
    <w:pPr>
      <w:tabs>
        <w:tab w:val="center" w:pos="4153"/>
        <w:tab w:val="right" w:pos="8306"/>
      </w:tabs>
      <w:spacing w:after="0" w:line="240" w:lineRule="auto"/>
    </w:pPr>
  </w:style>
  <w:style w:type="character" w:customStyle="1" w:styleId="FooterChar">
    <w:name w:val="Footer Char"/>
    <w:basedOn w:val="DefaultParagraphFont"/>
    <w:link w:val="Footer"/>
    <w:uiPriority w:val="99"/>
    <w:rsid w:val="00D323DD"/>
    <w:rPr>
      <w:rFonts w:ascii="Calibri" w:eastAsia="Calibri" w:hAnsi="Calibri" w:cs="Times New Roman"/>
      <w:sz w:val="22"/>
    </w:rPr>
  </w:style>
  <w:style w:type="character" w:styleId="CommentReference">
    <w:name w:val="annotation reference"/>
    <w:basedOn w:val="DefaultParagraphFont"/>
    <w:uiPriority w:val="99"/>
    <w:semiHidden/>
    <w:unhideWhenUsed/>
    <w:rsid w:val="00B53D22"/>
    <w:rPr>
      <w:sz w:val="16"/>
      <w:szCs w:val="16"/>
    </w:rPr>
  </w:style>
  <w:style w:type="paragraph" w:styleId="CommentText">
    <w:name w:val="annotation text"/>
    <w:basedOn w:val="Normal"/>
    <w:link w:val="CommentTextChar"/>
    <w:uiPriority w:val="99"/>
    <w:unhideWhenUsed/>
    <w:rsid w:val="00B53D22"/>
    <w:pPr>
      <w:spacing w:line="240" w:lineRule="auto"/>
    </w:pPr>
    <w:rPr>
      <w:sz w:val="20"/>
      <w:szCs w:val="20"/>
    </w:rPr>
  </w:style>
  <w:style w:type="character" w:customStyle="1" w:styleId="CommentTextChar">
    <w:name w:val="Comment Text Char"/>
    <w:basedOn w:val="DefaultParagraphFont"/>
    <w:link w:val="CommentText"/>
    <w:uiPriority w:val="99"/>
    <w:rsid w:val="00B53D22"/>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B53D22"/>
    <w:rPr>
      <w:b/>
      <w:bCs/>
    </w:rPr>
  </w:style>
  <w:style w:type="character" w:customStyle="1" w:styleId="CommentSubjectChar">
    <w:name w:val="Comment Subject Char"/>
    <w:basedOn w:val="CommentTextChar"/>
    <w:link w:val="CommentSubject"/>
    <w:uiPriority w:val="99"/>
    <w:semiHidden/>
    <w:rsid w:val="00B53D22"/>
    <w:rPr>
      <w:rFonts w:ascii="Calibri" w:eastAsia="Calibri" w:hAnsi="Calibri" w:cs="Times New Roman"/>
      <w:b/>
      <w:bCs/>
      <w:sz w:val="20"/>
      <w:szCs w:val="20"/>
    </w:rPr>
  </w:style>
  <w:style w:type="paragraph" w:customStyle="1" w:styleId="tv2131">
    <w:name w:val="tv2131"/>
    <w:basedOn w:val="Normal"/>
    <w:rsid w:val="004545B5"/>
    <w:pPr>
      <w:spacing w:after="0" w:line="360" w:lineRule="auto"/>
      <w:ind w:firstLine="240"/>
    </w:pPr>
    <w:rPr>
      <w:rFonts w:ascii="Times New Roman" w:eastAsia="Times New Roman" w:hAnsi="Times New Roman"/>
      <w:color w:val="414142"/>
      <w:sz w:val="16"/>
      <w:szCs w:val="16"/>
      <w:lang w:eastAsia="lv-LV"/>
    </w:rPr>
  </w:style>
  <w:style w:type="character" w:customStyle="1" w:styleId="fontsize21">
    <w:name w:val="fontsize21"/>
    <w:basedOn w:val="DefaultParagraphFont"/>
    <w:rsid w:val="004545B5"/>
    <w:rPr>
      <w:b w:val="0"/>
      <w:bCs w:val="0"/>
      <w:i/>
      <w:iCs/>
    </w:rPr>
  </w:style>
  <w:style w:type="paragraph" w:styleId="Revision">
    <w:name w:val="Revision"/>
    <w:hidden/>
    <w:uiPriority w:val="99"/>
    <w:semiHidden/>
    <w:rsid w:val="00BE5E20"/>
    <w:rPr>
      <w:rFonts w:ascii="Calibri" w:eastAsia="Calibri" w:hAnsi="Calibri" w:cs="Times New Roman"/>
      <w:sz w:val="22"/>
    </w:rPr>
  </w:style>
  <w:style w:type="paragraph" w:customStyle="1" w:styleId="xmsolistparagraph">
    <w:name w:val="x_msolistparagraph"/>
    <w:basedOn w:val="Normal"/>
    <w:rsid w:val="00E0551F"/>
    <w:pPr>
      <w:spacing w:before="100" w:beforeAutospacing="1" w:after="100" w:afterAutospacing="1" w:line="240" w:lineRule="auto"/>
    </w:pPr>
    <w:rPr>
      <w:rFonts w:ascii="Times New Roman" w:eastAsia="Times New Roman" w:hAnsi="Times New Roman"/>
      <w:sz w:val="24"/>
      <w:szCs w:val="24"/>
      <w:lang w:eastAsia="lv-LV"/>
    </w:rPr>
  </w:style>
  <w:style w:type="paragraph" w:styleId="ListParagraph">
    <w:name w:val="List Paragraph"/>
    <w:aliases w:val="2,Strip,H&amp;P List Paragraph,Normal bullet 2,Bullet list,Saistīto dokumentu saraksts,Syle 1,Numurets,List Paragraph11,OBC Bullet,Bullet Style,L,Akapit z listą BS,Bullet 1,Bullet Points,Dot pt,F5 List Paragraph,IFCL - List Paragraph"/>
    <w:basedOn w:val="Normal"/>
    <w:link w:val="ListParagraphChar"/>
    <w:uiPriority w:val="34"/>
    <w:qFormat/>
    <w:rsid w:val="006B75A1"/>
    <w:pPr>
      <w:spacing w:after="160" w:line="259" w:lineRule="auto"/>
      <w:ind w:left="720"/>
      <w:contextualSpacing/>
    </w:pPr>
  </w:style>
  <w:style w:type="character" w:customStyle="1" w:styleId="ListParagraphChar">
    <w:name w:val="List Paragraph Char"/>
    <w:aliases w:val="2 Char,Strip Char,H&amp;P List Paragraph Char,Normal bullet 2 Char,Bullet list Char,Saistīto dokumentu saraksts Char,Syle 1 Char,Numurets Char,List Paragraph11 Char,OBC Bullet Char,Bullet Style Char,L Char,Akapit z listą BS Char"/>
    <w:link w:val="ListParagraph"/>
    <w:uiPriority w:val="34"/>
    <w:qFormat/>
    <w:rsid w:val="006B75A1"/>
    <w:rPr>
      <w:rFonts w:ascii="Calibri" w:eastAsia="Calibri" w:hAnsi="Calibri" w:cs="Times New Roman"/>
      <w:sz w:val="22"/>
    </w:rPr>
  </w:style>
  <w:style w:type="paragraph" w:styleId="NormalWeb">
    <w:name w:val="Normal (Web)"/>
    <w:basedOn w:val="Normal"/>
    <w:uiPriority w:val="99"/>
    <w:rsid w:val="006B75A1"/>
    <w:pPr>
      <w:spacing w:before="100" w:beforeAutospacing="1" w:after="100" w:afterAutospacing="1" w:line="240" w:lineRule="auto"/>
    </w:pPr>
    <w:rPr>
      <w:rFonts w:ascii="Times New Roman" w:eastAsia="Times New Roman" w:hAnsi="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4816748">
      <w:bodyDiv w:val="1"/>
      <w:marLeft w:val="0"/>
      <w:marRight w:val="0"/>
      <w:marTop w:val="0"/>
      <w:marBottom w:val="0"/>
      <w:divBdr>
        <w:top w:val="none" w:sz="0" w:space="0" w:color="auto"/>
        <w:left w:val="none" w:sz="0" w:space="0" w:color="auto"/>
        <w:bottom w:val="none" w:sz="0" w:space="0" w:color="auto"/>
        <w:right w:val="none" w:sz="0" w:space="0" w:color="auto"/>
      </w:divBdr>
      <w:divsChild>
        <w:div w:id="93939562">
          <w:marLeft w:val="0"/>
          <w:marRight w:val="0"/>
          <w:marTop w:val="0"/>
          <w:marBottom w:val="0"/>
          <w:divBdr>
            <w:top w:val="none" w:sz="0" w:space="0" w:color="auto"/>
            <w:left w:val="none" w:sz="0" w:space="0" w:color="auto"/>
            <w:bottom w:val="none" w:sz="0" w:space="0" w:color="auto"/>
            <w:right w:val="none" w:sz="0" w:space="0" w:color="auto"/>
          </w:divBdr>
          <w:divsChild>
            <w:div w:id="1053891553">
              <w:marLeft w:val="0"/>
              <w:marRight w:val="0"/>
              <w:marTop w:val="0"/>
              <w:marBottom w:val="0"/>
              <w:divBdr>
                <w:top w:val="none" w:sz="0" w:space="0" w:color="auto"/>
                <w:left w:val="none" w:sz="0" w:space="0" w:color="auto"/>
                <w:bottom w:val="none" w:sz="0" w:space="0" w:color="auto"/>
                <w:right w:val="none" w:sz="0" w:space="0" w:color="auto"/>
              </w:divBdr>
              <w:divsChild>
                <w:div w:id="135807102">
                  <w:marLeft w:val="0"/>
                  <w:marRight w:val="0"/>
                  <w:marTop w:val="0"/>
                  <w:marBottom w:val="0"/>
                  <w:divBdr>
                    <w:top w:val="none" w:sz="0" w:space="0" w:color="auto"/>
                    <w:left w:val="none" w:sz="0" w:space="0" w:color="auto"/>
                    <w:bottom w:val="none" w:sz="0" w:space="0" w:color="auto"/>
                    <w:right w:val="none" w:sz="0" w:space="0" w:color="auto"/>
                  </w:divBdr>
                  <w:divsChild>
                    <w:div w:id="1926306257">
                      <w:marLeft w:val="0"/>
                      <w:marRight w:val="0"/>
                      <w:marTop w:val="0"/>
                      <w:marBottom w:val="0"/>
                      <w:divBdr>
                        <w:top w:val="none" w:sz="0" w:space="0" w:color="auto"/>
                        <w:left w:val="none" w:sz="0" w:space="0" w:color="auto"/>
                        <w:bottom w:val="none" w:sz="0" w:space="0" w:color="auto"/>
                        <w:right w:val="none" w:sz="0" w:space="0" w:color="auto"/>
                      </w:divBdr>
                      <w:divsChild>
                        <w:div w:id="2122532515">
                          <w:marLeft w:val="0"/>
                          <w:marRight w:val="0"/>
                          <w:marTop w:val="240"/>
                          <w:marBottom w:val="0"/>
                          <w:divBdr>
                            <w:top w:val="none" w:sz="0" w:space="0" w:color="auto"/>
                            <w:left w:val="none" w:sz="0" w:space="0" w:color="auto"/>
                            <w:bottom w:val="none" w:sz="0" w:space="0" w:color="auto"/>
                            <w:right w:val="none" w:sz="0" w:space="0" w:color="auto"/>
                          </w:divBdr>
                          <w:divsChild>
                            <w:div w:id="160002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LV/TXT/?qid=1421584799618&amp;uri=CELEX:32013R13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01EE6A-C37F-44B9-A673-AE78E8867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3744</Words>
  <Characters>2135</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5868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Ozols</dc:creator>
  <cp:lastModifiedBy>Edijs Kirsanovs</cp:lastModifiedBy>
  <cp:revision>11</cp:revision>
  <cp:lastPrinted>2014-06-19T08:57:00Z</cp:lastPrinted>
  <dcterms:created xsi:type="dcterms:W3CDTF">2020-06-18T06:33:00Z</dcterms:created>
  <dcterms:modified xsi:type="dcterms:W3CDTF">2020-06-18T09:17:00Z</dcterms:modified>
</cp:coreProperties>
</file>