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C3E66" w14:textId="12E956F0" w:rsidR="006D68BB" w:rsidRPr="00063FD4" w:rsidRDefault="006D68BB" w:rsidP="006D68BB">
      <w:pPr>
        <w:keepNext/>
        <w:spacing w:line="240" w:lineRule="auto"/>
        <w:jc w:val="center"/>
        <w:rPr>
          <w:rFonts w:ascii="Times New Roman" w:eastAsiaTheme="minorHAnsi" w:hAnsi="Times New Roman" w:cstheme="minorBidi"/>
          <w:b/>
          <w:bCs/>
          <w:sz w:val="18"/>
          <w:szCs w:val="18"/>
        </w:rPr>
      </w:pPr>
      <w:r w:rsidRPr="00063FD4">
        <w:rPr>
          <w:rFonts w:ascii="Times New Roman" w:eastAsiaTheme="minorHAnsi" w:hAnsi="Times New Roman" w:cstheme="minorBidi"/>
          <w:b/>
          <w:bCs/>
          <w:sz w:val="18"/>
          <w:szCs w:val="18"/>
        </w:rPr>
        <w:t xml:space="preserve">Tabula </w:t>
      </w:r>
      <w:r w:rsidRPr="00063FD4">
        <w:rPr>
          <w:rFonts w:ascii="Times New Roman" w:eastAsiaTheme="minorHAnsi" w:hAnsi="Times New Roman" w:cstheme="minorBidi"/>
          <w:b/>
          <w:bCs/>
          <w:sz w:val="18"/>
          <w:szCs w:val="18"/>
        </w:rPr>
        <w:fldChar w:fldCharType="begin"/>
      </w:r>
      <w:r w:rsidRPr="00063FD4">
        <w:rPr>
          <w:rFonts w:ascii="Times New Roman" w:eastAsiaTheme="minorHAnsi" w:hAnsi="Times New Roman" w:cstheme="minorBidi"/>
          <w:b/>
          <w:bCs/>
          <w:sz w:val="18"/>
          <w:szCs w:val="18"/>
        </w:rPr>
        <w:instrText xml:space="preserve"> SEQ Tabula \* ARABIC </w:instrText>
      </w:r>
      <w:r w:rsidRPr="00063FD4">
        <w:rPr>
          <w:rFonts w:ascii="Times New Roman" w:eastAsiaTheme="minorHAnsi" w:hAnsi="Times New Roman" w:cstheme="minorBidi"/>
          <w:b/>
          <w:bCs/>
          <w:sz w:val="18"/>
          <w:szCs w:val="18"/>
        </w:rPr>
        <w:fldChar w:fldCharType="separate"/>
      </w:r>
      <w:r w:rsidR="005D7A0D" w:rsidRPr="00063FD4">
        <w:rPr>
          <w:rFonts w:ascii="Times New Roman" w:eastAsiaTheme="minorHAnsi" w:hAnsi="Times New Roman" w:cstheme="minorBidi"/>
          <w:b/>
          <w:bCs/>
          <w:noProof/>
          <w:sz w:val="18"/>
          <w:szCs w:val="18"/>
        </w:rPr>
        <w:t>1</w:t>
      </w:r>
      <w:r w:rsidRPr="00063FD4">
        <w:rPr>
          <w:rFonts w:ascii="Times New Roman" w:eastAsiaTheme="minorHAnsi" w:hAnsi="Times New Roman" w:cstheme="minorBidi"/>
          <w:b/>
          <w:bCs/>
          <w:sz w:val="18"/>
          <w:szCs w:val="18"/>
        </w:rPr>
        <w:fldChar w:fldCharType="end"/>
      </w:r>
      <w:r w:rsidRPr="00063FD4">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3715"/>
        <w:gridCol w:w="3798"/>
        <w:gridCol w:w="2612"/>
      </w:tblGrid>
      <w:tr w:rsidR="006D68BB" w:rsidRPr="00063FD4" w14:paraId="532BC4DC" w14:textId="77777777" w:rsidTr="00063FD4">
        <w:trPr>
          <w:tblHeader/>
        </w:trPr>
        <w:tc>
          <w:tcPr>
            <w:tcW w:w="1242" w:type="dxa"/>
            <w:shd w:val="clear" w:color="auto" w:fill="D9D9D9" w:themeFill="background1" w:themeFillShade="D9"/>
            <w:vAlign w:val="center"/>
          </w:tcPr>
          <w:p w14:paraId="4C62AA77" w14:textId="77777777"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Prioritārais virziens</w:t>
            </w:r>
          </w:p>
        </w:tc>
        <w:tc>
          <w:tcPr>
            <w:tcW w:w="1242" w:type="dxa"/>
            <w:shd w:val="clear" w:color="auto" w:fill="D9D9D9" w:themeFill="background1" w:themeFillShade="D9"/>
            <w:vAlign w:val="center"/>
          </w:tcPr>
          <w:p w14:paraId="00328827" w14:textId="77777777"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Investīciju prioritātes nosaukums</w:t>
            </w:r>
          </w:p>
        </w:tc>
        <w:tc>
          <w:tcPr>
            <w:tcW w:w="1593" w:type="dxa"/>
            <w:shd w:val="clear" w:color="auto" w:fill="D9D9D9" w:themeFill="background1" w:themeFillShade="D9"/>
            <w:vAlign w:val="center"/>
          </w:tcPr>
          <w:p w14:paraId="2D9DE961" w14:textId="77777777"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Specifiskie atbalsta mērķi (SAM)</w:t>
            </w:r>
          </w:p>
        </w:tc>
        <w:tc>
          <w:tcPr>
            <w:tcW w:w="3715" w:type="dxa"/>
            <w:shd w:val="clear" w:color="auto" w:fill="D9D9D9" w:themeFill="background1" w:themeFillShade="D9"/>
            <w:vAlign w:val="center"/>
          </w:tcPr>
          <w:p w14:paraId="1E0F0456" w14:textId="77777777"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Rezultāta rādītāji</w:t>
            </w:r>
          </w:p>
        </w:tc>
        <w:tc>
          <w:tcPr>
            <w:tcW w:w="3798" w:type="dxa"/>
            <w:shd w:val="clear" w:color="auto" w:fill="D9D9D9" w:themeFill="background1" w:themeFillShade="D9"/>
            <w:vAlign w:val="center"/>
          </w:tcPr>
          <w:p w14:paraId="41260DCA" w14:textId="77777777"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Iznākuma rādītāji (IR)</w:t>
            </w:r>
          </w:p>
        </w:tc>
        <w:tc>
          <w:tcPr>
            <w:tcW w:w="2612" w:type="dxa"/>
            <w:shd w:val="clear" w:color="auto" w:fill="D9D9D9" w:themeFill="background1" w:themeFillShade="D9"/>
            <w:vAlign w:val="center"/>
          </w:tcPr>
          <w:p w14:paraId="6BEBE136" w14:textId="1E145AB1" w:rsidR="006D68BB" w:rsidRPr="00063FD4" w:rsidRDefault="006D68BB" w:rsidP="003D3662">
            <w:pPr>
              <w:spacing w:after="0" w:line="240" w:lineRule="auto"/>
              <w:jc w:val="center"/>
              <w:rPr>
                <w:rFonts w:ascii="Times New Roman" w:hAnsi="Times New Roman"/>
                <w:b/>
                <w:sz w:val="16"/>
              </w:rPr>
            </w:pPr>
            <w:r w:rsidRPr="00063FD4">
              <w:rPr>
                <w:rFonts w:ascii="Times New Roman" w:hAnsi="Times New Roman"/>
                <w:b/>
                <w:sz w:val="16"/>
              </w:rPr>
              <w:t>Finanšu rādītāji</w:t>
            </w:r>
          </w:p>
        </w:tc>
      </w:tr>
      <w:tr w:rsidR="006D68BB" w:rsidRPr="00D323DD" w14:paraId="1C435A01" w14:textId="77777777" w:rsidTr="00063FD4">
        <w:trPr>
          <w:trHeight w:val="58"/>
        </w:trPr>
        <w:tc>
          <w:tcPr>
            <w:tcW w:w="1242" w:type="dxa"/>
          </w:tcPr>
          <w:p w14:paraId="512C09A8" w14:textId="77777777" w:rsidR="006D68BB" w:rsidRPr="00063FD4" w:rsidRDefault="006D68BB" w:rsidP="0005032E">
            <w:pPr>
              <w:spacing w:after="0"/>
              <w:jc w:val="both"/>
              <w:rPr>
                <w:rFonts w:ascii="Times New Roman" w:hAnsi="Times New Roman"/>
                <w:sz w:val="16"/>
              </w:rPr>
            </w:pPr>
            <w:r w:rsidRPr="00063FD4">
              <w:rPr>
                <w:rFonts w:ascii="Times New Roman" w:hAnsi="Times New Roman"/>
                <w:sz w:val="16"/>
              </w:rPr>
              <w:t>6. Ilgtspējīga transporta sistēma</w:t>
            </w:r>
          </w:p>
        </w:tc>
        <w:tc>
          <w:tcPr>
            <w:tcW w:w="1242" w:type="dxa"/>
          </w:tcPr>
          <w:p w14:paraId="217B54CA" w14:textId="2CCC18A1" w:rsidR="006D68BB" w:rsidRPr="00063FD4" w:rsidRDefault="006D68BB" w:rsidP="0005032E">
            <w:pPr>
              <w:spacing w:after="0"/>
              <w:jc w:val="both"/>
              <w:rPr>
                <w:rFonts w:ascii="Times New Roman" w:hAnsi="Times New Roman"/>
                <w:sz w:val="16"/>
              </w:rPr>
            </w:pPr>
            <w:r w:rsidRPr="00063FD4">
              <w:rPr>
                <w:rFonts w:ascii="Times New Roman" w:hAnsi="Times New Roman"/>
                <w:sz w:val="16"/>
              </w:rPr>
              <w:t>6.</w:t>
            </w:r>
            <w:r w:rsidR="00F44C80" w:rsidRPr="00063FD4">
              <w:rPr>
                <w:rFonts w:ascii="Times New Roman" w:hAnsi="Times New Roman"/>
                <w:sz w:val="16"/>
              </w:rPr>
              <w:t>1</w:t>
            </w:r>
            <w:r w:rsidRPr="00063FD4">
              <w:rPr>
                <w:rFonts w:ascii="Times New Roman" w:hAnsi="Times New Roman"/>
                <w:sz w:val="16"/>
              </w:rPr>
              <w:t>.</w:t>
            </w:r>
            <w:r w:rsidR="003A74DB" w:rsidRPr="00063FD4">
              <w:rPr>
                <w:rFonts w:ascii="Times New Roman" w:hAnsi="Times New Roman"/>
                <w:sz w:val="16"/>
              </w:rPr>
              <w:t xml:space="preserve"> </w:t>
            </w:r>
            <w:r w:rsidR="00F44C80" w:rsidRPr="00063FD4">
              <w:rPr>
                <w:rFonts w:ascii="Times New Roman" w:hAnsi="Times New Roman"/>
                <w:sz w:val="16"/>
              </w:rPr>
              <w:t>atbalstīt multimodālu Eiropas vienoto transporta telpu, investējot TEN-T (KF)</w:t>
            </w:r>
          </w:p>
        </w:tc>
        <w:tc>
          <w:tcPr>
            <w:tcW w:w="1593" w:type="dxa"/>
          </w:tcPr>
          <w:p w14:paraId="13708C4C" w14:textId="00C24CDA" w:rsidR="006D68BB" w:rsidRPr="00063FD4" w:rsidRDefault="006D68BB" w:rsidP="0005032E">
            <w:pPr>
              <w:spacing w:after="0" w:line="240" w:lineRule="auto"/>
              <w:jc w:val="both"/>
              <w:rPr>
                <w:rFonts w:ascii="Times New Roman" w:hAnsi="Times New Roman"/>
                <w:sz w:val="16"/>
              </w:rPr>
            </w:pPr>
            <w:r w:rsidRPr="00063FD4">
              <w:rPr>
                <w:rFonts w:ascii="Times New Roman" w:hAnsi="Times New Roman"/>
                <w:sz w:val="16"/>
              </w:rPr>
              <w:t>6.</w:t>
            </w:r>
            <w:r w:rsidR="00F44C80" w:rsidRPr="00063FD4">
              <w:rPr>
                <w:rFonts w:ascii="Times New Roman" w:hAnsi="Times New Roman"/>
                <w:sz w:val="16"/>
              </w:rPr>
              <w:t>1</w:t>
            </w:r>
            <w:r w:rsidRPr="00063FD4">
              <w:rPr>
                <w:rFonts w:ascii="Times New Roman" w:hAnsi="Times New Roman"/>
                <w:sz w:val="16"/>
              </w:rPr>
              <w:t>.</w:t>
            </w:r>
            <w:r w:rsidR="00F44C80" w:rsidRPr="00063FD4">
              <w:rPr>
                <w:rFonts w:ascii="Times New Roman" w:hAnsi="Times New Roman"/>
                <w:sz w:val="16"/>
              </w:rPr>
              <w:t>7</w:t>
            </w:r>
            <w:r w:rsidRPr="00063FD4">
              <w:rPr>
                <w:rFonts w:ascii="Times New Roman" w:hAnsi="Times New Roman"/>
                <w:sz w:val="16"/>
              </w:rPr>
              <w:t>.</w:t>
            </w:r>
            <w:r w:rsidR="003A74DB" w:rsidRPr="00063FD4">
              <w:rPr>
                <w:rFonts w:ascii="Times New Roman" w:hAnsi="Times New Roman"/>
                <w:sz w:val="16"/>
              </w:rPr>
              <w:t xml:space="preserve"> </w:t>
            </w:r>
            <w:r w:rsidR="00F44C80" w:rsidRPr="00063FD4">
              <w:rPr>
                <w:rFonts w:ascii="Times New Roman" w:hAnsi="Times New Roman"/>
                <w:sz w:val="16"/>
              </w:rPr>
              <w:t>Multimodāla transporta sistēmas iespējošana</w:t>
            </w:r>
          </w:p>
        </w:tc>
        <w:tc>
          <w:tcPr>
            <w:tcW w:w="3715" w:type="dxa"/>
          </w:tcPr>
          <w:p w14:paraId="47CB8BCC" w14:textId="77777777" w:rsidR="000F040C" w:rsidRPr="00063FD4" w:rsidRDefault="006D68BB" w:rsidP="004A748A">
            <w:pPr>
              <w:spacing w:after="0" w:line="240" w:lineRule="auto"/>
              <w:jc w:val="both"/>
            </w:pPr>
            <w:r w:rsidRPr="00063FD4">
              <w:rPr>
                <w:rFonts w:ascii="Times New Roman" w:hAnsi="Times New Roman"/>
                <w:i/>
                <w:sz w:val="16"/>
              </w:rPr>
              <w:t>Nosaukums un mērvienība:</w:t>
            </w:r>
            <w:r w:rsidR="004558A1" w:rsidRPr="00063FD4">
              <w:t xml:space="preserve"> </w:t>
            </w:r>
          </w:p>
          <w:p w14:paraId="56223715" w14:textId="206B19DA" w:rsidR="006D68BB" w:rsidRPr="00063FD4" w:rsidRDefault="004558A1" w:rsidP="004A748A">
            <w:pPr>
              <w:spacing w:after="0" w:line="240" w:lineRule="auto"/>
              <w:jc w:val="both"/>
              <w:rPr>
                <w:rFonts w:ascii="Times New Roman" w:eastAsiaTheme="minorHAnsi" w:hAnsi="Times New Roman" w:cstheme="minorBidi"/>
                <w:sz w:val="16"/>
                <w:szCs w:val="16"/>
              </w:rPr>
            </w:pPr>
            <w:r w:rsidRPr="00063FD4">
              <w:rPr>
                <w:rFonts w:ascii="Times New Roman" w:hAnsi="Times New Roman"/>
                <w:iCs/>
                <w:sz w:val="16"/>
              </w:rPr>
              <w:t>r.6.</w:t>
            </w:r>
            <w:r w:rsidR="000F040C" w:rsidRPr="00063FD4">
              <w:rPr>
                <w:rFonts w:ascii="Times New Roman" w:hAnsi="Times New Roman"/>
                <w:iCs/>
                <w:sz w:val="16"/>
              </w:rPr>
              <w:t>1</w:t>
            </w:r>
            <w:r w:rsidRPr="00063FD4">
              <w:rPr>
                <w:rFonts w:ascii="Times New Roman" w:hAnsi="Times New Roman"/>
                <w:iCs/>
                <w:sz w:val="16"/>
              </w:rPr>
              <w:t>.</w:t>
            </w:r>
            <w:r w:rsidR="000F040C" w:rsidRPr="00063FD4">
              <w:rPr>
                <w:rFonts w:ascii="Times New Roman" w:hAnsi="Times New Roman"/>
                <w:iCs/>
                <w:sz w:val="16"/>
              </w:rPr>
              <w:t>7</w:t>
            </w:r>
            <w:r w:rsidRPr="00063FD4">
              <w:rPr>
                <w:rFonts w:ascii="Times New Roman" w:hAnsi="Times New Roman"/>
                <w:iCs/>
                <w:sz w:val="16"/>
              </w:rPr>
              <w:t>.a</w:t>
            </w:r>
            <w:r w:rsidR="006D68BB" w:rsidRPr="00063FD4">
              <w:rPr>
                <w:rFonts w:ascii="Times New Roman" w:hAnsi="Times New Roman"/>
                <w:b/>
                <w:sz w:val="16"/>
              </w:rPr>
              <w:t xml:space="preserve"> </w:t>
            </w:r>
            <w:r w:rsidR="00435E26" w:rsidRPr="00063FD4">
              <w:rPr>
                <w:rFonts w:ascii="Times New Roman" w:hAnsi="Times New Roman"/>
                <w:b/>
                <w:sz w:val="16"/>
              </w:rPr>
              <w:t>vidējais sabiedriskā transporta aizkavējuma laik</w:t>
            </w:r>
            <w:r w:rsidR="000F040C" w:rsidRPr="00063FD4">
              <w:rPr>
                <w:rFonts w:ascii="Times New Roman" w:hAnsi="Times New Roman"/>
                <w:b/>
                <w:sz w:val="16"/>
              </w:rPr>
              <w:t>a samazinājums.</w:t>
            </w:r>
          </w:p>
          <w:p w14:paraId="012566EC" w14:textId="77777777" w:rsidR="00435E26" w:rsidRPr="00063FD4" w:rsidRDefault="00435E26" w:rsidP="004A748A">
            <w:pPr>
              <w:spacing w:after="0" w:line="240" w:lineRule="auto"/>
              <w:jc w:val="both"/>
              <w:rPr>
                <w:rFonts w:ascii="Times New Roman" w:hAnsi="Times New Roman"/>
                <w:i/>
                <w:sz w:val="16"/>
              </w:rPr>
            </w:pPr>
          </w:p>
          <w:p w14:paraId="46DD8BB7" w14:textId="77777777" w:rsidR="000F040C" w:rsidRPr="00063FD4" w:rsidRDefault="006D68BB" w:rsidP="004A748A">
            <w:pPr>
              <w:spacing w:after="0" w:line="240" w:lineRule="auto"/>
              <w:jc w:val="both"/>
              <w:rPr>
                <w:rFonts w:ascii="Times New Roman" w:eastAsiaTheme="minorHAnsi" w:hAnsi="Times New Roman" w:cstheme="minorBidi"/>
                <w:i/>
                <w:sz w:val="16"/>
                <w:szCs w:val="16"/>
              </w:rPr>
            </w:pPr>
            <w:r w:rsidRPr="00063FD4">
              <w:rPr>
                <w:rFonts w:ascii="Times New Roman" w:eastAsiaTheme="minorHAnsi" w:hAnsi="Times New Roman" w:cstheme="minorBidi"/>
                <w:i/>
                <w:sz w:val="16"/>
                <w:szCs w:val="16"/>
              </w:rPr>
              <w:t>Definīcija:</w:t>
            </w:r>
            <w:r w:rsidR="00063B55" w:rsidRPr="00063FD4">
              <w:rPr>
                <w:rFonts w:ascii="Times New Roman" w:eastAsiaTheme="minorHAnsi" w:hAnsi="Times New Roman" w:cstheme="minorBidi"/>
                <w:i/>
                <w:sz w:val="16"/>
                <w:szCs w:val="16"/>
              </w:rPr>
              <w:t xml:space="preserve"> </w:t>
            </w:r>
          </w:p>
          <w:p w14:paraId="40541052" w14:textId="3E04D72C" w:rsidR="006D68BB" w:rsidRPr="00063FD4" w:rsidRDefault="001F482E" w:rsidP="004A748A">
            <w:pPr>
              <w:spacing w:after="0" w:line="240" w:lineRule="auto"/>
              <w:jc w:val="both"/>
              <w:rPr>
                <w:rFonts w:ascii="Times New Roman" w:eastAsiaTheme="minorHAnsi" w:hAnsi="Times New Roman" w:cstheme="minorBidi"/>
                <w:iCs/>
                <w:sz w:val="16"/>
                <w:szCs w:val="16"/>
              </w:rPr>
            </w:pPr>
            <w:r w:rsidRPr="00063FD4">
              <w:rPr>
                <w:rFonts w:ascii="Times New Roman" w:eastAsiaTheme="minorHAnsi" w:hAnsi="Times New Roman" w:cstheme="minorBidi"/>
                <w:iCs/>
                <w:sz w:val="16"/>
                <w:szCs w:val="16"/>
              </w:rPr>
              <w:t xml:space="preserve">Vidējais sabiedriskā transporta aizkavējuma laika samazinājums starp pieturvietām, </w:t>
            </w:r>
            <w:r w:rsidR="006D617C" w:rsidRPr="00063FD4">
              <w:rPr>
                <w:rFonts w:ascii="Times New Roman" w:eastAsiaTheme="minorHAnsi" w:hAnsi="Times New Roman" w:cstheme="minorBidi"/>
                <w:iCs/>
                <w:sz w:val="16"/>
                <w:szCs w:val="16"/>
              </w:rPr>
              <w:t>ņemot vērā kustību sarakstus.</w:t>
            </w:r>
          </w:p>
          <w:p w14:paraId="05209C47" w14:textId="77777777" w:rsidR="00D14A46" w:rsidRPr="00063FD4" w:rsidRDefault="00D14A46" w:rsidP="004A748A">
            <w:pPr>
              <w:spacing w:after="0" w:line="240" w:lineRule="auto"/>
              <w:jc w:val="both"/>
              <w:rPr>
                <w:rFonts w:ascii="Times New Roman" w:hAnsi="Times New Roman"/>
                <w:i/>
                <w:sz w:val="16"/>
              </w:rPr>
            </w:pPr>
          </w:p>
          <w:p w14:paraId="7402F37A" w14:textId="77777777" w:rsidR="006D68BB"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Bāzes vērtība un tās noteikšanas gads:</w:t>
            </w:r>
          </w:p>
          <w:p w14:paraId="3043796C" w14:textId="4598E2DB" w:rsidR="006D68BB" w:rsidRPr="00063FD4" w:rsidRDefault="002D2FA1" w:rsidP="004A748A">
            <w:pPr>
              <w:spacing w:after="0" w:line="240" w:lineRule="auto"/>
              <w:jc w:val="both"/>
              <w:rPr>
                <w:rFonts w:ascii="Times New Roman" w:hAnsi="Times New Roman"/>
                <w:sz w:val="16"/>
              </w:rPr>
            </w:pPr>
            <w:r w:rsidRPr="00063FD4">
              <w:rPr>
                <w:rFonts w:ascii="Times New Roman" w:eastAsiaTheme="minorHAnsi" w:hAnsi="Times New Roman" w:cstheme="minorBidi"/>
                <w:sz w:val="16"/>
                <w:szCs w:val="16"/>
              </w:rPr>
              <w:t>2020.gads</w:t>
            </w:r>
            <w:r w:rsidR="00B255EC">
              <w:rPr>
                <w:rFonts w:ascii="Times New Roman" w:eastAsiaTheme="minorHAnsi" w:hAnsi="Times New Roman" w:cstheme="minorBidi"/>
                <w:sz w:val="16"/>
                <w:szCs w:val="16"/>
              </w:rPr>
              <w:t xml:space="preserve"> - </w:t>
            </w:r>
            <w:r w:rsidR="00B255EC" w:rsidRPr="00063FD4">
              <w:rPr>
                <w:rFonts w:ascii="Times New Roman" w:eastAsiaTheme="minorHAnsi" w:hAnsi="Times New Roman" w:cstheme="minorBidi"/>
                <w:sz w:val="16"/>
                <w:szCs w:val="16"/>
              </w:rPr>
              <w:t>4 minūtes</w:t>
            </w:r>
            <w:r w:rsidRPr="00063FD4">
              <w:rPr>
                <w:rFonts w:ascii="Times New Roman" w:eastAsiaTheme="minorHAnsi" w:hAnsi="Times New Roman" w:cstheme="minorBidi"/>
                <w:sz w:val="16"/>
                <w:szCs w:val="16"/>
              </w:rPr>
              <w:t>.</w:t>
            </w:r>
            <w:r w:rsidR="006D68BB" w:rsidRPr="00063FD4">
              <w:rPr>
                <w:rFonts w:ascii="Times New Roman" w:hAnsi="Times New Roman"/>
                <w:sz w:val="16"/>
              </w:rPr>
              <w:t xml:space="preserve"> </w:t>
            </w:r>
          </w:p>
          <w:p w14:paraId="2795DF81" w14:textId="77777777" w:rsidR="006D68BB" w:rsidRPr="00063FD4" w:rsidRDefault="006D68BB" w:rsidP="004A748A">
            <w:pPr>
              <w:spacing w:after="0" w:line="240" w:lineRule="auto"/>
              <w:jc w:val="both"/>
              <w:rPr>
                <w:rFonts w:ascii="Times New Roman" w:hAnsi="Times New Roman"/>
                <w:i/>
                <w:sz w:val="16"/>
              </w:rPr>
            </w:pPr>
          </w:p>
          <w:p w14:paraId="5AC6D6EF" w14:textId="77777777" w:rsidR="000F040C"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Datu avots: </w:t>
            </w:r>
          </w:p>
          <w:p w14:paraId="3BAC2557" w14:textId="3C45BF40" w:rsidR="006D68BB" w:rsidRPr="00063FD4" w:rsidRDefault="00D406F6" w:rsidP="004A748A">
            <w:pPr>
              <w:spacing w:after="0" w:line="240" w:lineRule="auto"/>
              <w:jc w:val="both"/>
              <w:rPr>
                <w:rFonts w:ascii="Times New Roman" w:hAnsi="Times New Roman"/>
                <w:sz w:val="16"/>
              </w:rPr>
            </w:pPr>
            <w:r w:rsidRPr="00063FD4">
              <w:rPr>
                <w:rFonts w:ascii="Times New Roman" w:hAnsi="Times New Roman"/>
                <w:sz w:val="16"/>
              </w:rPr>
              <w:t>Rīgas pilsētas pašvaldība</w:t>
            </w:r>
            <w:r w:rsidR="000F040C" w:rsidRPr="00063FD4">
              <w:rPr>
                <w:rFonts w:ascii="Times New Roman" w:hAnsi="Times New Roman"/>
                <w:sz w:val="16"/>
              </w:rPr>
              <w:t>.</w:t>
            </w:r>
          </w:p>
          <w:p w14:paraId="56214D66" w14:textId="77777777" w:rsidR="006D68BB"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 </w:t>
            </w:r>
          </w:p>
          <w:p w14:paraId="7522C5C6" w14:textId="77777777" w:rsidR="000F040C"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Apkopošanas biežums un ieguves metodoloģija: </w:t>
            </w:r>
          </w:p>
          <w:p w14:paraId="56A3373E" w14:textId="6E3CAEA5" w:rsidR="006D68BB" w:rsidRPr="00063FD4" w:rsidRDefault="000F040C" w:rsidP="004A748A">
            <w:pPr>
              <w:spacing w:after="0" w:line="240" w:lineRule="auto"/>
              <w:jc w:val="both"/>
              <w:rPr>
                <w:rFonts w:ascii="Times New Roman" w:hAnsi="Times New Roman"/>
                <w:iCs/>
                <w:sz w:val="16"/>
              </w:rPr>
            </w:pPr>
            <w:r w:rsidRPr="00063FD4">
              <w:rPr>
                <w:rFonts w:ascii="Times New Roman" w:eastAsiaTheme="minorHAnsi" w:hAnsi="Times New Roman" w:cstheme="minorBidi"/>
                <w:iCs/>
                <w:sz w:val="16"/>
                <w:szCs w:val="16"/>
              </w:rPr>
              <w:t>Projekta</w:t>
            </w:r>
            <w:r w:rsidR="00C8595D" w:rsidRPr="00063FD4">
              <w:rPr>
                <w:rFonts w:ascii="Times New Roman" w:eastAsiaTheme="minorHAnsi" w:hAnsi="Times New Roman" w:cstheme="minorBidi"/>
                <w:iCs/>
                <w:sz w:val="16"/>
                <w:szCs w:val="16"/>
              </w:rPr>
              <w:t xml:space="preserve"> īstenošanas noslēgumā</w:t>
            </w:r>
            <w:r w:rsidR="00D406F6" w:rsidRPr="00063FD4">
              <w:rPr>
                <w:rFonts w:ascii="Times New Roman" w:eastAsiaTheme="minorHAnsi" w:hAnsi="Times New Roman" w:cstheme="minorBidi"/>
                <w:iCs/>
                <w:sz w:val="16"/>
                <w:szCs w:val="16"/>
              </w:rPr>
              <w:t>.</w:t>
            </w:r>
          </w:p>
          <w:p w14:paraId="4E8B22A9" w14:textId="77777777" w:rsidR="006D68BB" w:rsidRPr="00063FD4" w:rsidRDefault="006D68BB" w:rsidP="004A748A">
            <w:pPr>
              <w:spacing w:after="0" w:line="240" w:lineRule="auto"/>
              <w:jc w:val="both"/>
              <w:rPr>
                <w:rFonts w:ascii="Times New Roman" w:hAnsi="Times New Roman"/>
                <w:i/>
                <w:sz w:val="16"/>
              </w:rPr>
            </w:pPr>
          </w:p>
          <w:p w14:paraId="46640C31" w14:textId="77777777" w:rsidR="000F040C"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Mērķis 2023: </w:t>
            </w:r>
          </w:p>
          <w:p w14:paraId="4ABD7EC4" w14:textId="04813165" w:rsidR="006D68BB" w:rsidRPr="00063FD4" w:rsidRDefault="000F040C" w:rsidP="004A748A">
            <w:pPr>
              <w:spacing w:after="0" w:line="240" w:lineRule="auto"/>
              <w:jc w:val="both"/>
              <w:rPr>
                <w:rFonts w:ascii="Times New Roman" w:hAnsi="Times New Roman"/>
                <w:i/>
                <w:sz w:val="16"/>
              </w:rPr>
            </w:pPr>
            <w:r w:rsidRPr="00063FD4">
              <w:rPr>
                <w:rFonts w:ascii="Times New Roman" w:eastAsiaTheme="minorHAnsi" w:hAnsi="Times New Roman" w:cstheme="minorBidi"/>
                <w:sz w:val="16"/>
                <w:szCs w:val="16"/>
              </w:rPr>
              <w:t>L</w:t>
            </w:r>
            <w:r w:rsidR="005A6BE5" w:rsidRPr="00063FD4">
              <w:rPr>
                <w:rFonts w:ascii="Times New Roman" w:eastAsiaTheme="minorHAnsi" w:hAnsi="Times New Roman" w:cstheme="minorBidi"/>
                <w:sz w:val="16"/>
                <w:szCs w:val="16"/>
              </w:rPr>
              <w:t xml:space="preserve">īdz </w:t>
            </w:r>
            <w:r w:rsidR="00D406F6" w:rsidRPr="00063FD4">
              <w:rPr>
                <w:rFonts w:ascii="Times New Roman" w:eastAsiaTheme="minorHAnsi" w:hAnsi="Times New Roman" w:cstheme="minorBidi"/>
                <w:sz w:val="16"/>
                <w:szCs w:val="16"/>
              </w:rPr>
              <w:t>3 minūtēm</w:t>
            </w:r>
            <w:r w:rsidRPr="00063FD4">
              <w:rPr>
                <w:rFonts w:ascii="Times New Roman" w:eastAsiaTheme="minorHAnsi" w:hAnsi="Times New Roman" w:cstheme="minorBidi"/>
                <w:sz w:val="16"/>
                <w:szCs w:val="16"/>
              </w:rPr>
              <w:t>.</w:t>
            </w:r>
          </w:p>
          <w:p w14:paraId="62B50915" w14:textId="77777777" w:rsidR="006D68BB" w:rsidRPr="00063FD4" w:rsidRDefault="006D68BB" w:rsidP="004A748A">
            <w:pPr>
              <w:spacing w:after="0" w:line="240" w:lineRule="auto"/>
              <w:jc w:val="both"/>
              <w:rPr>
                <w:rFonts w:ascii="Times New Roman" w:eastAsiaTheme="minorHAnsi" w:hAnsi="Times New Roman" w:cstheme="minorBidi"/>
                <w:i/>
                <w:sz w:val="16"/>
                <w:szCs w:val="16"/>
              </w:rPr>
            </w:pPr>
          </w:p>
          <w:p w14:paraId="0EE9C1CC" w14:textId="77777777" w:rsidR="000F040C" w:rsidRPr="00063FD4" w:rsidRDefault="006D68BB" w:rsidP="00D406F6">
            <w:pPr>
              <w:spacing w:after="0" w:line="240" w:lineRule="auto"/>
              <w:jc w:val="both"/>
              <w:rPr>
                <w:rFonts w:ascii="Times New Roman" w:eastAsiaTheme="minorHAnsi" w:hAnsi="Times New Roman" w:cstheme="minorBidi"/>
                <w:i/>
                <w:sz w:val="16"/>
                <w:szCs w:val="16"/>
              </w:rPr>
            </w:pPr>
            <w:r w:rsidRPr="00063FD4">
              <w:rPr>
                <w:rFonts w:ascii="Times New Roman" w:eastAsiaTheme="minorHAnsi" w:hAnsi="Times New Roman" w:cstheme="minorBidi"/>
                <w:i/>
                <w:sz w:val="16"/>
                <w:szCs w:val="16"/>
              </w:rPr>
              <w:t>Mērķa vērtības noteikšanas principi/metodoloģija:</w:t>
            </w:r>
          </w:p>
          <w:p w14:paraId="5202EF93" w14:textId="704D475F" w:rsidR="00A747A6" w:rsidRPr="00063FD4" w:rsidRDefault="00F06D96" w:rsidP="004A748A">
            <w:pPr>
              <w:spacing w:after="0" w:line="240" w:lineRule="auto"/>
              <w:jc w:val="both"/>
              <w:rPr>
                <w:rFonts w:ascii="Times New Roman" w:eastAsiaTheme="minorHAnsi" w:hAnsi="Times New Roman" w:cstheme="minorBidi"/>
                <w:sz w:val="16"/>
                <w:szCs w:val="16"/>
              </w:rPr>
            </w:pPr>
            <w:r w:rsidRPr="00063FD4">
              <w:rPr>
                <w:rFonts w:ascii="Times New Roman" w:eastAsiaTheme="minorHAnsi" w:hAnsi="Times New Roman" w:cstheme="minorBidi"/>
                <w:sz w:val="16"/>
                <w:szCs w:val="16"/>
              </w:rPr>
              <w:t xml:space="preserve">Rīgas pilsētas pašvaldības veiktā tehniskā analīze </w:t>
            </w:r>
            <w:r w:rsidR="001F482E" w:rsidRPr="00063FD4">
              <w:rPr>
                <w:rFonts w:ascii="Times New Roman" w:eastAsiaTheme="minorHAnsi" w:hAnsi="Times New Roman" w:cstheme="minorBidi"/>
                <w:sz w:val="16"/>
                <w:szCs w:val="16"/>
              </w:rPr>
              <w:t xml:space="preserve">par sabiedriskā transporta vidējā aizkavējuma laika (kustības sarakstos)  samazinājumu </w:t>
            </w:r>
            <w:r w:rsidR="002D2FA1" w:rsidRPr="00063FD4">
              <w:rPr>
                <w:rFonts w:ascii="Times New Roman" w:eastAsiaTheme="minorHAnsi" w:hAnsi="Times New Roman" w:cstheme="minorBidi"/>
                <w:sz w:val="16"/>
                <w:szCs w:val="16"/>
              </w:rPr>
              <w:t xml:space="preserve">pret braukšanas laiku uz 2020.gada martu (objektīvai datu salīdzināšanai tiek noteikts periods pirms COVID pandēmijas). Braukšanas laiks nosakāms starp pieturvietām, kas iever pārbūvējamo krustojumu un ar to saistītos (sinhronizējamos) objektus, kā piemēram, ietekme tiks vērtēta visā sinhronizācijas posmā, ja krustojuma luksofora darbība tiks sinhronizēta ar citiem luksofora objektiem. </w:t>
            </w:r>
          </w:p>
          <w:p w14:paraId="55ADCD6B" w14:textId="1C543304" w:rsidR="006D68BB" w:rsidRPr="00063FD4" w:rsidRDefault="006D68BB" w:rsidP="00435E26">
            <w:pPr>
              <w:spacing w:after="0" w:line="240" w:lineRule="auto"/>
              <w:jc w:val="both"/>
              <w:rPr>
                <w:rFonts w:ascii="Times New Roman" w:hAnsi="Times New Roman"/>
                <w:i/>
                <w:sz w:val="16"/>
              </w:rPr>
            </w:pPr>
          </w:p>
        </w:tc>
        <w:tc>
          <w:tcPr>
            <w:tcW w:w="3798" w:type="dxa"/>
          </w:tcPr>
          <w:p w14:paraId="2F60D7AE" w14:textId="77777777" w:rsidR="000F040C"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IR1 nosaukums un mērvienība:</w:t>
            </w:r>
          </w:p>
          <w:p w14:paraId="45F5D2D1" w14:textId="28F514BA" w:rsidR="006D68BB" w:rsidRPr="00063FD4" w:rsidRDefault="004558A1" w:rsidP="004A748A">
            <w:pPr>
              <w:spacing w:after="0" w:line="240" w:lineRule="auto"/>
              <w:jc w:val="both"/>
              <w:rPr>
                <w:rFonts w:ascii="Times New Roman" w:hAnsi="Times New Roman"/>
                <w:b/>
                <w:sz w:val="16"/>
              </w:rPr>
            </w:pPr>
            <w:r w:rsidRPr="00063FD4">
              <w:rPr>
                <w:rFonts w:ascii="Times New Roman" w:hAnsi="Times New Roman"/>
                <w:iCs/>
                <w:sz w:val="16"/>
              </w:rPr>
              <w:t>i.6.</w:t>
            </w:r>
            <w:r w:rsidR="000F040C" w:rsidRPr="00063FD4">
              <w:rPr>
                <w:rFonts w:ascii="Times New Roman" w:hAnsi="Times New Roman"/>
                <w:iCs/>
                <w:sz w:val="16"/>
              </w:rPr>
              <w:t>1</w:t>
            </w:r>
            <w:r w:rsidRPr="00063FD4">
              <w:rPr>
                <w:rFonts w:ascii="Times New Roman" w:hAnsi="Times New Roman"/>
                <w:iCs/>
                <w:sz w:val="16"/>
              </w:rPr>
              <w:t>.</w:t>
            </w:r>
            <w:r w:rsidR="000F040C" w:rsidRPr="00063FD4">
              <w:rPr>
                <w:rFonts w:ascii="Times New Roman" w:hAnsi="Times New Roman"/>
                <w:iCs/>
                <w:sz w:val="16"/>
              </w:rPr>
              <w:t>7</w:t>
            </w:r>
            <w:r w:rsidRPr="00063FD4">
              <w:rPr>
                <w:rFonts w:ascii="Times New Roman" w:hAnsi="Times New Roman"/>
                <w:iCs/>
                <w:sz w:val="16"/>
              </w:rPr>
              <w:t>.a</w:t>
            </w:r>
            <w:r w:rsidRPr="00063FD4">
              <w:rPr>
                <w:rFonts w:ascii="Times New Roman" w:hAnsi="Times New Roman"/>
                <w:b/>
                <w:sz w:val="16"/>
              </w:rPr>
              <w:t xml:space="preserve"> </w:t>
            </w:r>
            <w:r w:rsidR="00D406F6" w:rsidRPr="00063FD4">
              <w:rPr>
                <w:rFonts w:ascii="Times New Roman" w:hAnsi="Times New Roman"/>
                <w:b/>
                <w:sz w:val="16"/>
              </w:rPr>
              <w:t>pārbūvēto krustojumu skaits</w:t>
            </w:r>
            <w:r w:rsidR="002D2FA1" w:rsidRPr="00063FD4">
              <w:rPr>
                <w:rFonts w:ascii="Times New Roman" w:hAnsi="Times New Roman"/>
                <w:b/>
                <w:sz w:val="16"/>
              </w:rPr>
              <w:t>.</w:t>
            </w:r>
          </w:p>
          <w:p w14:paraId="3EE1149F" w14:textId="77777777" w:rsidR="00D406F6" w:rsidRPr="00063FD4" w:rsidRDefault="00D406F6" w:rsidP="004A748A">
            <w:pPr>
              <w:spacing w:after="0" w:line="240" w:lineRule="auto"/>
              <w:jc w:val="both"/>
              <w:rPr>
                <w:rFonts w:ascii="Times New Roman" w:hAnsi="Times New Roman"/>
                <w:i/>
                <w:sz w:val="16"/>
              </w:rPr>
            </w:pPr>
          </w:p>
          <w:p w14:paraId="2588ECFB" w14:textId="77777777" w:rsidR="002D2FA1" w:rsidRPr="00063FD4" w:rsidRDefault="004A748A" w:rsidP="004A748A">
            <w:pPr>
              <w:spacing w:after="0" w:line="240" w:lineRule="auto"/>
              <w:jc w:val="both"/>
              <w:rPr>
                <w:rFonts w:ascii="Times New Roman" w:hAnsi="Times New Roman"/>
                <w:i/>
                <w:sz w:val="16"/>
              </w:rPr>
            </w:pPr>
            <w:r w:rsidRPr="00063FD4">
              <w:rPr>
                <w:rFonts w:ascii="Times New Roman" w:hAnsi="Times New Roman"/>
                <w:i/>
                <w:sz w:val="16"/>
              </w:rPr>
              <w:t xml:space="preserve">Definīcija: </w:t>
            </w:r>
          </w:p>
          <w:p w14:paraId="3DC6814D" w14:textId="0CEADB8B" w:rsidR="004A748A" w:rsidRPr="00063FD4" w:rsidRDefault="004A748A" w:rsidP="004A748A">
            <w:pPr>
              <w:spacing w:after="0" w:line="240" w:lineRule="auto"/>
              <w:jc w:val="both"/>
              <w:rPr>
                <w:rFonts w:ascii="Times New Roman" w:hAnsi="Times New Roman"/>
                <w:sz w:val="16"/>
              </w:rPr>
            </w:pPr>
            <w:r w:rsidRPr="00063FD4">
              <w:rPr>
                <w:rFonts w:ascii="Times New Roman" w:hAnsi="Times New Roman"/>
                <w:sz w:val="16"/>
              </w:rPr>
              <w:t>kopējais rādītājs</w:t>
            </w:r>
            <w:r w:rsidR="00451500" w:rsidRPr="00063FD4">
              <w:rPr>
                <w:rStyle w:val="FootnoteReference"/>
                <w:rFonts w:ascii="Times New Roman" w:hAnsi="Times New Roman"/>
                <w:sz w:val="16"/>
              </w:rPr>
              <w:footnoteReference w:id="2"/>
            </w:r>
            <w:r w:rsidR="002D2FA1" w:rsidRPr="00063FD4">
              <w:rPr>
                <w:rFonts w:ascii="Times New Roman" w:hAnsi="Times New Roman"/>
                <w:sz w:val="16"/>
              </w:rPr>
              <w:t>.</w:t>
            </w:r>
          </w:p>
          <w:p w14:paraId="035B3461" w14:textId="77777777" w:rsidR="004A748A" w:rsidRPr="00063FD4" w:rsidRDefault="004A748A" w:rsidP="004A748A">
            <w:pPr>
              <w:spacing w:after="0" w:line="240" w:lineRule="auto"/>
              <w:jc w:val="both"/>
              <w:rPr>
                <w:rFonts w:ascii="Times New Roman" w:hAnsi="Times New Roman"/>
                <w:sz w:val="16"/>
              </w:rPr>
            </w:pPr>
          </w:p>
          <w:p w14:paraId="18243465" w14:textId="77777777" w:rsidR="002D2FA1"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Datu avots: </w:t>
            </w:r>
          </w:p>
          <w:p w14:paraId="02A574F2" w14:textId="0233810F" w:rsidR="006D68BB" w:rsidRPr="00063FD4" w:rsidRDefault="002D2FA1" w:rsidP="004A748A">
            <w:pPr>
              <w:spacing w:after="0" w:line="240" w:lineRule="auto"/>
              <w:jc w:val="both"/>
              <w:rPr>
                <w:rFonts w:ascii="Times New Roman" w:hAnsi="Times New Roman"/>
                <w:sz w:val="16"/>
              </w:rPr>
            </w:pPr>
            <w:r w:rsidRPr="00063FD4">
              <w:rPr>
                <w:rFonts w:ascii="Times New Roman" w:hAnsi="Times New Roman"/>
                <w:sz w:val="16"/>
              </w:rPr>
              <w:t>P</w:t>
            </w:r>
            <w:r w:rsidR="006D68BB" w:rsidRPr="00063FD4">
              <w:rPr>
                <w:rFonts w:ascii="Times New Roman" w:hAnsi="Times New Roman"/>
                <w:sz w:val="16"/>
              </w:rPr>
              <w:t>rojekt</w:t>
            </w:r>
            <w:r w:rsidR="00D406F6" w:rsidRPr="00063FD4">
              <w:rPr>
                <w:rFonts w:ascii="Times New Roman" w:hAnsi="Times New Roman"/>
                <w:sz w:val="16"/>
              </w:rPr>
              <w:t>a</w:t>
            </w:r>
            <w:r w:rsidR="006D68BB" w:rsidRPr="00063FD4">
              <w:rPr>
                <w:rFonts w:ascii="Times New Roman" w:hAnsi="Times New Roman"/>
                <w:sz w:val="16"/>
              </w:rPr>
              <w:t xml:space="preserve"> dati</w:t>
            </w:r>
            <w:r w:rsidRPr="00063FD4">
              <w:rPr>
                <w:rFonts w:ascii="Times New Roman" w:hAnsi="Times New Roman"/>
                <w:sz w:val="16"/>
              </w:rPr>
              <w:t>.</w:t>
            </w:r>
          </w:p>
          <w:p w14:paraId="2084134D" w14:textId="77777777" w:rsidR="006D68BB" w:rsidRPr="00063FD4" w:rsidRDefault="006D68BB" w:rsidP="004A748A">
            <w:pPr>
              <w:spacing w:after="0" w:line="240" w:lineRule="auto"/>
              <w:jc w:val="both"/>
              <w:rPr>
                <w:rFonts w:ascii="Times New Roman" w:hAnsi="Times New Roman"/>
                <w:sz w:val="16"/>
              </w:rPr>
            </w:pPr>
          </w:p>
          <w:p w14:paraId="6BB190CE" w14:textId="77777777" w:rsidR="002D2FA1" w:rsidRPr="00063FD4" w:rsidRDefault="006D68BB" w:rsidP="004A748A">
            <w:pPr>
              <w:spacing w:after="0" w:line="240" w:lineRule="auto"/>
              <w:jc w:val="both"/>
              <w:rPr>
                <w:rFonts w:ascii="Times New Roman" w:hAnsi="Times New Roman"/>
                <w:i/>
                <w:sz w:val="16"/>
              </w:rPr>
            </w:pPr>
            <w:r w:rsidRPr="00063FD4">
              <w:rPr>
                <w:rFonts w:ascii="Times New Roman" w:hAnsi="Times New Roman"/>
                <w:i/>
                <w:sz w:val="16"/>
              </w:rPr>
              <w:t xml:space="preserve">Apkopošanas biežums un ieguves metodoloģija: </w:t>
            </w:r>
          </w:p>
          <w:p w14:paraId="05E52AF9" w14:textId="122E8BD4" w:rsidR="006D68BB" w:rsidRPr="00063FD4" w:rsidRDefault="002D2FA1" w:rsidP="004A748A">
            <w:pPr>
              <w:spacing w:after="0" w:line="240" w:lineRule="auto"/>
              <w:jc w:val="both"/>
              <w:rPr>
                <w:rFonts w:ascii="Times New Roman" w:hAnsi="Times New Roman"/>
                <w:sz w:val="16"/>
              </w:rPr>
            </w:pPr>
            <w:r w:rsidRPr="00063FD4">
              <w:rPr>
                <w:rFonts w:ascii="Times New Roman" w:hAnsi="Times New Roman"/>
                <w:sz w:val="16"/>
              </w:rPr>
              <w:t>P</w:t>
            </w:r>
            <w:r w:rsidR="000F040C" w:rsidRPr="00063FD4">
              <w:rPr>
                <w:rFonts w:ascii="Times New Roman" w:hAnsi="Times New Roman"/>
                <w:sz w:val="16"/>
              </w:rPr>
              <w:t>rojekta</w:t>
            </w:r>
            <w:r w:rsidR="00D406F6" w:rsidRPr="00063FD4">
              <w:rPr>
                <w:rFonts w:ascii="Times New Roman" w:hAnsi="Times New Roman"/>
                <w:sz w:val="16"/>
              </w:rPr>
              <w:t xml:space="preserve"> īstenošanas noslēgumā.</w:t>
            </w:r>
          </w:p>
          <w:p w14:paraId="43AE4D33" w14:textId="5A1203B6" w:rsidR="006D68BB" w:rsidRPr="00063FD4" w:rsidRDefault="006D68BB" w:rsidP="004A748A">
            <w:pPr>
              <w:spacing w:after="0" w:line="240" w:lineRule="auto"/>
              <w:jc w:val="both"/>
              <w:rPr>
                <w:rFonts w:ascii="Times New Roman" w:hAnsi="Times New Roman"/>
                <w:i/>
                <w:sz w:val="16"/>
              </w:rPr>
            </w:pPr>
          </w:p>
          <w:p w14:paraId="6EFBEF04" w14:textId="77777777" w:rsidR="002D2FA1" w:rsidRPr="00063FD4" w:rsidRDefault="00BD1452" w:rsidP="00BD1452">
            <w:pPr>
              <w:spacing w:after="0" w:line="240" w:lineRule="auto"/>
              <w:jc w:val="both"/>
              <w:rPr>
                <w:rFonts w:ascii="Times New Roman" w:eastAsiaTheme="minorHAnsi" w:hAnsi="Times New Roman"/>
                <w:i/>
                <w:sz w:val="16"/>
                <w:szCs w:val="16"/>
              </w:rPr>
            </w:pPr>
            <w:r w:rsidRPr="00063FD4">
              <w:rPr>
                <w:rFonts w:ascii="Times New Roman" w:eastAsiaTheme="minorHAnsi" w:hAnsi="Times New Roman"/>
                <w:i/>
                <w:sz w:val="16"/>
                <w:szCs w:val="16"/>
              </w:rPr>
              <w:t>Darbība, kas liek uzskatīt mērķa vērtību par izpildītu:</w:t>
            </w:r>
            <w:r w:rsidR="000F040C" w:rsidRPr="00063FD4">
              <w:rPr>
                <w:rFonts w:ascii="Times New Roman" w:eastAsiaTheme="minorHAnsi" w:hAnsi="Times New Roman"/>
                <w:i/>
                <w:sz w:val="16"/>
                <w:szCs w:val="16"/>
              </w:rPr>
              <w:t xml:space="preserve"> </w:t>
            </w:r>
          </w:p>
          <w:p w14:paraId="3D887BEB" w14:textId="3E9EEA71" w:rsidR="00BD1452" w:rsidRPr="00063FD4" w:rsidRDefault="002D2FA1" w:rsidP="00BD1452">
            <w:pPr>
              <w:spacing w:after="0" w:line="240" w:lineRule="auto"/>
              <w:jc w:val="both"/>
              <w:rPr>
                <w:rFonts w:ascii="Times New Roman" w:eastAsiaTheme="minorHAnsi" w:hAnsi="Times New Roman"/>
                <w:i/>
                <w:sz w:val="16"/>
                <w:szCs w:val="16"/>
              </w:rPr>
            </w:pPr>
            <w:r w:rsidRPr="00063FD4">
              <w:rPr>
                <w:rFonts w:ascii="Times New Roman" w:eastAsiaTheme="minorHAnsi" w:hAnsi="Times New Roman"/>
                <w:sz w:val="16"/>
                <w:szCs w:val="16"/>
              </w:rPr>
              <w:t>E</w:t>
            </w:r>
            <w:r w:rsidR="00BD1452" w:rsidRPr="00063FD4">
              <w:rPr>
                <w:rFonts w:ascii="Times New Roman" w:eastAsiaTheme="minorHAnsi" w:hAnsi="Times New Roman"/>
                <w:sz w:val="16"/>
                <w:szCs w:val="16"/>
              </w:rPr>
              <w:t>kspluatācijā nodot</w:t>
            </w:r>
            <w:r w:rsidR="00475471" w:rsidRPr="00063FD4">
              <w:rPr>
                <w:rFonts w:ascii="Times New Roman" w:eastAsiaTheme="minorHAnsi" w:hAnsi="Times New Roman"/>
                <w:sz w:val="16"/>
                <w:szCs w:val="16"/>
              </w:rPr>
              <w:t>ie</w:t>
            </w:r>
            <w:r w:rsidR="00BD1452" w:rsidRPr="00063FD4">
              <w:rPr>
                <w:rFonts w:ascii="Times New Roman" w:eastAsiaTheme="minorHAnsi" w:hAnsi="Times New Roman"/>
                <w:sz w:val="16"/>
                <w:szCs w:val="16"/>
              </w:rPr>
              <w:t xml:space="preserve"> būvobjekt</w:t>
            </w:r>
            <w:r w:rsidR="00475471" w:rsidRPr="00063FD4">
              <w:rPr>
                <w:rFonts w:ascii="Times New Roman" w:eastAsiaTheme="minorHAnsi" w:hAnsi="Times New Roman"/>
                <w:sz w:val="16"/>
                <w:szCs w:val="16"/>
              </w:rPr>
              <w:t>i</w:t>
            </w:r>
            <w:r w:rsidR="00BD1452" w:rsidRPr="00063FD4">
              <w:rPr>
                <w:rFonts w:ascii="Times New Roman" w:eastAsiaTheme="minorHAnsi" w:hAnsi="Times New Roman"/>
                <w:sz w:val="16"/>
                <w:szCs w:val="16"/>
              </w:rPr>
              <w:t>.</w:t>
            </w:r>
          </w:p>
          <w:p w14:paraId="002540B3" w14:textId="77777777" w:rsidR="00BD1452" w:rsidRPr="00063FD4" w:rsidRDefault="00BD1452" w:rsidP="004A748A">
            <w:pPr>
              <w:spacing w:after="0" w:line="240" w:lineRule="auto"/>
              <w:jc w:val="both"/>
              <w:rPr>
                <w:rFonts w:ascii="Times New Roman" w:hAnsi="Times New Roman"/>
                <w:i/>
                <w:sz w:val="16"/>
              </w:rPr>
            </w:pPr>
          </w:p>
          <w:p w14:paraId="19351EEC" w14:textId="77777777" w:rsidR="002D2FA1" w:rsidRPr="00063FD4" w:rsidRDefault="00BB5D9D" w:rsidP="00BB5D9D">
            <w:pPr>
              <w:spacing w:after="0" w:line="240" w:lineRule="auto"/>
              <w:jc w:val="both"/>
              <w:rPr>
                <w:rFonts w:ascii="Times New Roman" w:hAnsi="Times New Roman"/>
                <w:i/>
                <w:sz w:val="16"/>
              </w:rPr>
            </w:pPr>
            <w:r w:rsidRPr="00063FD4">
              <w:rPr>
                <w:rFonts w:ascii="Times New Roman" w:hAnsi="Times New Roman"/>
                <w:i/>
                <w:sz w:val="16"/>
              </w:rPr>
              <w:t xml:space="preserve">Mērķis 2023: </w:t>
            </w:r>
          </w:p>
          <w:p w14:paraId="7B3E5039" w14:textId="25EFF916" w:rsidR="00BB5D9D" w:rsidRPr="00063FD4" w:rsidRDefault="00D406F6" w:rsidP="00BB5D9D">
            <w:pPr>
              <w:spacing w:after="0" w:line="240" w:lineRule="auto"/>
              <w:jc w:val="both"/>
              <w:rPr>
                <w:rFonts w:ascii="Times New Roman" w:hAnsi="Times New Roman"/>
                <w:sz w:val="16"/>
              </w:rPr>
            </w:pPr>
            <w:r w:rsidRPr="00063FD4">
              <w:rPr>
                <w:rFonts w:ascii="Times New Roman" w:eastAsiaTheme="minorHAnsi" w:hAnsi="Times New Roman" w:cstheme="minorBidi"/>
                <w:sz w:val="16"/>
                <w:szCs w:val="16"/>
              </w:rPr>
              <w:t>3 (krustojumi)</w:t>
            </w:r>
            <w:r w:rsidR="002D2FA1" w:rsidRPr="00063FD4">
              <w:rPr>
                <w:rFonts w:ascii="Times New Roman" w:eastAsiaTheme="minorHAnsi" w:hAnsi="Times New Roman" w:cstheme="minorBidi"/>
                <w:sz w:val="16"/>
                <w:szCs w:val="16"/>
              </w:rPr>
              <w:t>.</w:t>
            </w:r>
          </w:p>
          <w:p w14:paraId="2098A2A1" w14:textId="77777777" w:rsidR="00BB5D9D" w:rsidRPr="00063FD4" w:rsidRDefault="00BB5D9D" w:rsidP="00BB5D9D">
            <w:pPr>
              <w:spacing w:after="0" w:line="240" w:lineRule="auto"/>
              <w:jc w:val="both"/>
              <w:rPr>
                <w:rFonts w:ascii="Times New Roman" w:hAnsi="Times New Roman"/>
                <w:i/>
                <w:sz w:val="16"/>
              </w:rPr>
            </w:pPr>
          </w:p>
          <w:p w14:paraId="52134907" w14:textId="5D28FB00" w:rsidR="00860BB8" w:rsidRPr="00063FD4" w:rsidRDefault="00BB5D9D" w:rsidP="00860BB8">
            <w:pPr>
              <w:spacing w:after="0" w:line="240" w:lineRule="auto"/>
              <w:jc w:val="both"/>
              <w:rPr>
                <w:rFonts w:ascii="Times New Roman" w:eastAsiaTheme="minorHAnsi" w:hAnsi="Times New Roman" w:cstheme="minorBidi"/>
                <w:sz w:val="16"/>
                <w:szCs w:val="16"/>
              </w:rPr>
            </w:pPr>
            <w:r w:rsidRPr="00063FD4">
              <w:rPr>
                <w:rFonts w:ascii="Times New Roman" w:eastAsiaTheme="minorHAnsi" w:hAnsi="Times New Roman" w:cstheme="minorBidi"/>
                <w:i/>
                <w:sz w:val="16"/>
                <w:szCs w:val="16"/>
              </w:rPr>
              <w:t>Mērķa vērtības noteikšanas principi/metodoloģija:</w:t>
            </w:r>
          </w:p>
          <w:p w14:paraId="0DEBF24E" w14:textId="12052FD0" w:rsidR="00773224" w:rsidRPr="00063FD4" w:rsidRDefault="00773224" w:rsidP="00BB5D9D">
            <w:pPr>
              <w:spacing w:after="0" w:line="240" w:lineRule="auto"/>
              <w:jc w:val="both"/>
              <w:rPr>
                <w:rFonts w:ascii="Times New Roman" w:eastAsiaTheme="minorHAnsi" w:hAnsi="Times New Roman" w:cstheme="minorBidi"/>
                <w:sz w:val="16"/>
                <w:szCs w:val="16"/>
              </w:rPr>
            </w:pPr>
            <w:r w:rsidRPr="00063FD4">
              <w:rPr>
                <w:rFonts w:ascii="Times New Roman" w:eastAsiaTheme="minorHAnsi" w:hAnsi="Times New Roman" w:cstheme="minorBidi"/>
                <w:sz w:val="16"/>
                <w:szCs w:val="16"/>
              </w:rPr>
              <w:t>Rādītāja vērtību aprēķina summējot ekspluatācijā nodotos būvobjektus – krustojumus.</w:t>
            </w:r>
          </w:p>
          <w:p w14:paraId="444A07EC" w14:textId="77777777" w:rsidR="006D68BB" w:rsidRPr="00063FD4" w:rsidRDefault="006D68BB" w:rsidP="004A748A">
            <w:pPr>
              <w:spacing w:after="0" w:line="240" w:lineRule="auto"/>
              <w:jc w:val="both"/>
              <w:rPr>
                <w:rFonts w:ascii="Times New Roman" w:hAnsi="Times New Roman"/>
                <w:i/>
                <w:sz w:val="16"/>
              </w:rPr>
            </w:pPr>
          </w:p>
          <w:p w14:paraId="097455EB" w14:textId="21B59F6E" w:rsidR="00773224" w:rsidRPr="00063FD4" w:rsidRDefault="00773224" w:rsidP="00773224">
            <w:pPr>
              <w:spacing w:after="0" w:line="240" w:lineRule="auto"/>
              <w:jc w:val="both"/>
              <w:rPr>
                <w:rFonts w:ascii="Times New Roman" w:eastAsiaTheme="minorHAnsi" w:hAnsi="Times New Roman"/>
                <w:i/>
                <w:sz w:val="14"/>
                <w:szCs w:val="16"/>
              </w:rPr>
            </w:pPr>
            <w:r w:rsidRPr="00063FD4">
              <w:rPr>
                <w:rFonts w:ascii="Times New Roman" w:hAnsi="Times New Roman"/>
                <w:i/>
                <w:sz w:val="16"/>
              </w:rPr>
              <w:t xml:space="preserve">Iznākuma </w:t>
            </w:r>
            <w:r w:rsidRPr="00063FD4">
              <w:rPr>
                <w:rFonts w:ascii="Times New Roman" w:eastAsiaTheme="minorHAnsi" w:hAnsi="Times New Roman"/>
                <w:i/>
                <w:sz w:val="16"/>
                <w:szCs w:val="16"/>
              </w:rPr>
              <w:t>rādītāju</w:t>
            </w:r>
            <w:r w:rsidRPr="00063FD4">
              <w:rPr>
                <w:rFonts w:ascii="Times New Roman" w:hAnsi="Times New Roman"/>
                <w:i/>
                <w:sz w:val="16"/>
              </w:rPr>
              <w:t xml:space="preserve"> sasniegšanai paredzētais finansējums:</w:t>
            </w:r>
            <w:r w:rsidRPr="00063FD4">
              <w:rPr>
                <w:rFonts w:ascii="Times New Roman" w:hAnsi="Times New Roman"/>
                <w:sz w:val="16"/>
              </w:rPr>
              <w:t xml:space="preserve"> </w:t>
            </w:r>
            <w:r w:rsidR="003E2F6A">
              <w:rPr>
                <w:rFonts w:ascii="Times New Roman" w:hAnsi="Times New Roman"/>
                <w:sz w:val="16"/>
              </w:rPr>
              <w:t>28 000 000</w:t>
            </w:r>
            <w:r w:rsidR="00B255EC" w:rsidRPr="00063FD4">
              <w:rPr>
                <w:rFonts w:ascii="Times New Roman" w:hAnsi="Times New Roman"/>
                <w:sz w:val="16"/>
              </w:rPr>
              <w:t xml:space="preserve"> </w:t>
            </w:r>
            <w:r w:rsidRPr="00063FD4">
              <w:rPr>
                <w:rFonts w:ascii="Times New Roman" w:hAnsi="Times New Roman"/>
                <w:sz w:val="16"/>
              </w:rPr>
              <w:t>EUR.</w:t>
            </w:r>
          </w:p>
          <w:p w14:paraId="05F07A20" w14:textId="211767DA" w:rsidR="00AA1587" w:rsidRPr="00063FD4" w:rsidRDefault="00AA1587" w:rsidP="002D2FA1">
            <w:pPr>
              <w:spacing w:after="0" w:line="240" w:lineRule="auto"/>
              <w:jc w:val="both"/>
              <w:rPr>
                <w:rFonts w:ascii="Times New Roman" w:hAnsi="Times New Roman"/>
                <w:sz w:val="16"/>
              </w:rPr>
            </w:pPr>
          </w:p>
        </w:tc>
        <w:tc>
          <w:tcPr>
            <w:tcW w:w="2612" w:type="dxa"/>
          </w:tcPr>
          <w:p w14:paraId="207DFC43" w14:textId="4FB1FDE6" w:rsidR="00836752" w:rsidRPr="00D406F6" w:rsidRDefault="006D68BB" w:rsidP="00B255EC">
            <w:pPr>
              <w:spacing w:after="0" w:line="240" w:lineRule="auto"/>
              <w:jc w:val="both"/>
              <w:rPr>
                <w:rFonts w:ascii="Times New Roman" w:hAnsi="Times New Roman"/>
                <w:sz w:val="16"/>
              </w:rPr>
            </w:pPr>
            <w:r w:rsidRPr="00063FD4">
              <w:rPr>
                <w:rFonts w:ascii="Times New Roman" w:hAnsi="Times New Roman"/>
                <w:i/>
                <w:sz w:val="16"/>
              </w:rPr>
              <w:t xml:space="preserve">Mērķis 2023. gadam (vienāds ar  100 % no  SAM paredzētā </w:t>
            </w:r>
            <w:r w:rsidR="00C76C19" w:rsidRPr="00063FD4">
              <w:rPr>
                <w:rFonts w:ascii="Times New Roman" w:eastAsiaTheme="minorHAnsi" w:hAnsi="Times New Roman" w:cstheme="minorBidi"/>
                <w:i/>
                <w:sz w:val="16"/>
                <w:szCs w:val="16"/>
              </w:rPr>
              <w:t xml:space="preserve"> </w:t>
            </w:r>
            <w:r w:rsidRPr="00063FD4">
              <w:rPr>
                <w:rFonts w:ascii="Times New Roman" w:hAnsi="Times New Roman"/>
                <w:i/>
                <w:sz w:val="16"/>
              </w:rPr>
              <w:t>kopējā</w:t>
            </w:r>
            <w:r w:rsidR="006062EE" w:rsidRPr="00063FD4">
              <w:rPr>
                <w:rFonts w:ascii="Times New Roman" w:hAnsi="Times New Roman"/>
                <w:i/>
                <w:sz w:val="16"/>
              </w:rPr>
              <w:t xml:space="preserve"> attiecināmā </w:t>
            </w:r>
            <w:r w:rsidRPr="00063FD4">
              <w:rPr>
                <w:rFonts w:ascii="Times New Roman" w:hAnsi="Times New Roman"/>
                <w:i/>
                <w:sz w:val="16"/>
              </w:rPr>
              <w:t xml:space="preserve"> finansējuma): </w:t>
            </w:r>
            <w:r w:rsidR="00B255EC">
              <w:rPr>
                <w:rFonts w:ascii="Times New Roman" w:hAnsi="Times New Roman"/>
                <w:iCs/>
                <w:sz w:val="16"/>
              </w:rPr>
              <w:t>29 176 471</w:t>
            </w:r>
            <w:r w:rsidR="00B46B99" w:rsidRPr="00063FD4">
              <w:rPr>
                <w:rFonts w:ascii="Times New Roman" w:hAnsi="Times New Roman"/>
                <w:i/>
                <w:sz w:val="16"/>
              </w:rPr>
              <w:t xml:space="preserve"> </w:t>
            </w:r>
            <w:r w:rsidR="000B61E1" w:rsidRPr="00063FD4">
              <w:rPr>
                <w:rFonts w:ascii="Times New Roman" w:eastAsiaTheme="minorHAnsi" w:hAnsi="Times New Roman" w:cstheme="minorBidi"/>
                <w:sz w:val="16"/>
                <w:szCs w:val="16"/>
              </w:rPr>
              <w:t>EUR</w:t>
            </w:r>
            <w:r w:rsidRPr="00063FD4">
              <w:rPr>
                <w:rFonts w:ascii="Times New Roman" w:hAnsi="Times New Roman"/>
                <w:i/>
                <w:sz w:val="16"/>
              </w:rPr>
              <w:t xml:space="preserve"> </w:t>
            </w:r>
            <w:bookmarkStart w:id="0" w:name="_GoBack"/>
            <w:bookmarkEnd w:id="0"/>
            <w:r w:rsidR="001E3883" w:rsidRPr="00063FD4">
              <w:rPr>
                <w:rFonts w:ascii="Times New Roman" w:hAnsi="Times New Roman"/>
                <w:i/>
                <w:sz w:val="16"/>
              </w:rPr>
              <w:t>.</w:t>
            </w:r>
          </w:p>
        </w:tc>
      </w:tr>
    </w:tbl>
    <w:p w14:paraId="5EE08CA9" w14:textId="2506A3A4" w:rsidR="00FA549B" w:rsidRPr="008763D8" w:rsidRDefault="00FA549B"/>
    <w:sectPr w:rsidR="00FA549B" w:rsidRPr="008763D8" w:rsidSect="00F91F39">
      <w:pgSz w:w="16838" w:h="11906" w:orient="landscape"/>
      <w:pgMar w:top="709" w:right="1440" w:bottom="1800" w:left="1440" w:header="708" w:footer="4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6AB41" w14:textId="77777777" w:rsidR="000505C4" w:rsidRDefault="000505C4" w:rsidP="006D68BB">
      <w:pPr>
        <w:spacing w:after="0" w:line="240" w:lineRule="auto"/>
      </w:pPr>
      <w:r>
        <w:separator/>
      </w:r>
    </w:p>
  </w:endnote>
  <w:endnote w:type="continuationSeparator" w:id="0">
    <w:p w14:paraId="66E0C5EA" w14:textId="77777777" w:rsidR="000505C4" w:rsidRDefault="000505C4" w:rsidP="006D68BB">
      <w:pPr>
        <w:spacing w:after="0" w:line="240" w:lineRule="auto"/>
      </w:pPr>
      <w:r>
        <w:continuationSeparator/>
      </w:r>
    </w:p>
  </w:endnote>
  <w:endnote w:type="continuationNotice" w:id="1">
    <w:p w14:paraId="4BD83E85" w14:textId="77777777" w:rsidR="000505C4" w:rsidRDefault="00050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CC09D" w14:textId="77777777" w:rsidR="000505C4" w:rsidRDefault="000505C4" w:rsidP="006D68BB">
      <w:pPr>
        <w:spacing w:after="0" w:line="240" w:lineRule="auto"/>
      </w:pPr>
      <w:r>
        <w:separator/>
      </w:r>
    </w:p>
  </w:footnote>
  <w:footnote w:type="continuationSeparator" w:id="0">
    <w:p w14:paraId="3CFAD25D" w14:textId="77777777" w:rsidR="000505C4" w:rsidRDefault="000505C4" w:rsidP="006D68BB">
      <w:pPr>
        <w:spacing w:after="0" w:line="240" w:lineRule="auto"/>
      </w:pPr>
      <w:r>
        <w:continuationSeparator/>
      </w:r>
    </w:p>
  </w:footnote>
  <w:footnote w:type="continuationNotice" w:id="1">
    <w:p w14:paraId="2A722A01" w14:textId="77777777" w:rsidR="000505C4" w:rsidRDefault="000505C4">
      <w:pPr>
        <w:spacing w:after="0" w:line="240" w:lineRule="auto"/>
      </w:pPr>
    </w:p>
  </w:footnote>
  <w:footnote w:id="2">
    <w:p w14:paraId="29D0FFE1" w14:textId="4E409776" w:rsidR="00451500" w:rsidRDefault="00451500" w:rsidP="00B13157">
      <w:pPr>
        <w:pStyle w:val="FootnoteText"/>
        <w:jc w:val="both"/>
      </w:pPr>
      <w:r>
        <w:rPr>
          <w:rStyle w:val="FootnoteReference"/>
        </w:rPr>
        <w:footnoteRef/>
      </w:r>
      <w:r>
        <w:t xml:space="preserve"> </w:t>
      </w:r>
      <w:r w:rsidRPr="00B13157">
        <w:rPr>
          <w:rFonts w:ascii="Times New Roman" w:hAnsi="Times New Roman"/>
          <w:sz w:val="18"/>
        </w:rPr>
        <w:t>Rādītāja definīcija noteikta Eiropas Komisijas vadlīniju “</w:t>
      </w:r>
      <w:r w:rsidRPr="00475471">
        <w:rPr>
          <w:rFonts w:ascii="Times New Roman" w:hAnsi="Times New Roman"/>
          <w:i/>
          <w:iCs/>
          <w:sz w:val="18"/>
        </w:rPr>
        <w:t>Guidance document on Monitoring and Evaluation</w:t>
      </w:r>
      <w:r w:rsidRPr="00B13157">
        <w:rPr>
          <w:rFonts w:ascii="Times New Roman" w:hAnsi="Times New Roman"/>
          <w:sz w:val="18"/>
        </w:rPr>
        <w:t xml:space="preserve">” 1.pielikumā; pieejamas  </w:t>
      </w:r>
      <w:hyperlink r:id="rId1" w:history="1">
        <w:r w:rsidR="00475471" w:rsidRPr="00030CD9">
          <w:rPr>
            <w:rStyle w:val="Hyperlink"/>
            <w:rFonts w:ascii="Times New Roman" w:hAnsi="Times New Roman"/>
            <w:sz w:val="18"/>
          </w:rPr>
          <w:t>http://ec.europa.eu/regional_policy/sources/docoffic/2014/working/wd_2014_en.pdf</w:t>
        </w:r>
      </w:hyperlink>
      <w:r w:rsidR="00475471">
        <w:rPr>
          <w:rFonts w:ascii="Times New Roman" w:hAnsi="Times New Roman"/>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3B2170"/>
    <w:multiLevelType w:val="hybridMultilevel"/>
    <w:tmpl w:val="8D94FBB4"/>
    <w:lvl w:ilvl="0" w:tplc="7924C484">
      <w:numFmt w:val="bullet"/>
      <w:lvlText w:val="-"/>
      <w:lvlJc w:val="left"/>
      <w:pPr>
        <w:ind w:left="720" w:hanging="360"/>
      </w:pPr>
      <w:rPr>
        <w:rFonts w:ascii="Times New Roman" w:eastAsia="Calibri" w:hAnsi="Times New Roman" w:cs="Times New Roman" w:hint="default"/>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BB"/>
    <w:rsid w:val="00001F42"/>
    <w:rsid w:val="000073A0"/>
    <w:rsid w:val="00010C6F"/>
    <w:rsid w:val="00013D12"/>
    <w:rsid w:val="00031A2A"/>
    <w:rsid w:val="0003316F"/>
    <w:rsid w:val="00041328"/>
    <w:rsid w:val="0004650E"/>
    <w:rsid w:val="0005032E"/>
    <w:rsid w:val="000505C4"/>
    <w:rsid w:val="00063B55"/>
    <w:rsid w:val="00063FD4"/>
    <w:rsid w:val="000675DD"/>
    <w:rsid w:val="00070673"/>
    <w:rsid w:val="00076100"/>
    <w:rsid w:val="00085836"/>
    <w:rsid w:val="000B61E1"/>
    <w:rsid w:val="000D6909"/>
    <w:rsid w:val="000F040C"/>
    <w:rsid w:val="001119D9"/>
    <w:rsid w:val="00142C40"/>
    <w:rsid w:val="001B70EF"/>
    <w:rsid w:val="001E3883"/>
    <w:rsid w:val="001F482E"/>
    <w:rsid w:val="001F5642"/>
    <w:rsid w:val="00203E77"/>
    <w:rsid w:val="00211FDD"/>
    <w:rsid w:val="00217B04"/>
    <w:rsid w:val="00232CCD"/>
    <w:rsid w:val="002378F1"/>
    <w:rsid w:val="002658B2"/>
    <w:rsid w:val="002734C3"/>
    <w:rsid w:val="002D2FA1"/>
    <w:rsid w:val="003315D9"/>
    <w:rsid w:val="003A74DB"/>
    <w:rsid w:val="003B4C78"/>
    <w:rsid w:val="003D3662"/>
    <w:rsid w:val="003E2F6A"/>
    <w:rsid w:val="003E422A"/>
    <w:rsid w:val="00401090"/>
    <w:rsid w:val="00403FAA"/>
    <w:rsid w:val="00420BF4"/>
    <w:rsid w:val="00435E26"/>
    <w:rsid w:val="00451500"/>
    <w:rsid w:val="004558A1"/>
    <w:rsid w:val="004655A7"/>
    <w:rsid w:val="00472E60"/>
    <w:rsid w:val="00475471"/>
    <w:rsid w:val="004A748A"/>
    <w:rsid w:val="004A7829"/>
    <w:rsid w:val="004B47FE"/>
    <w:rsid w:val="004F35C4"/>
    <w:rsid w:val="005079BD"/>
    <w:rsid w:val="00515730"/>
    <w:rsid w:val="00523E11"/>
    <w:rsid w:val="005705BF"/>
    <w:rsid w:val="005A6BE5"/>
    <w:rsid w:val="005D7A0D"/>
    <w:rsid w:val="005F7F4C"/>
    <w:rsid w:val="006062EE"/>
    <w:rsid w:val="006300E2"/>
    <w:rsid w:val="00643400"/>
    <w:rsid w:val="00672F0C"/>
    <w:rsid w:val="0069245B"/>
    <w:rsid w:val="006B2EF4"/>
    <w:rsid w:val="006D617C"/>
    <w:rsid w:val="006D68BB"/>
    <w:rsid w:val="006D7974"/>
    <w:rsid w:val="00703BA6"/>
    <w:rsid w:val="00713523"/>
    <w:rsid w:val="00767E8F"/>
    <w:rsid w:val="00773224"/>
    <w:rsid w:val="007A1437"/>
    <w:rsid w:val="007D7448"/>
    <w:rsid w:val="007F1065"/>
    <w:rsid w:val="007F5C4B"/>
    <w:rsid w:val="00812796"/>
    <w:rsid w:val="008145DD"/>
    <w:rsid w:val="00820C53"/>
    <w:rsid w:val="00836752"/>
    <w:rsid w:val="00843345"/>
    <w:rsid w:val="008450D1"/>
    <w:rsid w:val="00860BB8"/>
    <w:rsid w:val="00864B6D"/>
    <w:rsid w:val="00871D84"/>
    <w:rsid w:val="008763D8"/>
    <w:rsid w:val="00893562"/>
    <w:rsid w:val="00894FE5"/>
    <w:rsid w:val="008C74F1"/>
    <w:rsid w:val="008E174F"/>
    <w:rsid w:val="008E1A29"/>
    <w:rsid w:val="008E221D"/>
    <w:rsid w:val="00956B2C"/>
    <w:rsid w:val="009C2690"/>
    <w:rsid w:val="009D55E6"/>
    <w:rsid w:val="009E587B"/>
    <w:rsid w:val="009E5A0D"/>
    <w:rsid w:val="00A049A0"/>
    <w:rsid w:val="00A747A6"/>
    <w:rsid w:val="00A871EE"/>
    <w:rsid w:val="00A91430"/>
    <w:rsid w:val="00AA1587"/>
    <w:rsid w:val="00AA2A51"/>
    <w:rsid w:val="00AC0976"/>
    <w:rsid w:val="00AC4108"/>
    <w:rsid w:val="00AD0B66"/>
    <w:rsid w:val="00AD159D"/>
    <w:rsid w:val="00AF422C"/>
    <w:rsid w:val="00B13157"/>
    <w:rsid w:val="00B255EC"/>
    <w:rsid w:val="00B46B99"/>
    <w:rsid w:val="00B53AD0"/>
    <w:rsid w:val="00B65B4F"/>
    <w:rsid w:val="00B912D5"/>
    <w:rsid w:val="00BB5D9D"/>
    <w:rsid w:val="00BC1FFC"/>
    <w:rsid w:val="00BD1452"/>
    <w:rsid w:val="00C301C3"/>
    <w:rsid w:val="00C30A12"/>
    <w:rsid w:val="00C76C19"/>
    <w:rsid w:val="00C77F68"/>
    <w:rsid w:val="00C82CF4"/>
    <w:rsid w:val="00C84E79"/>
    <w:rsid w:val="00C8595D"/>
    <w:rsid w:val="00C94464"/>
    <w:rsid w:val="00CA4420"/>
    <w:rsid w:val="00CD6ED9"/>
    <w:rsid w:val="00CE3C67"/>
    <w:rsid w:val="00D0211A"/>
    <w:rsid w:val="00D13E9A"/>
    <w:rsid w:val="00D14A46"/>
    <w:rsid w:val="00D406F6"/>
    <w:rsid w:val="00D62965"/>
    <w:rsid w:val="00D81F89"/>
    <w:rsid w:val="00D86F66"/>
    <w:rsid w:val="00DB009D"/>
    <w:rsid w:val="00E24C96"/>
    <w:rsid w:val="00E26EE7"/>
    <w:rsid w:val="00E3218A"/>
    <w:rsid w:val="00E429BB"/>
    <w:rsid w:val="00E43933"/>
    <w:rsid w:val="00E53290"/>
    <w:rsid w:val="00E77CA3"/>
    <w:rsid w:val="00E94180"/>
    <w:rsid w:val="00EC4E65"/>
    <w:rsid w:val="00ED70B5"/>
    <w:rsid w:val="00EF1694"/>
    <w:rsid w:val="00F06D96"/>
    <w:rsid w:val="00F26F6F"/>
    <w:rsid w:val="00F305E3"/>
    <w:rsid w:val="00F44C80"/>
    <w:rsid w:val="00F53D75"/>
    <w:rsid w:val="00F63DB1"/>
    <w:rsid w:val="00F91F39"/>
    <w:rsid w:val="00FA549B"/>
    <w:rsid w:val="00FB6F71"/>
    <w:rsid w:val="00FC0F4B"/>
    <w:rsid w:val="00FC54BB"/>
    <w:rsid w:val="00FD2E02"/>
    <w:rsid w:val="00FE5F6B"/>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D19FF2"/>
  <w15:docId w15:val="{4E66D9E9-6979-4841-A97D-A07621EE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8B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6D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D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D68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68B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D68BB"/>
    <w:rPr>
      <w:vertAlign w:val="superscript"/>
    </w:rPr>
  </w:style>
  <w:style w:type="character" w:styleId="CommentReference">
    <w:name w:val="annotation reference"/>
    <w:basedOn w:val="DefaultParagraphFont"/>
    <w:uiPriority w:val="99"/>
    <w:semiHidden/>
    <w:unhideWhenUsed/>
    <w:rsid w:val="00C84E79"/>
    <w:rPr>
      <w:sz w:val="16"/>
      <w:szCs w:val="16"/>
    </w:rPr>
  </w:style>
  <w:style w:type="paragraph" w:styleId="CommentText">
    <w:name w:val="annotation text"/>
    <w:basedOn w:val="Normal"/>
    <w:link w:val="CommentTextChar"/>
    <w:uiPriority w:val="99"/>
    <w:unhideWhenUsed/>
    <w:rsid w:val="00C84E79"/>
    <w:pPr>
      <w:spacing w:line="240" w:lineRule="auto"/>
    </w:pPr>
    <w:rPr>
      <w:sz w:val="20"/>
      <w:szCs w:val="20"/>
    </w:rPr>
  </w:style>
  <w:style w:type="character" w:customStyle="1" w:styleId="CommentTextChar">
    <w:name w:val="Comment Text Char"/>
    <w:basedOn w:val="DefaultParagraphFont"/>
    <w:link w:val="CommentText"/>
    <w:uiPriority w:val="99"/>
    <w:rsid w:val="00C84E7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4E79"/>
    <w:rPr>
      <w:b/>
      <w:bCs/>
    </w:rPr>
  </w:style>
  <w:style w:type="character" w:customStyle="1" w:styleId="CommentSubjectChar">
    <w:name w:val="Comment Subject Char"/>
    <w:basedOn w:val="CommentTextChar"/>
    <w:link w:val="CommentSubject"/>
    <w:uiPriority w:val="99"/>
    <w:semiHidden/>
    <w:rsid w:val="00C84E7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84E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E79"/>
    <w:rPr>
      <w:rFonts w:ascii="Segoe UI" w:eastAsia="Calibri" w:hAnsi="Segoe UI" w:cs="Segoe UI"/>
      <w:sz w:val="18"/>
      <w:szCs w:val="18"/>
    </w:rPr>
  </w:style>
  <w:style w:type="paragraph" w:styleId="Revision">
    <w:name w:val="Revision"/>
    <w:hidden/>
    <w:uiPriority w:val="99"/>
    <w:semiHidden/>
    <w:rsid w:val="001B70EF"/>
    <w:rPr>
      <w:rFonts w:ascii="Calibri" w:eastAsia="Calibri" w:hAnsi="Calibri" w:cs="Times New Roman"/>
      <w:sz w:val="22"/>
    </w:rPr>
  </w:style>
  <w:style w:type="character" w:styleId="Hyperlink">
    <w:name w:val="Hyperlink"/>
    <w:basedOn w:val="DefaultParagraphFont"/>
    <w:uiPriority w:val="99"/>
    <w:unhideWhenUsed/>
    <w:rsid w:val="00AC0976"/>
    <w:rPr>
      <w:color w:val="0563C1" w:themeColor="hyperlink"/>
      <w:u w:val="single"/>
    </w:rPr>
  </w:style>
  <w:style w:type="character" w:styleId="FollowedHyperlink">
    <w:name w:val="FollowedHyperlink"/>
    <w:basedOn w:val="DefaultParagraphFont"/>
    <w:uiPriority w:val="99"/>
    <w:semiHidden/>
    <w:unhideWhenUsed/>
    <w:rsid w:val="00AD159D"/>
    <w:rPr>
      <w:color w:val="954F72" w:themeColor="followedHyperlink"/>
      <w:u w:val="single"/>
    </w:rPr>
  </w:style>
  <w:style w:type="paragraph" w:styleId="Header">
    <w:name w:val="header"/>
    <w:basedOn w:val="Normal"/>
    <w:link w:val="HeaderChar"/>
    <w:uiPriority w:val="99"/>
    <w:unhideWhenUsed/>
    <w:rsid w:val="00AD159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D159D"/>
    <w:rPr>
      <w:rFonts w:ascii="Calibri" w:eastAsia="Calibri" w:hAnsi="Calibri" w:cs="Times New Roman"/>
      <w:sz w:val="22"/>
    </w:rPr>
  </w:style>
  <w:style w:type="paragraph" w:styleId="Footer">
    <w:name w:val="footer"/>
    <w:basedOn w:val="Normal"/>
    <w:link w:val="FooterChar"/>
    <w:uiPriority w:val="99"/>
    <w:unhideWhenUsed/>
    <w:rsid w:val="00AD15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D159D"/>
    <w:rPr>
      <w:rFonts w:ascii="Calibri" w:eastAsia="Calibri" w:hAnsi="Calibri" w:cs="Times New Roman"/>
      <w:sz w:val="22"/>
    </w:rPr>
  </w:style>
  <w:style w:type="paragraph" w:styleId="ListParagraph">
    <w:name w:val="List Paragraph"/>
    <w:basedOn w:val="Normal"/>
    <w:uiPriority w:val="34"/>
    <w:qFormat/>
    <w:rsid w:val="004655A7"/>
    <w:pPr>
      <w:ind w:left="720"/>
      <w:contextualSpacing/>
    </w:pPr>
  </w:style>
  <w:style w:type="character" w:customStyle="1" w:styleId="UnresolvedMention">
    <w:name w:val="Unresolved Mention"/>
    <w:basedOn w:val="DefaultParagraphFont"/>
    <w:uiPriority w:val="99"/>
    <w:semiHidden/>
    <w:unhideWhenUsed/>
    <w:rsid w:val="00475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256223">
      <w:bodyDiv w:val="1"/>
      <w:marLeft w:val="0"/>
      <w:marRight w:val="0"/>
      <w:marTop w:val="0"/>
      <w:marBottom w:val="0"/>
      <w:divBdr>
        <w:top w:val="none" w:sz="0" w:space="0" w:color="auto"/>
        <w:left w:val="none" w:sz="0" w:space="0" w:color="auto"/>
        <w:bottom w:val="none" w:sz="0" w:space="0" w:color="auto"/>
        <w:right w:val="none" w:sz="0" w:space="0" w:color="auto"/>
      </w:divBdr>
    </w:div>
    <w:div w:id="1455252684">
      <w:bodyDiv w:val="1"/>
      <w:marLeft w:val="0"/>
      <w:marRight w:val="0"/>
      <w:marTop w:val="0"/>
      <w:marBottom w:val="0"/>
      <w:divBdr>
        <w:top w:val="none" w:sz="0" w:space="0" w:color="auto"/>
        <w:left w:val="none" w:sz="0" w:space="0" w:color="auto"/>
        <w:bottom w:val="none" w:sz="0" w:space="0" w:color="auto"/>
        <w:right w:val="none" w:sz="0" w:space="0" w:color="auto"/>
      </w:divBdr>
    </w:div>
    <w:div w:id="1619948528">
      <w:bodyDiv w:val="1"/>
      <w:marLeft w:val="0"/>
      <w:marRight w:val="0"/>
      <w:marTop w:val="0"/>
      <w:marBottom w:val="0"/>
      <w:divBdr>
        <w:top w:val="none" w:sz="0" w:space="0" w:color="auto"/>
        <w:left w:val="none" w:sz="0" w:space="0" w:color="auto"/>
        <w:bottom w:val="none" w:sz="0" w:space="0" w:color="auto"/>
        <w:right w:val="none" w:sz="0" w:space="0" w:color="auto"/>
      </w:divBdr>
    </w:div>
    <w:div w:id="17858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5AAF3-C555-4F5C-B780-2CADFB35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265</Words>
  <Characters>1822</Characters>
  <Application>Microsoft Office Word</Application>
  <DocSecurity>0</DocSecurity>
  <Lines>607</Lines>
  <Paragraphs>160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Elīna Puriņa</cp:lastModifiedBy>
  <cp:revision>5</cp:revision>
  <cp:lastPrinted>2018-11-16T12:04:00Z</cp:lastPrinted>
  <dcterms:created xsi:type="dcterms:W3CDTF">2021-05-31T13:26:00Z</dcterms:created>
  <dcterms:modified xsi:type="dcterms:W3CDTF">2021-06-04T09:32:00Z</dcterms:modified>
</cp:coreProperties>
</file>