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DFEE" w14:textId="6943069E" w:rsidR="00D45D98" w:rsidRPr="00DE29CC" w:rsidRDefault="00D45D98" w:rsidP="00D45D98">
      <w:pPr>
        <w:keepNext/>
        <w:spacing w:line="240" w:lineRule="auto"/>
        <w:jc w:val="center"/>
        <w:rPr>
          <w:rFonts w:ascii="Times New Roman" w:eastAsiaTheme="minorHAnsi" w:hAnsi="Times New Roman"/>
          <w:b/>
          <w:bCs/>
          <w:sz w:val="18"/>
          <w:szCs w:val="18"/>
        </w:rPr>
      </w:pPr>
      <w:r w:rsidRPr="00DE29CC">
        <w:rPr>
          <w:rFonts w:ascii="Times New Roman" w:eastAsiaTheme="minorHAnsi" w:hAnsi="Times New Roman"/>
          <w:b/>
          <w:bCs/>
          <w:sz w:val="18"/>
          <w:szCs w:val="18"/>
        </w:rPr>
        <w:t xml:space="preserve">Tabula </w:t>
      </w:r>
      <w:r w:rsidRPr="00DE29CC">
        <w:rPr>
          <w:rFonts w:ascii="Times New Roman" w:eastAsiaTheme="minorHAnsi" w:hAnsi="Times New Roman"/>
          <w:b/>
          <w:bCs/>
          <w:sz w:val="18"/>
          <w:szCs w:val="18"/>
        </w:rPr>
        <w:fldChar w:fldCharType="begin"/>
      </w:r>
      <w:r w:rsidRPr="00DE29CC">
        <w:rPr>
          <w:rFonts w:ascii="Times New Roman" w:eastAsiaTheme="minorHAnsi" w:hAnsi="Times New Roman"/>
          <w:b/>
          <w:bCs/>
          <w:sz w:val="18"/>
          <w:szCs w:val="18"/>
        </w:rPr>
        <w:instrText xml:space="preserve"> SEQ Tabula \* ARABIC </w:instrText>
      </w:r>
      <w:r w:rsidRPr="00DE29CC">
        <w:rPr>
          <w:rFonts w:ascii="Times New Roman" w:eastAsiaTheme="minorHAnsi" w:hAnsi="Times New Roman"/>
          <w:b/>
          <w:bCs/>
          <w:sz w:val="18"/>
          <w:szCs w:val="18"/>
        </w:rPr>
        <w:fldChar w:fldCharType="separate"/>
      </w:r>
      <w:r w:rsidR="00EE23AF">
        <w:rPr>
          <w:rFonts w:ascii="Times New Roman" w:eastAsiaTheme="minorHAnsi" w:hAnsi="Times New Roman"/>
          <w:b/>
          <w:bCs/>
          <w:noProof/>
          <w:sz w:val="18"/>
          <w:szCs w:val="18"/>
        </w:rPr>
        <w:t>1</w:t>
      </w:r>
      <w:r w:rsidRPr="00DE29CC">
        <w:rPr>
          <w:rFonts w:ascii="Times New Roman" w:eastAsiaTheme="minorHAnsi" w:hAnsi="Times New Roman"/>
          <w:b/>
          <w:bCs/>
          <w:sz w:val="18"/>
          <w:szCs w:val="18"/>
        </w:rPr>
        <w:fldChar w:fldCharType="end"/>
      </w:r>
      <w:r w:rsidRPr="00DE29CC">
        <w:rPr>
          <w:rFonts w:ascii="Times New Roman" w:eastAsiaTheme="minorHAnsi" w:hAnsi="Times New Roman"/>
          <w:b/>
          <w:bCs/>
          <w:sz w:val="18"/>
          <w:szCs w:val="18"/>
        </w:rPr>
        <w:t xml:space="preserve"> Rādītāju pase investīciju prioritātes specifiskajiem mērķiem</w:t>
      </w:r>
    </w:p>
    <w:tbl>
      <w:tblPr>
        <w:tblStyle w:val="TableGrid1"/>
        <w:tblW w:w="5000" w:type="pct"/>
        <w:tblLook w:val="04A0" w:firstRow="1" w:lastRow="0" w:firstColumn="1" w:lastColumn="0" w:noHBand="0" w:noVBand="1"/>
      </w:tblPr>
      <w:tblGrid>
        <w:gridCol w:w="1116"/>
        <w:gridCol w:w="1177"/>
        <w:gridCol w:w="1247"/>
        <w:gridCol w:w="4678"/>
        <w:gridCol w:w="5730"/>
      </w:tblGrid>
      <w:tr w:rsidR="005F4853" w:rsidRPr="00DE29CC" w14:paraId="1291C20A" w14:textId="77777777" w:rsidTr="25018189">
        <w:tc>
          <w:tcPr>
            <w:tcW w:w="400" w:type="pct"/>
          </w:tcPr>
          <w:p w14:paraId="1FD956E6" w14:textId="77777777" w:rsidR="005F4853" w:rsidRPr="00DE29CC" w:rsidRDefault="005F4853" w:rsidP="00055B28">
            <w:pPr>
              <w:spacing w:after="0" w:line="240" w:lineRule="auto"/>
              <w:jc w:val="center"/>
              <w:rPr>
                <w:rFonts w:ascii="Times New Roman" w:eastAsiaTheme="minorHAnsi" w:hAnsi="Times New Roman"/>
                <w:b/>
                <w:sz w:val="18"/>
                <w:szCs w:val="18"/>
              </w:rPr>
            </w:pPr>
            <w:r w:rsidRPr="00DE29CC">
              <w:rPr>
                <w:rFonts w:ascii="Times New Roman" w:eastAsiaTheme="minorHAnsi" w:hAnsi="Times New Roman"/>
                <w:b/>
                <w:sz w:val="18"/>
                <w:szCs w:val="18"/>
              </w:rPr>
              <w:t>Prioritārais virziens</w:t>
            </w:r>
          </w:p>
        </w:tc>
        <w:tc>
          <w:tcPr>
            <w:tcW w:w="422" w:type="pct"/>
          </w:tcPr>
          <w:p w14:paraId="6FE77A30" w14:textId="1D8E5D05" w:rsidR="005F4853" w:rsidRPr="00DE29CC" w:rsidRDefault="00D820FB" w:rsidP="00055B28">
            <w:pPr>
              <w:spacing w:after="0" w:line="240" w:lineRule="auto"/>
              <w:jc w:val="center"/>
              <w:rPr>
                <w:rFonts w:ascii="Times New Roman" w:eastAsiaTheme="minorHAnsi" w:hAnsi="Times New Roman"/>
                <w:b/>
                <w:sz w:val="18"/>
                <w:szCs w:val="18"/>
              </w:rPr>
            </w:pPr>
            <w:r>
              <w:rPr>
                <w:rFonts w:ascii="Times New Roman" w:eastAsiaTheme="minorHAnsi" w:hAnsi="Times New Roman"/>
                <w:b/>
                <w:sz w:val="18"/>
                <w:szCs w:val="18"/>
              </w:rPr>
              <w:t>Ieguldījumu</w:t>
            </w:r>
            <w:r w:rsidR="005F4853" w:rsidRPr="00DE29CC">
              <w:rPr>
                <w:rFonts w:ascii="Times New Roman" w:eastAsiaTheme="minorHAnsi" w:hAnsi="Times New Roman"/>
                <w:b/>
                <w:sz w:val="18"/>
                <w:szCs w:val="18"/>
              </w:rPr>
              <w:t xml:space="preserve"> prioritātes nosaukums</w:t>
            </w:r>
          </w:p>
        </w:tc>
        <w:tc>
          <w:tcPr>
            <w:tcW w:w="447" w:type="pct"/>
          </w:tcPr>
          <w:p w14:paraId="1E477A5A" w14:textId="77777777" w:rsidR="005F4853" w:rsidRPr="00DE29CC" w:rsidRDefault="005F4853" w:rsidP="00055B28">
            <w:pPr>
              <w:spacing w:after="0" w:line="240" w:lineRule="auto"/>
              <w:jc w:val="center"/>
              <w:rPr>
                <w:rFonts w:ascii="Times New Roman" w:eastAsiaTheme="minorHAnsi" w:hAnsi="Times New Roman"/>
                <w:b/>
                <w:sz w:val="18"/>
                <w:szCs w:val="18"/>
              </w:rPr>
            </w:pPr>
            <w:r w:rsidRPr="00DE29CC">
              <w:rPr>
                <w:rFonts w:ascii="Times New Roman" w:eastAsiaTheme="minorHAnsi" w:hAnsi="Times New Roman"/>
                <w:b/>
                <w:sz w:val="18"/>
                <w:szCs w:val="18"/>
              </w:rPr>
              <w:t>Specifiskie atbalsta mērķi (SAM)</w:t>
            </w:r>
          </w:p>
        </w:tc>
        <w:tc>
          <w:tcPr>
            <w:tcW w:w="1677" w:type="pct"/>
          </w:tcPr>
          <w:p w14:paraId="372D8C5D" w14:textId="77777777" w:rsidR="005F4853" w:rsidRPr="00DE29CC" w:rsidRDefault="005F4853" w:rsidP="00055B28">
            <w:pPr>
              <w:spacing w:after="0" w:line="240" w:lineRule="auto"/>
              <w:jc w:val="center"/>
              <w:rPr>
                <w:rFonts w:ascii="Times New Roman" w:eastAsiaTheme="minorHAnsi" w:hAnsi="Times New Roman"/>
                <w:b/>
                <w:sz w:val="18"/>
                <w:szCs w:val="18"/>
              </w:rPr>
            </w:pPr>
            <w:r w:rsidRPr="00DE29CC">
              <w:rPr>
                <w:rFonts w:ascii="Times New Roman" w:eastAsiaTheme="minorHAnsi" w:hAnsi="Times New Roman"/>
                <w:b/>
                <w:sz w:val="18"/>
                <w:szCs w:val="18"/>
              </w:rPr>
              <w:t>Rezultāta rādītāji</w:t>
            </w:r>
          </w:p>
        </w:tc>
        <w:tc>
          <w:tcPr>
            <w:tcW w:w="2054" w:type="pct"/>
          </w:tcPr>
          <w:p w14:paraId="696E9211" w14:textId="77777777" w:rsidR="005F4853" w:rsidRPr="00DE29CC" w:rsidRDefault="005F4853" w:rsidP="00055B28">
            <w:pPr>
              <w:spacing w:after="0" w:line="240" w:lineRule="auto"/>
              <w:jc w:val="center"/>
              <w:rPr>
                <w:rFonts w:ascii="Times New Roman" w:eastAsiaTheme="minorHAnsi" w:hAnsi="Times New Roman"/>
                <w:b/>
                <w:sz w:val="18"/>
                <w:szCs w:val="18"/>
              </w:rPr>
            </w:pPr>
            <w:r w:rsidRPr="00DE29CC">
              <w:rPr>
                <w:rFonts w:ascii="Times New Roman" w:eastAsiaTheme="minorHAnsi" w:hAnsi="Times New Roman"/>
                <w:b/>
                <w:sz w:val="18"/>
                <w:szCs w:val="18"/>
              </w:rPr>
              <w:t>Iznākuma rādītāji (IR)</w:t>
            </w:r>
          </w:p>
        </w:tc>
      </w:tr>
      <w:tr w:rsidR="005F4853" w:rsidRPr="00DE29CC" w14:paraId="7D6CB6A0" w14:textId="77777777" w:rsidTr="25018189">
        <w:trPr>
          <w:trHeight w:val="3534"/>
        </w:trPr>
        <w:tc>
          <w:tcPr>
            <w:tcW w:w="400" w:type="pct"/>
          </w:tcPr>
          <w:p w14:paraId="7CCDB2CD" w14:textId="38BF276A" w:rsidR="005F4853" w:rsidRPr="00DE29CC" w:rsidRDefault="00D820FB" w:rsidP="003C3043">
            <w:pPr>
              <w:spacing w:after="0" w:line="240" w:lineRule="auto"/>
              <w:jc w:val="both"/>
              <w:rPr>
                <w:rFonts w:ascii="Times New Roman" w:eastAsiaTheme="minorHAnsi" w:hAnsi="Times New Roman"/>
                <w:sz w:val="18"/>
                <w:szCs w:val="18"/>
              </w:rPr>
            </w:pPr>
            <w:r w:rsidRPr="00D820FB">
              <w:rPr>
                <w:rFonts w:ascii="Times New Roman" w:eastAsiaTheme="minorHAnsi" w:hAnsi="Times New Roman"/>
                <w:sz w:val="18"/>
                <w:szCs w:val="18"/>
              </w:rPr>
              <w:t>13. Pasākumi Covid-19 pandēmijas seku mazināšanai (ERAF)</w:t>
            </w:r>
          </w:p>
        </w:tc>
        <w:tc>
          <w:tcPr>
            <w:tcW w:w="422" w:type="pct"/>
          </w:tcPr>
          <w:p w14:paraId="7A515303" w14:textId="50303632" w:rsidR="005F4853" w:rsidRPr="00DE29CC" w:rsidRDefault="00D820FB" w:rsidP="00D820FB">
            <w:pPr>
              <w:spacing w:after="0" w:line="240" w:lineRule="auto"/>
              <w:jc w:val="both"/>
              <w:rPr>
                <w:rFonts w:ascii="Times New Roman" w:eastAsiaTheme="minorHAnsi" w:hAnsi="Times New Roman"/>
                <w:sz w:val="18"/>
                <w:szCs w:val="18"/>
              </w:rPr>
            </w:pPr>
            <w:r w:rsidRPr="00D820FB">
              <w:rPr>
                <w:rFonts w:ascii="Times New Roman" w:eastAsiaTheme="minorHAnsi" w:hAnsi="Times New Roman"/>
                <w:sz w:val="18"/>
                <w:szCs w:val="18"/>
              </w:rPr>
              <w:t>13.1.</w:t>
            </w:r>
            <w:r>
              <w:rPr>
                <w:rFonts w:ascii="Times New Roman" w:eastAsiaTheme="minorHAnsi" w:hAnsi="Times New Roman"/>
                <w:sz w:val="18"/>
                <w:szCs w:val="18"/>
              </w:rPr>
              <w:t xml:space="preserve"> </w:t>
            </w:r>
            <w:r w:rsidRPr="00D820FB">
              <w:rPr>
                <w:rFonts w:ascii="Times New Roman" w:eastAsiaTheme="minorHAnsi" w:hAnsi="Times New Roman"/>
                <w:sz w:val="18"/>
                <w:szCs w:val="18"/>
              </w:rPr>
              <w:t xml:space="preserve">Palīdzēt veicināt ar Covid-19 pandēmiju un tās sociālajām sekām saistītās krīzes seku pārvarēšanu un sagatavoties zaļai, digitālai un noturīgai ekonomikas atveseļošanai </w:t>
            </w:r>
            <w:r w:rsidRPr="00D820FB">
              <w:rPr>
                <w:rFonts w:ascii="Times New Roman" w:eastAsiaTheme="minorHAnsi" w:hAnsi="Times New Roman"/>
                <w:bCs/>
                <w:sz w:val="18"/>
                <w:szCs w:val="18"/>
              </w:rPr>
              <w:t>(ERAF</w:t>
            </w:r>
            <w:r w:rsidRPr="00D820FB">
              <w:rPr>
                <w:rFonts w:ascii="Times New Roman" w:eastAsiaTheme="minorHAnsi" w:hAnsi="Times New Roman"/>
                <w:sz w:val="18"/>
                <w:szCs w:val="18"/>
              </w:rPr>
              <w:t>)</w:t>
            </w:r>
            <w:r w:rsidR="005F4853" w:rsidRPr="00DE29CC">
              <w:rPr>
                <w:rFonts w:ascii="Times New Roman" w:eastAsiaTheme="minorHAnsi" w:hAnsi="Times New Roman"/>
                <w:sz w:val="18"/>
                <w:szCs w:val="18"/>
              </w:rPr>
              <w:t xml:space="preserve"> </w:t>
            </w:r>
          </w:p>
        </w:tc>
        <w:tc>
          <w:tcPr>
            <w:tcW w:w="447" w:type="pct"/>
          </w:tcPr>
          <w:p w14:paraId="6684DFB2" w14:textId="1D633823" w:rsidR="00D820FB" w:rsidRPr="00D820FB" w:rsidRDefault="00D820FB" w:rsidP="00D820FB">
            <w:pPr>
              <w:spacing w:after="0" w:line="240" w:lineRule="auto"/>
              <w:jc w:val="both"/>
              <w:rPr>
                <w:rFonts w:ascii="Times New Roman" w:eastAsiaTheme="minorHAnsi" w:hAnsi="Times New Roman"/>
                <w:b/>
                <w:bCs/>
                <w:sz w:val="18"/>
                <w:szCs w:val="18"/>
              </w:rPr>
            </w:pPr>
            <w:r w:rsidRPr="00D820FB">
              <w:rPr>
                <w:rFonts w:ascii="Times New Roman" w:eastAsiaTheme="minorHAnsi" w:hAnsi="Times New Roman"/>
                <w:b/>
                <w:bCs/>
                <w:sz w:val="18"/>
                <w:szCs w:val="18"/>
              </w:rPr>
              <w:t>13.1.</w:t>
            </w:r>
            <w:r w:rsidR="0052508C">
              <w:rPr>
                <w:rFonts w:ascii="Times New Roman" w:eastAsiaTheme="minorHAnsi" w:hAnsi="Times New Roman"/>
                <w:b/>
                <w:bCs/>
                <w:sz w:val="18"/>
                <w:szCs w:val="18"/>
              </w:rPr>
              <w:t>6</w:t>
            </w:r>
            <w:r w:rsidRPr="00D820FB">
              <w:rPr>
                <w:rFonts w:ascii="Times New Roman" w:eastAsiaTheme="minorHAnsi" w:hAnsi="Times New Roman"/>
                <w:b/>
                <w:bCs/>
                <w:sz w:val="18"/>
                <w:szCs w:val="18"/>
              </w:rPr>
              <w:t>.</w:t>
            </w:r>
            <w:r w:rsidR="0043699F">
              <w:rPr>
                <w:rFonts w:ascii="Times New Roman" w:eastAsiaTheme="minorHAnsi" w:hAnsi="Times New Roman"/>
                <w:b/>
                <w:bCs/>
                <w:sz w:val="18"/>
                <w:szCs w:val="18"/>
              </w:rPr>
              <w:t xml:space="preserve"> </w:t>
            </w:r>
            <w:r w:rsidRPr="00D820FB">
              <w:rPr>
                <w:rFonts w:ascii="Times New Roman" w:eastAsiaTheme="minorHAnsi" w:hAnsi="Times New Roman"/>
                <w:b/>
                <w:bCs/>
                <w:sz w:val="18"/>
                <w:szCs w:val="18"/>
              </w:rPr>
              <w:t>SAM</w:t>
            </w:r>
            <w:r w:rsidRPr="00D820FB">
              <w:rPr>
                <w:rFonts w:ascii="Times New Roman" w:eastAsiaTheme="minorHAnsi" w:hAnsi="Times New Roman"/>
                <w:sz w:val="18"/>
                <w:szCs w:val="18"/>
              </w:rPr>
              <w:t xml:space="preserve">: </w:t>
            </w:r>
            <w:r w:rsidRPr="00D820FB">
              <w:rPr>
                <w:rFonts w:ascii="Times New Roman" w:eastAsiaTheme="minorHAnsi" w:hAnsi="Times New Roman"/>
                <w:b/>
                <w:sz w:val="18"/>
                <w:szCs w:val="18"/>
              </w:rPr>
              <w:t>a</w:t>
            </w:r>
            <w:r w:rsidRPr="00D820FB">
              <w:rPr>
                <w:rFonts w:ascii="Times New Roman" w:eastAsiaTheme="minorHAnsi" w:hAnsi="Times New Roman"/>
                <w:b/>
                <w:bCs/>
                <w:sz w:val="18"/>
                <w:szCs w:val="18"/>
              </w:rPr>
              <w:t>tveseļoš</w:t>
            </w:r>
            <w:r w:rsidR="00C042EA">
              <w:rPr>
                <w:rFonts w:ascii="Times New Roman" w:eastAsiaTheme="minorHAnsi" w:hAnsi="Times New Roman"/>
                <w:b/>
                <w:bCs/>
                <w:sz w:val="18"/>
                <w:szCs w:val="18"/>
              </w:rPr>
              <w:t>anas pasākumi ekonomikas nozarē</w:t>
            </w:r>
            <w:r w:rsidRPr="00D820FB">
              <w:rPr>
                <w:rFonts w:ascii="Times New Roman" w:eastAsiaTheme="minorHAnsi" w:hAnsi="Times New Roman"/>
                <w:b/>
                <w:bCs/>
                <w:sz w:val="18"/>
                <w:szCs w:val="18"/>
              </w:rPr>
              <w:t xml:space="preserve"> </w:t>
            </w:r>
            <w:r w:rsidR="0052508C">
              <w:rPr>
                <w:rFonts w:ascii="Times New Roman" w:eastAsiaTheme="minorHAnsi" w:hAnsi="Times New Roman"/>
                <w:b/>
                <w:bCs/>
                <w:sz w:val="18"/>
                <w:szCs w:val="18"/>
              </w:rPr>
              <w:t xml:space="preserve">- </w:t>
            </w:r>
            <w:r w:rsidR="00822305" w:rsidRPr="00822305">
              <w:rPr>
                <w:rFonts w:ascii="Times New Roman" w:eastAsiaTheme="minorHAnsi" w:hAnsi="Times New Roman"/>
                <w:b/>
                <w:bCs/>
                <w:sz w:val="18"/>
                <w:szCs w:val="18"/>
              </w:rPr>
              <w:t>nodarbināto apmācības (ERAF).</w:t>
            </w:r>
          </w:p>
          <w:p w14:paraId="1CEA93B3" w14:textId="204A8960" w:rsidR="005F4853" w:rsidRPr="00DE29CC" w:rsidRDefault="005F4853" w:rsidP="003C3043">
            <w:pPr>
              <w:spacing w:after="0" w:line="240" w:lineRule="auto"/>
              <w:jc w:val="both"/>
              <w:rPr>
                <w:rFonts w:ascii="Times New Roman" w:eastAsiaTheme="minorHAnsi" w:hAnsi="Times New Roman"/>
                <w:sz w:val="18"/>
                <w:szCs w:val="18"/>
              </w:rPr>
            </w:pPr>
          </w:p>
        </w:tc>
        <w:tc>
          <w:tcPr>
            <w:tcW w:w="1677" w:type="pct"/>
          </w:tcPr>
          <w:p w14:paraId="4F0017AE" w14:textId="77777777" w:rsidR="009F6564" w:rsidRPr="00DD2CE4" w:rsidRDefault="00DE4A2D" w:rsidP="00E060EF">
            <w:pPr>
              <w:spacing w:after="0" w:line="240" w:lineRule="auto"/>
              <w:jc w:val="both"/>
              <w:rPr>
                <w:rFonts w:ascii="Times New Roman" w:hAnsi="Times New Roman"/>
                <w:b/>
                <w:color w:val="000000" w:themeColor="text1"/>
                <w:sz w:val="18"/>
                <w:szCs w:val="18"/>
              </w:rPr>
            </w:pPr>
            <w:r w:rsidRPr="00DD2CE4">
              <w:rPr>
                <w:rFonts w:ascii="Times New Roman" w:hAnsi="Times New Roman"/>
                <w:i/>
                <w:color w:val="000000" w:themeColor="text1"/>
                <w:sz w:val="18"/>
                <w:szCs w:val="18"/>
              </w:rPr>
              <w:t>Nosaukums un mērvienība</w:t>
            </w:r>
            <w:r w:rsidRPr="00DD2CE4">
              <w:rPr>
                <w:rFonts w:ascii="Times New Roman" w:hAnsi="Times New Roman"/>
                <w:bCs/>
                <w:i/>
                <w:color w:val="000000" w:themeColor="text1"/>
                <w:sz w:val="18"/>
                <w:szCs w:val="18"/>
              </w:rPr>
              <w:t>:</w:t>
            </w:r>
            <w:r w:rsidRPr="00DD2CE4">
              <w:rPr>
                <w:rFonts w:ascii="Times New Roman" w:hAnsi="Times New Roman"/>
                <w:bCs/>
                <w:color w:val="000000" w:themeColor="text1"/>
                <w:sz w:val="18"/>
                <w:szCs w:val="18"/>
              </w:rPr>
              <w:t xml:space="preserve"> </w:t>
            </w:r>
          </w:p>
          <w:p w14:paraId="128FEF35" w14:textId="53ADD638" w:rsidR="00DE4A2D" w:rsidRPr="00DD2CE4" w:rsidRDefault="00477905" w:rsidP="00E060EF">
            <w:pPr>
              <w:spacing w:after="0" w:line="240" w:lineRule="auto"/>
              <w:jc w:val="both"/>
              <w:rPr>
                <w:rFonts w:ascii="Times New Roman" w:hAnsi="Times New Roman"/>
                <w:b/>
                <w:color w:val="000000" w:themeColor="text1"/>
                <w:sz w:val="18"/>
                <w:szCs w:val="18"/>
              </w:rPr>
            </w:pPr>
            <w:r w:rsidRPr="00DD2CE4">
              <w:rPr>
                <w:rFonts w:ascii="Times New Roman" w:eastAsia="Times New Roman" w:hAnsi="Times New Roman"/>
                <w:b/>
                <w:bCs/>
                <w:color w:val="000000" w:themeColor="text1"/>
                <w:sz w:val="18"/>
                <w:szCs w:val="18"/>
              </w:rPr>
              <w:t>r.13.1.</w:t>
            </w:r>
            <w:r w:rsidR="0080716C" w:rsidRPr="00DD2CE4">
              <w:rPr>
                <w:rFonts w:ascii="Times New Roman" w:eastAsia="Times New Roman" w:hAnsi="Times New Roman"/>
                <w:b/>
                <w:bCs/>
                <w:color w:val="000000" w:themeColor="text1"/>
                <w:sz w:val="18"/>
                <w:szCs w:val="18"/>
              </w:rPr>
              <w:t>6</w:t>
            </w:r>
            <w:r w:rsidRPr="00DD2CE4">
              <w:rPr>
                <w:rFonts w:ascii="Times New Roman" w:eastAsia="Times New Roman" w:hAnsi="Times New Roman"/>
                <w:b/>
                <w:bCs/>
                <w:color w:val="000000" w:themeColor="text1"/>
                <w:sz w:val="18"/>
                <w:szCs w:val="18"/>
              </w:rPr>
              <w:t>.a</w:t>
            </w:r>
            <w:r w:rsidR="0080716C" w:rsidRPr="00DD2CE4">
              <w:rPr>
                <w:rFonts w:ascii="Times New Roman" w:hAnsi="Times New Roman"/>
                <w:b/>
                <w:color w:val="000000" w:themeColor="text1"/>
                <w:sz w:val="18"/>
                <w:szCs w:val="18"/>
              </w:rPr>
              <w:t xml:space="preserve"> Inovatīvo</w:t>
            </w:r>
            <w:r w:rsidR="00DE4A2D" w:rsidRPr="00DD2CE4">
              <w:rPr>
                <w:rFonts w:ascii="Times New Roman" w:hAnsi="Times New Roman"/>
                <w:b/>
                <w:color w:val="000000" w:themeColor="text1"/>
                <w:sz w:val="18"/>
                <w:szCs w:val="18"/>
              </w:rPr>
              <w:t xml:space="preserve"> komersant</w:t>
            </w:r>
            <w:r w:rsidR="0080716C" w:rsidRPr="00DD2CE4">
              <w:rPr>
                <w:rFonts w:ascii="Times New Roman" w:hAnsi="Times New Roman"/>
                <w:b/>
                <w:color w:val="000000" w:themeColor="text1"/>
                <w:sz w:val="18"/>
                <w:szCs w:val="18"/>
              </w:rPr>
              <w:t>u īpatsvars</w:t>
            </w:r>
            <w:r w:rsidR="00563657" w:rsidRPr="00DD2CE4">
              <w:rPr>
                <w:rFonts w:ascii="Times New Roman" w:hAnsi="Times New Roman"/>
                <w:b/>
                <w:color w:val="000000" w:themeColor="text1"/>
                <w:sz w:val="18"/>
                <w:szCs w:val="18"/>
              </w:rPr>
              <w:t>,</w:t>
            </w:r>
            <w:r w:rsidR="000F157B" w:rsidRPr="00DD2CE4">
              <w:rPr>
                <w:rFonts w:ascii="Times New Roman" w:hAnsi="Times New Roman"/>
                <w:b/>
                <w:color w:val="000000" w:themeColor="text1"/>
                <w:sz w:val="18"/>
                <w:szCs w:val="18"/>
              </w:rPr>
              <w:t xml:space="preserve"> </w:t>
            </w:r>
            <w:r w:rsidR="00563657" w:rsidRPr="00DD2CE4">
              <w:rPr>
                <w:rFonts w:ascii="Times New Roman" w:hAnsi="Times New Roman"/>
                <w:b/>
                <w:color w:val="000000" w:themeColor="text1"/>
                <w:sz w:val="18"/>
                <w:szCs w:val="18"/>
              </w:rPr>
              <w:t>%</w:t>
            </w:r>
          </w:p>
          <w:p w14:paraId="36D87389" w14:textId="77777777" w:rsidR="00DE4A2D" w:rsidRPr="00DD2CE4" w:rsidRDefault="00DE4A2D" w:rsidP="00E060EF">
            <w:pPr>
              <w:spacing w:after="0" w:line="240" w:lineRule="auto"/>
              <w:jc w:val="both"/>
              <w:rPr>
                <w:rFonts w:ascii="Times New Roman" w:hAnsi="Times New Roman"/>
                <w:color w:val="000000" w:themeColor="text1"/>
                <w:sz w:val="18"/>
                <w:szCs w:val="18"/>
              </w:rPr>
            </w:pPr>
          </w:p>
          <w:p w14:paraId="28D519D9" w14:textId="5C54AAB6" w:rsidR="00DE4A2D" w:rsidRPr="00DD2CE4" w:rsidRDefault="00DE4A2D" w:rsidP="00E060EF">
            <w:pPr>
              <w:spacing w:after="0" w:line="240" w:lineRule="auto"/>
              <w:jc w:val="both"/>
              <w:rPr>
                <w:rFonts w:ascii="Times New Roman" w:hAnsi="Times New Roman"/>
                <w:color w:val="000000" w:themeColor="text1"/>
                <w:sz w:val="18"/>
                <w:szCs w:val="18"/>
              </w:rPr>
            </w:pPr>
            <w:r w:rsidRPr="00DD2CE4">
              <w:rPr>
                <w:rFonts w:ascii="Times New Roman" w:hAnsi="Times New Roman"/>
                <w:i/>
                <w:iCs/>
                <w:color w:val="000000" w:themeColor="text1"/>
                <w:sz w:val="18"/>
                <w:szCs w:val="18"/>
              </w:rPr>
              <w:t>Definīcija</w:t>
            </w:r>
            <w:bookmarkStart w:id="0" w:name="_Ref526335223"/>
            <w:r w:rsidRPr="00DD2CE4">
              <w:rPr>
                <w:rStyle w:val="FootnoteReference"/>
                <w:rFonts w:ascii="Times New Roman" w:hAnsi="Times New Roman"/>
                <w:i/>
                <w:iCs/>
                <w:color w:val="000000" w:themeColor="text1"/>
                <w:sz w:val="18"/>
                <w:szCs w:val="18"/>
              </w:rPr>
              <w:footnoteReference w:id="2"/>
            </w:r>
            <w:bookmarkEnd w:id="0"/>
            <w:r w:rsidRPr="00DD2CE4">
              <w:rPr>
                <w:rFonts w:ascii="Times New Roman" w:hAnsi="Times New Roman"/>
                <w:i/>
                <w:iCs/>
                <w:color w:val="000000" w:themeColor="text1"/>
                <w:sz w:val="18"/>
                <w:szCs w:val="18"/>
              </w:rPr>
              <w:t>:</w:t>
            </w:r>
            <w:r w:rsidR="00563657" w:rsidRPr="00DD2CE4">
              <w:rPr>
                <w:rFonts w:ascii="Times New Roman" w:hAnsi="Times New Roman"/>
                <w:color w:val="000000" w:themeColor="text1"/>
                <w:sz w:val="18"/>
                <w:szCs w:val="18"/>
              </w:rPr>
              <w:t xml:space="preserve"> </w:t>
            </w:r>
            <w:r w:rsidR="0010182B" w:rsidRPr="00DD2CE4">
              <w:rPr>
                <w:rFonts w:ascii="Times New Roman" w:hAnsi="Times New Roman"/>
                <w:color w:val="000000" w:themeColor="text1"/>
                <w:sz w:val="18"/>
                <w:szCs w:val="18"/>
              </w:rPr>
              <w:t xml:space="preserve">Inovatīvas darbības veikušo uzņēmumu īpatsvars kopējā uzņēmumu skaitā. Uzņēmums, kas pārskata periodā ir veicis inovatīvās darbības, tostarp nepabeigtas un izbeigtas darbības. Inovatīvs uzņēmums ir tāds, kas pārskata periodā ieviesa vismaz vienu inovāciju: tehnoloģisko (produktu un procesu), </w:t>
            </w:r>
            <w:proofErr w:type="spellStart"/>
            <w:r w:rsidR="0010182B" w:rsidRPr="00DD2CE4">
              <w:rPr>
                <w:rFonts w:ascii="Times New Roman" w:hAnsi="Times New Roman"/>
                <w:color w:val="000000" w:themeColor="text1"/>
                <w:sz w:val="18"/>
                <w:szCs w:val="18"/>
              </w:rPr>
              <w:t>tirgdarbības</w:t>
            </w:r>
            <w:proofErr w:type="spellEnd"/>
            <w:r w:rsidR="0010182B" w:rsidRPr="00DD2CE4">
              <w:rPr>
                <w:rFonts w:ascii="Times New Roman" w:hAnsi="Times New Roman"/>
                <w:color w:val="000000" w:themeColor="text1"/>
                <w:sz w:val="18"/>
                <w:szCs w:val="18"/>
              </w:rPr>
              <w:t xml:space="preserve"> vai organizatorisko inovāciju.</w:t>
            </w:r>
          </w:p>
          <w:p w14:paraId="124D73D3" w14:textId="77777777" w:rsidR="00DE4A2D" w:rsidRPr="00DD2CE4" w:rsidRDefault="00DE4A2D" w:rsidP="00E060EF">
            <w:pPr>
              <w:spacing w:after="0" w:line="240" w:lineRule="auto"/>
              <w:jc w:val="both"/>
              <w:rPr>
                <w:rFonts w:ascii="Times New Roman" w:hAnsi="Times New Roman"/>
                <w:i/>
                <w:iCs/>
                <w:color w:val="000000" w:themeColor="text1"/>
                <w:sz w:val="18"/>
                <w:szCs w:val="18"/>
              </w:rPr>
            </w:pPr>
          </w:p>
          <w:p w14:paraId="40611EE6" w14:textId="3BBA78B1" w:rsidR="00DE4A2D" w:rsidRPr="00DD2CE4" w:rsidRDefault="00DE4A2D" w:rsidP="00E060EF">
            <w:pPr>
              <w:spacing w:after="0" w:line="240" w:lineRule="auto"/>
              <w:jc w:val="both"/>
              <w:rPr>
                <w:rFonts w:ascii="Times New Roman" w:hAnsi="Times New Roman"/>
                <w:color w:val="000000" w:themeColor="text1"/>
                <w:sz w:val="18"/>
                <w:szCs w:val="18"/>
              </w:rPr>
            </w:pPr>
            <w:r w:rsidRPr="00DD2CE4">
              <w:rPr>
                <w:rFonts w:ascii="Times New Roman" w:hAnsi="Times New Roman"/>
                <w:i/>
                <w:iCs/>
                <w:color w:val="000000" w:themeColor="text1"/>
                <w:sz w:val="18"/>
                <w:szCs w:val="18"/>
              </w:rPr>
              <w:t>Bāzes vērtība un tās noteikšanas gads:</w:t>
            </w:r>
            <w:r w:rsidRPr="00DD2CE4">
              <w:rPr>
                <w:rFonts w:ascii="Times New Roman" w:hAnsi="Times New Roman"/>
                <w:color w:val="000000" w:themeColor="text1"/>
                <w:sz w:val="18"/>
                <w:szCs w:val="18"/>
              </w:rPr>
              <w:t xml:space="preserve"> </w:t>
            </w:r>
            <w:r w:rsidR="009F3BB2" w:rsidRPr="00DD2CE4">
              <w:rPr>
                <w:rFonts w:ascii="Times New Roman" w:hAnsi="Times New Roman"/>
                <w:color w:val="000000" w:themeColor="text1"/>
                <w:sz w:val="18"/>
                <w:szCs w:val="18"/>
              </w:rPr>
              <w:t>29,9</w:t>
            </w:r>
            <w:r w:rsidR="00BC39E7" w:rsidRPr="00DD2CE4">
              <w:rPr>
                <w:rFonts w:ascii="Times New Roman" w:hAnsi="Times New Roman"/>
                <w:color w:val="000000" w:themeColor="text1"/>
                <w:sz w:val="18"/>
                <w:szCs w:val="18"/>
              </w:rPr>
              <w:t>%</w:t>
            </w:r>
            <w:r w:rsidRPr="00DD2CE4">
              <w:rPr>
                <w:rFonts w:ascii="Times New Roman" w:hAnsi="Times New Roman"/>
                <w:color w:val="000000" w:themeColor="text1"/>
                <w:sz w:val="18"/>
                <w:szCs w:val="18"/>
              </w:rPr>
              <w:t xml:space="preserve"> (201</w:t>
            </w:r>
            <w:r w:rsidR="009F3BB2" w:rsidRPr="00DD2CE4">
              <w:rPr>
                <w:rFonts w:ascii="Times New Roman" w:hAnsi="Times New Roman"/>
                <w:color w:val="000000" w:themeColor="text1"/>
                <w:sz w:val="18"/>
                <w:szCs w:val="18"/>
              </w:rPr>
              <w:t>0</w:t>
            </w:r>
            <w:r w:rsidRPr="00DD2CE4">
              <w:rPr>
                <w:rFonts w:ascii="Times New Roman" w:hAnsi="Times New Roman"/>
                <w:color w:val="000000" w:themeColor="text1"/>
                <w:sz w:val="18"/>
                <w:szCs w:val="18"/>
              </w:rPr>
              <w:t>)</w:t>
            </w:r>
          </w:p>
          <w:p w14:paraId="68EB2EB3" w14:textId="77777777" w:rsidR="00DE4A2D" w:rsidRPr="00DD2CE4" w:rsidRDefault="00DE4A2D" w:rsidP="00E060EF">
            <w:pPr>
              <w:spacing w:after="0" w:line="240" w:lineRule="auto"/>
              <w:jc w:val="both"/>
              <w:rPr>
                <w:rFonts w:ascii="Times New Roman" w:hAnsi="Times New Roman"/>
                <w:color w:val="000000" w:themeColor="text1"/>
                <w:sz w:val="18"/>
                <w:szCs w:val="18"/>
              </w:rPr>
            </w:pPr>
          </w:p>
          <w:p w14:paraId="216B7E5E" w14:textId="212FD0C0" w:rsidR="00DE4A2D" w:rsidRPr="00DD2CE4" w:rsidRDefault="00DE4A2D" w:rsidP="00E060EF">
            <w:pPr>
              <w:spacing w:after="0" w:line="240" w:lineRule="auto"/>
              <w:jc w:val="both"/>
              <w:rPr>
                <w:rFonts w:ascii="Times New Roman" w:hAnsi="Times New Roman"/>
                <w:color w:val="000000" w:themeColor="text1"/>
                <w:sz w:val="18"/>
                <w:szCs w:val="18"/>
              </w:rPr>
            </w:pPr>
            <w:r w:rsidRPr="00DD2CE4">
              <w:rPr>
                <w:rFonts w:ascii="Times New Roman" w:hAnsi="Times New Roman"/>
                <w:i/>
                <w:iCs/>
                <w:color w:val="000000" w:themeColor="text1"/>
                <w:sz w:val="18"/>
                <w:szCs w:val="18"/>
              </w:rPr>
              <w:t>Datu avots:</w:t>
            </w:r>
            <w:r w:rsidR="00DB48BF" w:rsidRPr="00DD2CE4">
              <w:rPr>
                <w:rFonts w:ascii="Times New Roman" w:hAnsi="Times New Roman"/>
                <w:color w:val="000000" w:themeColor="text1"/>
                <w:sz w:val="18"/>
                <w:szCs w:val="18"/>
              </w:rPr>
              <w:t xml:space="preserve"> CSP Inovāciju </w:t>
            </w:r>
            <w:proofErr w:type="spellStart"/>
            <w:r w:rsidR="00DB48BF" w:rsidRPr="00DD2CE4">
              <w:rPr>
                <w:rFonts w:ascii="Times New Roman" w:hAnsi="Times New Roman"/>
                <w:color w:val="000000" w:themeColor="text1"/>
                <w:sz w:val="18"/>
                <w:szCs w:val="18"/>
              </w:rPr>
              <w:t>apsekojuma</w:t>
            </w:r>
            <w:proofErr w:type="spellEnd"/>
            <w:r w:rsidR="00DB48BF" w:rsidRPr="00DD2CE4">
              <w:rPr>
                <w:rFonts w:ascii="Times New Roman" w:hAnsi="Times New Roman"/>
                <w:color w:val="000000" w:themeColor="text1"/>
                <w:sz w:val="18"/>
                <w:szCs w:val="18"/>
              </w:rPr>
              <w:t xml:space="preserve"> rezultāti </w:t>
            </w:r>
            <w:hyperlink r:id="rId8" w:history="1">
              <w:r w:rsidR="005D09C9" w:rsidRPr="00DD2CE4">
                <w:rPr>
                  <w:rStyle w:val="Hyperlink"/>
                  <w:rFonts w:ascii="Times New Roman" w:hAnsi="Times New Roman"/>
                  <w:color w:val="000000" w:themeColor="text1"/>
                  <w:sz w:val="18"/>
                  <w:szCs w:val="18"/>
                </w:rPr>
                <w:t>https://www.csb.gov.lv/lv/statistika/statistikas-temas/uznemumi/inovacijas/meklet-tema</w:t>
              </w:r>
            </w:hyperlink>
            <w:r w:rsidR="005D09C9" w:rsidRPr="00DD2CE4">
              <w:rPr>
                <w:rFonts w:ascii="Times New Roman" w:hAnsi="Times New Roman"/>
                <w:color w:val="000000" w:themeColor="text1"/>
                <w:sz w:val="18"/>
                <w:szCs w:val="18"/>
              </w:rPr>
              <w:t xml:space="preserve"> </w:t>
            </w:r>
          </w:p>
          <w:p w14:paraId="33DBA0DC" w14:textId="77777777" w:rsidR="00DE4A2D" w:rsidRPr="00DD2CE4" w:rsidRDefault="00DE4A2D" w:rsidP="00E060EF">
            <w:pPr>
              <w:spacing w:after="0" w:line="240" w:lineRule="auto"/>
              <w:jc w:val="both"/>
              <w:rPr>
                <w:rFonts w:ascii="Times New Roman" w:hAnsi="Times New Roman"/>
                <w:color w:val="000000" w:themeColor="text1"/>
                <w:sz w:val="18"/>
                <w:szCs w:val="18"/>
              </w:rPr>
            </w:pPr>
          </w:p>
          <w:p w14:paraId="0BB6E10E" w14:textId="3A5C7BAF" w:rsidR="00DE4A2D" w:rsidRPr="00DD2CE4" w:rsidRDefault="00DE4A2D" w:rsidP="00E060EF">
            <w:pPr>
              <w:spacing w:after="0" w:line="240" w:lineRule="auto"/>
              <w:jc w:val="both"/>
              <w:rPr>
                <w:rFonts w:ascii="Times New Roman" w:hAnsi="Times New Roman"/>
                <w:color w:val="000000" w:themeColor="text1"/>
                <w:sz w:val="18"/>
                <w:szCs w:val="18"/>
              </w:rPr>
            </w:pPr>
            <w:r w:rsidRPr="00DD2CE4">
              <w:rPr>
                <w:rFonts w:ascii="Times New Roman" w:hAnsi="Times New Roman"/>
                <w:i/>
                <w:iCs/>
                <w:color w:val="000000" w:themeColor="text1"/>
                <w:sz w:val="18"/>
                <w:szCs w:val="18"/>
              </w:rPr>
              <w:t>Apkopošanas biežums un ieguves metodoloģija:</w:t>
            </w:r>
            <w:r w:rsidRPr="00DD2CE4">
              <w:rPr>
                <w:rFonts w:ascii="Times New Roman" w:hAnsi="Times New Roman"/>
                <w:color w:val="000000" w:themeColor="text1"/>
                <w:sz w:val="18"/>
                <w:szCs w:val="18"/>
              </w:rPr>
              <w:t xml:space="preserve"> </w:t>
            </w:r>
            <w:r w:rsidR="00FA521F" w:rsidRPr="00DD2CE4">
              <w:rPr>
                <w:rFonts w:ascii="Times New Roman" w:hAnsi="Times New Roman"/>
                <w:color w:val="000000" w:themeColor="text1"/>
                <w:sz w:val="18"/>
                <w:szCs w:val="18"/>
              </w:rPr>
              <w:t xml:space="preserve">reizi 3 gados CSP Inovāciju </w:t>
            </w:r>
            <w:proofErr w:type="spellStart"/>
            <w:r w:rsidR="00FA521F" w:rsidRPr="00DD2CE4">
              <w:rPr>
                <w:rFonts w:ascii="Times New Roman" w:hAnsi="Times New Roman"/>
                <w:color w:val="000000" w:themeColor="text1"/>
                <w:sz w:val="18"/>
                <w:szCs w:val="18"/>
              </w:rPr>
              <w:t>apsekojum</w:t>
            </w:r>
            <w:r w:rsidR="00184033" w:rsidRPr="00DD2CE4">
              <w:rPr>
                <w:rFonts w:ascii="Times New Roman" w:hAnsi="Times New Roman"/>
                <w:color w:val="000000" w:themeColor="text1"/>
                <w:sz w:val="18"/>
                <w:szCs w:val="18"/>
              </w:rPr>
              <w:t>a</w:t>
            </w:r>
            <w:proofErr w:type="spellEnd"/>
            <w:r w:rsidR="00FA521F" w:rsidRPr="00DD2CE4">
              <w:rPr>
                <w:rFonts w:ascii="Times New Roman" w:hAnsi="Times New Roman"/>
                <w:color w:val="000000" w:themeColor="text1"/>
                <w:sz w:val="18"/>
                <w:szCs w:val="18"/>
              </w:rPr>
              <w:t xml:space="preserve"> rezultāti</w:t>
            </w:r>
          </w:p>
          <w:p w14:paraId="01E4945B" w14:textId="77777777" w:rsidR="00DE4A2D" w:rsidRPr="00DD2CE4" w:rsidRDefault="00DE4A2D" w:rsidP="00E060EF">
            <w:pPr>
              <w:spacing w:after="0" w:line="240" w:lineRule="auto"/>
              <w:jc w:val="both"/>
              <w:rPr>
                <w:rFonts w:ascii="Times New Roman" w:hAnsi="Times New Roman"/>
                <w:color w:val="000000" w:themeColor="text1"/>
                <w:sz w:val="18"/>
                <w:szCs w:val="18"/>
              </w:rPr>
            </w:pPr>
          </w:p>
          <w:p w14:paraId="3F0E4FE1" w14:textId="7B7A6AFF" w:rsidR="00DE4A2D" w:rsidRPr="00DD2CE4" w:rsidRDefault="00DE4A2D" w:rsidP="31514BEA">
            <w:pPr>
              <w:spacing w:after="0" w:line="240" w:lineRule="auto"/>
              <w:jc w:val="both"/>
              <w:rPr>
                <w:rFonts w:ascii="Times New Roman" w:hAnsi="Times New Roman"/>
                <w:color w:val="000000" w:themeColor="text1"/>
                <w:sz w:val="18"/>
                <w:szCs w:val="18"/>
              </w:rPr>
            </w:pPr>
            <w:r w:rsidRPr="00DD2CE4">
              <w:rPr>
                <w:rFonts w:ascii="Times New Roman" w:hAnsi="Times New Roman"/>
                <w:i/>
                <w:iCs/>
                <w:color w:val="000000" w:themeColor="text1"/>
                <w:sz w:val="18"/>
                <w:szCs w:val="18"/>
              </w:rPr>
              <w:t>Mērķis 2023:</w:t>
            </w:r>
            <w:r w:rsidRPr="00DD2CE4">
              <w:rPr>
                <w:rFonts w:ascii="Times New Roman" w:hAnsi="Times New Roman"/>
                <w:color w:val="000000" w:themeColor="text1"/>
                <w:sz w:val="18"/>
                <w:szCs w:val="18"/>
              </w:rPr>
              <w:t xml:space="preserve"> 40</w:t>
            </w:r>
            <w:r w:rsidR="00BC39E7" w:rsidRPr="00DD2CE4">
              <w:rPr>
                <w:rFonts w:ascii="Times New Roman" w:hAnsi="Times New Roman"/>
                <w:color w:val="000000" w:themeColor="text1"/>
                <w:sz w:val="18"/>
                <w:szCs w:val="18"/>
              </w:rPr>
              <w:t>%</w:t>
            </w:r>
            <w:r w:rsidR="4EC8D835" w:rsidRPr="00DD2CE4">
              <w:rPr>
                <w:rFonts w:ascii="Times New Roman" w:hAnsi="Times New Roman"/>
                <w:color w:val="000000" w:themeColor="text1"/>
                <w:sz w:val="18"/>
                <w:szCs w:val="18"/>
              </w:rPr>
              <w:t xml:space="preserve"> </w:t>
            </w:r>
            <w:r w:rsidR="4EC8D835" w:rsidRPr="00DD2CE4">
              <w:rPr>
                <w:rFonts w:ascii="Times New Roman" w:eastAsia="Times New Roman" w:hAnsi="Times New Roman"/>
                <w:color w:val="000000" w:themeColor="text1"/>
                <w:sz w:val="18"/>
                <w:szCs w:val="18"/>
              </w:rPr>
              <w:t>(kopā)</w:t>
            </w:r>
          </w:p>
          <w:p w14:paraId="130256CC" w14:textId="14155A2F" w:rsidR="31514BEA" w:rsidRPr="00DD2CE4" w:rsidRDefault="31514BEA" w:rsidP="31514BEA">
            <w:pPr>
              <w:spacing w:after="0" w:line="240" w:lineRule="auto"/>
              <w:jc w:val="both"/>
              <w:rPr>
                <w:color w:val="000000" w:themeColor="text1"/>
              </w:rPr>
            </w:pPr>
          </w:p>
          <w:p w14:paraId="44A99BAE" w14:textId="0AC93C8F" w:rsidR="31514BEA" w:rsidRPr="00DD2CE4" w:rsidRDefault="31514BEA" w:rsidP="31514BEA">
            <w:pPr>
              <w:spacing w:after="0" w:line="240" w:lineRule="auto"/>
              <w:jc w:val="both"/>
              <w:rPr>
                <w:color w:val="000000" w:themeColor="text1"/>
              </w:rPr>
            </w:pPr>
          </w:p>
          <w:p w14:paraId="49EBFFFE" w14:textId="42079C55" w:rsidR="0092523F" w:rsidRPr="00DD2CE4" w:rsidRDefault="00DE4A2D" w:rsidP="00E060EF">
            <w:pPr>
              <w:spacing w:after="0" w:line="240" w:lineRule="auto"/>
              <w:jc w:val="both"/>
              <w:rPr>
                <w:rFonts w:ascii="Times New Roman" w:hAnsi="Times New Roman"/>
                <w:color w:val="000000" w:themeColor="text1"/>
                <w:sz w:val="18"/>
                <w:szCs w:val="18"/>
              </w:rPr>
            </w:pPr>
            <w:r w:rsidRPr="00DD2CE4">
              <w:rPr>
                <w:rFonts w:ascii="Times New Roman" w:hAnsi="Times New Roman"/>
                <w:i/>
                <w:iCs/>
                <w:color w:val="000000" w:themeColor="text1"/>
                <w:sz w:val="18"/>
                <w:szCs w:val="18"/>
              </w:rPr>
              <w:t>Mērķa vērtības noteikšanas principi/metodoloģija</w:t>
            </w:r>
            <w:r w:rsidRPr="00DD2CE4">
              <w:rPr>
                <w:rStyle w:val="FootnoteReference"/>
                <w:rFonts w:ascii="Times New Roman" w:hAnsi="Times New Roman"/>
                <w:i/>
                <w:iCs/>
                <w:color w:val="000000" w:themeColor="text1"/>
                <w:sz w:val="18"/>
                <w:szCs w:val="18"/>
              </w:rPr>
              <w:footnoteReference w:id="3"/>
            </w:r>
            <w:r w:rsidRPr="00DD2CE4">
              <w:rPr>
                <w:rFonts w:ascii="Times New Roman" w:hAnsi="Times New Roman"/>
                <w:color w:val="000000" w:themeColor="text1"/>
                <w:sz w:val="18"/>
                <w:szCs w:val="18"/>
              </w:rPr>
              <w:t xml:space="preserve">:  </w:t>
            </w:r>
            <w:r w:rsidR="00F52A8F" w:rsidRPr="00DD2CE4">
              <w:rPr>
                <w:rFonts w:ascii="Times New Roman" w:hAnsi="Times New Roman"/>
                <w:color w:val="000000" w:themeColor="text1"/>
                <w:sz w:val="18"/>
                <w:szCs w:val="18"/>
              </w:rPr>
              <w:t>atbilstoši E</w:t>
            </w:r>
            <w:r w:rsidR="009F6564" w:rsidRPr="00DD2CE4">
              <w:rPr>
                <w:rFonts w:ascii="Times New Roman" w:hAnsi="Times New Roman"/>
                <w:color w:val="000000" w:themeColor="text1"/>
                <w:sz w:val="18"/>
                <w:szCs w:val="18"/>
              </w:rPr>
              <w:t>konomikas ministrijas</w:t>
            </w:r>
            <w:r w:rsidR="00F52A8F" w:rsidRPr="00DD2CE4">
              <w:rPr>
                <w:rFonts w:ascii="Times New Roman" w:hAnsi="Times New Roman"/>
                <w:color w:val="000000" w:themeColor="text1"/>
                <w:sz w:val="18"/>
                <w:szCs w:val="18"/>
              </w:rPr>
              <w:t xml:space="preserve"> noteiktiem politikas mērķiem</w:t>
            </w:r>
            <w:r w:rsidR="00563E79" w:rsidRPr="00DD2CE4">
              <w:rPr>
                <w:rFonts w:ascii="Times New Roman" w:hAnsi="Times New Roman"/>
                <w:color w:val="000000" w:themeColor="text1"/>
                <w:sz w:val="18"/>
                <w:szCs w:val="18"/>
              </w:rPr>
              <w:t xml:space="preserve">. </w:t>
            </w:r>
            <w:r w:rsidR="00583CA8" w:rsidRPr="00DD2CE4">
              <w:rPr>
                <w:rFonts w:ascii="Times New Roman" w:hAnsi="Times New Roman"/>
                <w:color w:val="000000" w:themeColor="text1"/>
                <w:sz w:val="18"/>
                <w:szCs w:val="18"/>
              </w:rPr>
              <w:t xml:space="preserve">Ar EK 2022.gada piešķīrumu </w:t>
            </w:r>
            <w:r w:rsidR="00425EE8" w:rsidRPr="00DD2CE4">
              <w:rPr>
                <w:rFonts w:ascii="Times New Roman" w:hAnsi="Times New Roman"/>
                <w:color w:val="000000" w:themeColor="text1"/>
                <w:sz w:val="18"/>
                <w:szCs w:val="18"/>
              </w:rPr>
              <w:t>paredzēts sasniegt 5%</w:t>
            </w:r>
            <w:r w:rsidR="0092523F" w:rsidRPr="00DD2CE4">
              <w:rPr>
                <w:rFonts w:ascii="Times New Roman" w:hAnsi="Times New Roman"/>
                <w:color w:val="000000" w:themeColor="text1"/>
                <w:sz w:val="18"/>
                <w:szCs w:val="18"/>
              </w:rPr>
              <w:t>, kopējais mēr</w:t>
            </w:r>
            <w:r w:rsidR="005F16DC" w:rsidRPr="00DD2CE4">
              <w:rPr>
                <w:rFonts w:ascii="Times New Roman" w:hAnsi="Times New Roman"/>
                <w:color w:val="000000" w:themeColor="text1"/>
                <w:sz w:val="18"/>
                <w:szCs w:val="18"/>
              </w:rPr>
              <w:t>ķ</w:t>
            </w:r>
            <w:r w:rsidR="0092523F" w:rsidRPr="00DD2CE4">
              <w:rPr>
                <w:rFonts w:ascii="Times New Roman" w:hAnsi="Times New Roman"/>
                <w:color w:val="000000" w:themeColor="text1"/>
                <w:sz w:val="18"/>
                <w:szCs w:val="18"/>
              </w:rPr>
              <w:t>is 2023.gadam ir nemainīgs – 40%</w:t>
            </w:r>
            <w:r w:rsidR="005F16DC" w:rsidRPr="00DD2CE4">
              <w:rPr>
                <w:rFonts w:ascii="Times New Roman" w:hAnsi="Times New Roman"/>
                <w:color w:val="000000" w:themeColor="text1"/>
                <w:sz w:val="18"/>
                <w:szCs w:val="18"/>
              </w:rPr>
              <w:t>.</w:t>
            </w:r>
          </w:p>
          <w:p w14:paraId="39D57E47" w14:textId="77777777" w:rsidR="00477905" w:rsidRPr="00DD2CE4" w:rsidRDefault="00477905" w:rsidP="00E060EF">
            <w:pPr>
              <w:spacing w:after="0" w:line="240" w:lineRule="auto"/>
              <w:jc w:val="both"/>
              <w:rPr>
                <w:rFonts w:ascii="Times New Roman" w:eastAsia="Times New Roman" w:hAnsi="Times New Roman"/>
                <w:color w:val="000000" w:themeColor="text1"/>
                <w:sz w:val="18"/>
                <w:szCs w:val="18"/>
              </w:rPr>
            </w:pPr>
          </w:p>
          <w:p w14:paraId="7E5F103F" w14:textId="4DB0BAF8" w:rsidR="00477905" w:rsidRPr="00DD2CE4" w:rsidRDefault="00477905" w:rsidP="00E060EF">
            <w:pPr>
              <w:spacing w:after="0" w:line="240" w:lineRule="auto"/>
              <w:jc w:val="both"/>
              <w:rPr>
                <w:rFonts w:ascii="Times New Roman" w:eastAsiaTheme="minorHAnsi" w:hAnsi="Times New Roman"/>
                <w:color w:val="000000" w:themeColor="text1"/>
                <w:sz w:val="18"/>
                <w:szCs w:val="18"/>
              </w:rPr>
            </w:pPr>
            <w:r w:rsidRPr="00DD2CE4">
              <w:rPr>
                <w:rFonts w:ascii="Times New Roman" w:hAnsi="Times New Roman"/>
                <w:color w:val="000000" w:themeColor="text1"/>
                <w:sz w:val="18"/>
                <w:szCs w:val="18"/>
              </w:rPr>
              <w:t>Noteikt</w:t>
            </w:r>
            <w:r w:rsidR="000F157B" w:rsidRPr="00DD2CE4">
              <w:rPr>
                <w:rFonts w:ascii="Times New Roman" w:hAnsi="Times New Roman"/>
                <w:color w:val="000000" w:themeColor="text1"/>
                <w:sz w:val="18"/>
                <w:szCs w:val="18"/>
              </w:rPr>
              <w:t>ais</w:t>
            </w:r>
            <w:r w:rsidRPr="00DD2CE4">
              <w:rPr>
                <w:rFonts w:ascii="Times New Roman" w:hAnsi="Times New Roman"/>
                <w:color w:val="000000" w:themeColor="text1"/>
                <w:sz w:val="18"/>
                <w:szCs w:val="18"/>
              </w:rPr>
              <w:t xml:space="preserve"> rādītāj</w:t>
            </w:r>
            <w:r w:rsidR="000F157B" w:rsidRPr="00DD2CE4">
              <w:rPr>
                <w:rFonts w:ascii="Times New Roman" w:hAnsi="Times New Roman"/>
                <w:color w:val="000000" w:themeColor="text1"/>
                <w:sz w:val="18"/>
                <w:szCs w:val="18"/>
              </w:rPr>
              <w:t>s</w:t>
            </w:r>
            <w:r w:rsidRPr="00DD2CE4">
              <w:rPr>
                <w:rFonts w:ascii="Times New Roman" w:hAnsi="Times New Roman"/>
                <w:color w:val="000000" w:themeColor="text1"/>
                <w:sz w:val="18"/>
                <w:szCs w:val="18"/>
              </w:rPr>
              <w:t xml:space="preserve"> r.13.1.</w:t>
            </w:r>
            <w:r w:rsidR="000F157B" w:rsidRPr="00DD2CE4">
              <w:rPr>
                <w:rFonts w:ascii="Times New Roman" w:hAnsi="Times New Roman"/>
                <w:color w:val="000000" w:themeColor="text1"/>
                <w:sz w:val="18"/>
                <w:szCs w:val="18"/>
              </w:rPr>
              <w:t>6</w:t>
            </w:r>
            <w:r w:rsidRPr="00DD2CE4">
              <w:rPr>
                <w:rFonts w:ascii="Times New Roman" w:hAnsi="Times New Roman"/>
                <w:color w:val="000000" w:themeColor="text1"/>
                <w:sz w:val="18"/>
                <w:szCs w:val="18"/>
              </w:rPr>
              <w:t xml:space="preserve">.a ir ciešā sasaistē ar DP </w:t>
            </w:r>
            <w:r w:rsidRPr="00DD2CE4">
              <w:rPr>
                <w:rFonts w:ascii="Times New Roman" w:hAnsi="Times New Roman"/>
                <w:i/>
                <w:iCs/>
                <w:color w:val="000000" w:themeColor="text1"/>
                <w:sz w:val="18"/>
                <w:szCs w:val="18"/>
              </w:rPr>
              <w:t>Tabula Nr. 2.</w:t>
            </w:r>
            <w:r w:rsidR="00BB619A" w:rsidRPr="00DD2CE4">
              <w:rPr>
                <w:rFonts w:ascii="Times New Roman" w:hAnsi="Times New Roman"/>
                <w:i/>
                <w:iCs/>
                <w:color w:val="000000" w:themeColor="text1"/>
                <w:sz w:val="18"/>
                <w:szCs w:val="18"/>
              </w:rPr>
              <w:t>1</w:t>
            </w:r>
            <w:r w:rsidRPr="00DD2CE4">
              <w:rPr>
                <w:rFonts w:ascii="Times New Roman" w:hAnsi="Times New Roman"/>
                <w:i/>
                <w:iCs/>
                <w:color w:val="000000" w:themeColor="text1"/>
                <w:sz w:val="18"/>
                <w:szCs w:val="18"/>
              </w:rPr>
              <w:t>.</w:t>
            </w:r>
            <w:r w:rsidR="00BB619A" w:rsidRPr="00DD2CE4">
              <w:rPr>
                <w:rFonts w:ascii="Times New Roman" w:hAnsi="Times New Roman"/>
                <w:i/>
                <w:iCs/>
                <w:color w:val="000000" w:themeColor="text1"/>
                <w:sz w:val="18"/>
                <w:szCs w:val="18"/>
              </w:rPr>
              <w:t>4</w:t>
            </w:r>
            <w:r w:rsidRPr="00DD2CE4">
              <w:rPr>
                <w:rFonts w:ascii="Times New Roman" w:hAnsi="Times New Roman"/>
                <w:i/>
                <w:iCs/>
                <w:color w:val="000000" w:themeColor="text1"/>
                <w:sz w:val="18"/>
                <w:szCs w:val="18"/>
              </w:rPr>
              <w:t>. (</w:t>
            </w:r>
            <w:r w:rsidR="00E060EF" w:rsidRPr="00DD2CE4">
              <w:rPr>
                <w:rFonts w:ascii="Times New Roman" w:hAnsi="Times New Roman"/>
                <w:i/>
                <w:iCs/>
                <w:color w:val="000000" w:themeColor="text1"/>
                <w:sz w:val="18"/>
                <w:szCs w:val="18"/>
              </w:rPr>
              <w:t>3</w:t>
            </w:r>
            <w:r w:rsidRPr="00DD2CE4">
              <w:rPr>
                <w:rFonts w:ascii="Times New Roman" w:hAnsi="Times New Roman"/>
                <w:i/>
                <w:iCs/>
                <w:color w:val="000000" w:themeColor="text1"/>
                <w:sz w:val="18"/>
                <w:szCs w:val="18"/>
              </w:rPr>
              <w:t>) noteikt</w:t>
            </w:r>
            <w:r w:rsidR="00106FBD" w:rsidRPr="00DD2CE4">
              <w:rPr>
                <w:rFonts w:ascii="Times New Roman" w:hAnsi="Times New Roman"/>
                <w:i/>
                <w:iCs/>
                <w:color w:val="000000" w:themeColor="text1"/>
                <w:sz w:val="18"/>
                <w:szCs w:val="18"/>
              </w:rPr>
              <w:t>o</w:t>
            </w:r>
            <w:r w:rsidRPr="00DD2CE4">
              <w:rPr>
                <w:rFonts w:ascii="Times New Roman" w:hAnsi="Times New Roman"/>
                <w:i/>
                <w:iCs/>
                <w:color w:val="000000" w:themeColor="text1"/>
                <w:sz w:val="18"/>
                <w:szCs w:val="18"/>
              </w:rPr>
              <w:t xml:space="preserve"> </w:t>
            </w:r>
            <w:r w:rsidRPr="00DD2CE4">
              <w:rPr>
                <w:rFonts w:ascii="Times New Roman" w:hAnsi="Times New Roman"/>
                <w:color w:val="000000" w:themeColor="text1"/>
                <w:sz w:val="18"/>
                <w:szCs w:val="18"/>
              </w:rPr>
              <w:t>ERAF specifisk</w:t>
            </w:r>
            <w:r w:rsidR="000F157B" w:rsidRPr="00DD2CE4">
              <w:rPr>
                <w:rFonts w:ascii="Times New Roman" w:hAnsi="Times New Roman"/>
                <w:color w:val="000000" w:themeColor="text1"/>
                <w:sz w:val="18"/>
                <w:szCs w:val="18"/>
              </w:rPr>
              <w:t>o</w:t>
            </w:r>
            <w:r w:rsidRPr="00DD2CE4">
              <w:rPr>
                <w:rFonts w:ascii="Times New Roman" w:hAnsi="Times New Roman"/>
                <w:color w:val="000000" w:themeColor="text1"/>
                <w:sz w:val="18"/>
                <w:szCs w:val="18"/>
              </w:rPr>
              <w:t xml:space="preserve"> rezultāta rādītāj</w:t>
            </w:r>
            <w:r w:rsidR="000F157B" w:rsidRPr="00DD2CE4">
              <w:rPr>
                <w:rFonts w:ascii="Times New Roman" w:hAnsi="Times New Roman"/>
                <w:color w:val="000000" w:themeColor="text1"/>
                <w:sz w:val="18"/>
                <w:szCs w:val="18"/>
              </w:rPr>
              <w:t>u</w:t>
            </w:r>
            <w:r w:rsidRPr="00DD2CE4">
              <w:rPr>
                <w:rFonts w:ascii="Times New Roman" w:hAnsi="Times New Roman"/>
                <w:color w:val="000000" w:themeColor="text1"/>
                <w:sz w:val="18"/>
                <w:szCs w:val="18"/>
              </w:rPr>
              <w:t xml:space="preserve"> un attiecīgi 13.1.</w:t>
            </w:r>
            <w:r w:rsidR="00F552ED" w:rsidRPr="00DD2CE4">
              <w:rPr>
                <w:rFonts w:ascii="Times New Roman" w:hAnsi="Times New Roman"/>
                <w:color w:val="000000" w:themeColor="text1"/>
                <w:sz w:val="18"/>
                <w:szCs w:val="18"/>
              </w:rPr>
              <w:t>6</w:t>
            </w:r>
            <w:r w:rsidRPr="00DD2CE4">
              <w:rPr>
                <w:rFonts w:ascii="Times New Roman" w:hAnsi="Times New Roman"/>
                <w:color w:val="000000" w:themeColor="text1"/>
                <w:sz w:val="18"/>
                <w:szCs w:val="18"/>
              </w:rPr>
              <w:t xml:space="preserve">.SAM pasākumi tiks īstenoti ciešā sasaistē ar </w:t>
            </w:r>
            <w:r w:rsidR="00F552ED" w:rsidRPr="00DD2CE4">
              <w:rPr>
                <w:rFonts w:ascii="Times New Roman" w:hAnsi="Times New Roman"/>
                <w:color w:val="000000" w:themeColor="text1"/>
                <w:sz w:val="18"/>
                <w:szCs w:val="18"/>
              </w:rPr>
              <w:t>1</w:t>
            </w:r>
            <w:r w:rsidRPr="00DD2CE4">
              <w:rPr>
                <w:rFonts w:ascii="Times New Roman" w:hAnsi="Times New Roman"/>
                <w:color w:val="000000" w:themeColor="text1"/>
                <w:sz w:val="18"/>
                <w:szCs w:val="18"/>
              </w:rPr>
              <w:t>.</w:t>
            </w:r>
            <w:r w:rsidR="00F552ED" w:rsidRPr="00DD2CE4">
              <w:rPr>
                <w:rFonts w:ascii="Times New Roman" w:hAnsi="Times New Roman"/>
                <w:color w:val="000000" w:themeColor="text1"/>
                <w:sz w:val="18"/>
                <w:szCs w:val="18"/>
              </w:rPr>
              <w:t>2</w:t>
            </w:r>
            <w:r w:rsidRPr="00DD2CE4">
              <w:rPr>
                <w:rFonts w:ascii="Times New Roman" w:hAnsi="Times New Roman"/>
                <w:color w:val="000000" w:themeColor="text1"/>
                <w:sz w:val="18"/>
                <w:szCs w:val="18"/>
              </w:rPr>
              <w:t>.</w:t>
            </w:r>
            <w:r w:rsidR="00F552ED" w:rsidRPr="00DD2CE4">
              <w:rPr>
                <w:rFonts w:ascii="Times New Roman" w:hAnsi="Times New Roman"/>
                <w:color w:val="000000" w:themeColor="text1"/>
                <w:sz w:val="18"/>
                <w:szCs w:val="18"/>
              </w:rPr>
              <w:t>2</w:t>
            </w:r>
            <w:r w:rsidRPr="00DD2CE4">
              <w:rPr>
                <w:rFonts w:ascii="Times New Roman" w:hAnsi="Times New Roman"/>
                <w:color w:val="000000" w:themeColor="text1"/>
                <w:sz w:val="18"/>
                <w:szCs w:val="18"/>
              </w:rPr>
              <w:t>. SAM.</w:t>
            </w:r>
            <w:r w:rsidRPr="00DD2CE4">
              <w:rPr>
                <w:rFonts w:ascii="Times New Roman" w:hAnsi="Times New Roman"/>
                <w:color w:val="000000" w:themeColor="text1"/>
                <w:sz w:val="20"/>
                <w:szCs w:val="20"/>
              </w:rPr>
              <w:t xml:space="preserve"> </w:t>
            </w:r>
          </w:p>
        </w:tc>
        <w:tc>
          <w:tcPr>
            <w:tcW w:w="2054" w:type="pct"/>
          </w:tcPr>
          <w:p w14:paraId="48047A75" w14:textId="582EBD84" w:rsidR="00265FBD" w:rsidRPr="00DD2CE4" w:rsidRDefault="00265FBD" w:rsidP="00265FBD">
            <w:pPr>
              <w:spacing w:after="0" w:line="240" w:lineRule="auto"/>
              <w:jc w:val="both"/>
              <w:rPr>
                <w:rFonts w:ascii="Times New Roman" w:hAnsi="Times New Roman"/>
                <w:b/>
                <w:bCs/>
                <w:color w:val="000000" w:themeColor="text1"/>
                <w:sz w:val="18"/>
                <w:szCs w:val="18"/>
                <w:u w:val="single"/>
              </w:rPr>
            </w:pPr>
            <w:r w:rsidRPr="00DD2CE4">
              <w:rPr>
                <w:rFonts w:ascii="Times New Roman" w:hAnsi="Times New Roman"/>
                <w:b/>
                <w:bCs/>
                <w:color w:val="000000" w:themeColor="text1"/>
                <w:sz w:val="18"/>
                <w:szCs w:val="18"/>
                <w:u w:val="single"/>
              </w:rPr>
              <w:t>i.13.1.6.a (CV28)</w:t>
            </w:r>
            <w:r w:rsidRPr="00DD2CE4">
              <w:rPr>
                <w:rFonts w:ascii="Times New Roman" w:hAnsi="Times New Roman"/>
                <w:b/>
                <w:bCs/>
                <w:color w:val="000000" w:themeColor="text1"/>
                <w:sz w:val="18"/>
                <w:szCs w:val="18"/>
                <w:u w:val="single"/>
              </w:rPr>
              <w:tab/>
              <w:t>Atbalstīto komersantu skaits</w:t>
            </w:r>
          </w:p>
          <w:p w14:paraId="14294ADF" w14:textId="22C70A12" w:rsidR="00E30ACA" w:rsidRPr="00DD2CE4" w:rsidRDefault="00E30ACA" w:rsidP="00265FBD">
            <w:pPr>
              <w:spacing w:after="0" w:line="240" w:lineRule="auto"/>
              <w:jc w:val="both"/>
              <w:rPr>
                <w:rFonts w:ascii="Times New Roman" w:hAnsi="Times New Roman"/>
                <w:b/>
                <w:bCs/>
                <w:color w:val="000000" w:themeColor="text1"/>
                <w:sz w:val="18"/>
                <w:szCs w:val="18"/>
                <w:u w:val="single"/>
              </w:rPr>
            </w:pPr>
            <w:r w:rsidRPr="00DD2CE4">
              <w:rPr>
                <w:rFonts w:ascii="Times New Roman" w:hAnsi="Times New Roman"/>
                <w:b/>
                <w:bCs/>
                <w:color w:val="000000" w:themeColor="text1"/>
                <w:sz w:val="18"/>
                <w:szCs w:val="18"/>
                <w:u w:val="single"/>
              </w:rPr>
              <w:t>i.13.1.6.b (CV29)</w:t>
            </w:r>
            <w:r w:rsidRPr="00DD2CE4">
              <w:rPr>
                <w:rFonts w:ascii="Times New Roman" w:hAnsi="Times New Roman"/>
                <w:b/>
                <w:bCs/>
                <w:color w:val="000000" w:themeColor="text1"/>
                <w:sz w:val="18"/>
                <w:szCs w:val="18"/>
                <w:u w:val="single"/>
              </w:rPr>
              <w:tab/>
              <w:t>Atbalstīto komersantu skaits, kas saņem grantus</w:t>
            </w:r>
          </w:p>
          <w:p w14:paraId="39C0C2E7" w14:textId="3CB3A48C" w:rsidR="00675C2A" w:rsidRPr="00DD2CE4" w:rsidRDefault="00675C2A" w:rsidP="00675C2A">
            <w:pPr>
              <w:spacing w:after="0" w:line="240" w:lineRule="auto"/>
              <w:jc w:val="both"/>
              <w:rPr>
                <w:rFonts w:ascii="Times New Roman" w:hAnsi="Times New Roman"/>
                <w:color w:val="000000" w:themeColor="text1"/>
                <w:sz w:val="18"/>
                <w:szCs w:val="18"/>
              </w:rPr>
            </w:pPr>
            <w:r w:rsidRPr="00DD2CE4">
              <w:rPr>
                <w:rFonts w:ascii="Times New Roman" w:hAnsi="Times New Roman"/>
                <w:color w:val="000000" w:themeColor="text1"/>
                <w:sz w:val="18"/>
                <w:szCs w:val="18"/>
              </w:rPr>
              <w:t>Rādītāj</w:t>
            </w:r>
            <w:r w:rsidR="00FA3A03" w:rsidRPr="00DD2CE4">
              <w:rPr>
                <w:rFonts w:ascii="Times New Roman" w:hAnsi="Times New Roman"/>
                <w:color w:val="000000" w:themeColor="text1"/>
                <w:sz w:val="18"/>
                <w:szCs w:val="18"/>
              </w:rPr>
              <w:t>i</w:t>
            </w:r>
            <w:r w:rsidRPr="00DD2CE4">
              <w:rPr>
                <w:rFonts w:ascii="Times New Roman" w:hAnsi="Times New Roman"/>
                <w:color w:val="000000" w:themeColor="text1"/>
                <w:sz w:val="18"/>
                <w:szCs w:val="18"/>
              </w:rPr>
              <w:t xml:space="preserve"> saistīt</w:t>
            </w:r>
            <w:r w:rsidR="00D660E7" w:rsidRPr="00DD2CE4">
              <w:rPr>
                <w:rFonts w:ascii="Times New Roman" w:hAnsi="Times New Roman"/>
                <w:color w:val="000000" w:themeColor="text1"/>
                <w:sz w:val="18"/>
                <w:szCs w:val="18"/>
              </w:rPr>
              <w:t>i</w:t>
            </w:r>
            <w:r w:rsidRPr="00DD2CE4">
              <w:rPr>
                <w:rFonts w:ascii="Times New Roman" w:hAnsi="Times New Roman"/>
                <w:color w:val="000000" w:themeColor="text1"/>
                <w:sz w:val="18"/>
                <w:szCs w:val="18"/>
              </w:rPr>
              <w:t xml:space="preserve"> ar </w:t>
            </w:r>
            <w:r w:rsidR="00854E08" w:rsidRPr="00DD2CE4">
              <w:rPr>
                <w:rFonts w:ascii="Times New Roman" w:hAnsi="Times New Roman"/>
                <w:color w:val="000000" w:themeColor="text1"/>
                <w:sz w:val="18"/>
                <w:szCs w:val="18"/>
              </w:rPr>
              <w:t>1.2.2.</w:t>
            </w:r>
            <w:r w:rsidR="00DF304E" w:rsidRPr="00DD2CE4">
              <w:rPr>
                <w:rFonts w:ascii="Times New Roman" w:hAnsi="Times New Roman"/>
                <w:color w:val="000000" w:themeColor="text1"/>
                <w:sz w:val="18"/>
                <w:szCs w:val="18"/>
              </w:rPr>
              <w:t xml:space="preserve"> </w:t>
            </w:r>
            <w:r w:rsidRPr="00DD2CE4">
              <w:rPr>
                <w:rFonts w:ascii="Times New Roman" w:hAnsi="Times New Roman"/>
                <w:color w:val="000000" w:themeColor="text1"/>
                <w:sz w:val="18"/>
                <w:szCs w:val="18"/>
              </w:rPr>
              <w:t>SAM</w:t>
            </w:r>
            <w:r w:rsidR="00AF08A4" w:rsidRPr="00DD2CE4">
              <w:rPr>
                <w:rFonts w:ascii="Times New Roman" w:hAnsi="Times New Roman"/>
                <w:color w:val="000000" w:themeColor="text1"/>
                <w:sz w:val="18"/>
                <w:szCs w:val="18"/>
              </w:rPr>
              <w:t xml:space="preserve">, </w:t>
            </w:r>
            <w:r w:rsidR="00AF08A4" w:rsidRPr="00DD2CE4">
              <w:rPr>
                <w:rFonts w:ascii="Times New Roman" w:eastAsia="Times New Roman" w:hAnsi="Times New Roman"/>
                <w:color w:val="000000" w:themeColor="text1"/>
                <w:sz w:val="18"/>
                <w:szCs w:val="18"/>
              </w:rPr>
              <w:t>tā kā finansējums tiks ieguldīts šajā SAM.</w:t>
            </w:r>
          </w:p>
          <w:p w14:paraId="3301EB64" w14:textId="77777777" w:rsidR="00675C2A" w:rsidRPr="00DD2CE4" w:rsidRDefault="00675C2A" w:rsidP="00675C2A">
            <w:pPr>
              <w:spacing w:after="0" w:line="240" w:lineRule="auto"/>
              <w:jc w:val="both"/>
              <w:rPr>
                <w:rFonts w:ascii="Times New Roman" w:hAnsi="Times New Roman"/>
                <w:color w:val="000000" w:themeColor="text1"/>
                <w:sz w:val="18"/>
                <w:szCs w:val="18"/>
              </w:rPr>
            </w:pPr>
          </w:p>
          <w:p w14:paraId="6BB01C24" w14:textId="40BF73F0" w:rsidR="00675C2A" w:rsidRPr="00DD2CE4" w:rsidRDefault="00675C2A" w:rsidP="00675C2A">
            <w:pPr>
              <w:spacing w:after="0" w:line="240" w:lineRule="auto"/>
              <w:jc w:val="both"/>
              <w:rPr>
                <w:rFonts w:ascii="Times New Roman" w:hAnsi="Times New Roman"/>
                <w:color w:val="000000" w:themeColor="text1"/>
                <w:sz w:val="18"/>
                <w:szCs w:val="18"/>
              </w:rPr>
            </w:pPr>
            <w:r w:rsidRPr="00DD2CE4">
              <w:rPr>
                <w:rFonts w:ascii="Times New Roman" w:hAnsi="Times New Roman"/>
                <w:i/>
                <w:iCs/>
                <w:color w:val="000000" w:themeColor="text1"/>
                <w:sz w:val="18"/>
                <w:szCs w:val="18"/>
              </w:rPr>
              <w:t>Definīcija:</w:t>
            </w:r>
            <w:r w:rsidRPr="00DD2CE4">
              <w:rPr>
                <w:rFonts w:ascii="Times New Roman" w:hAnsi="Times New Roman"/>
                <w:color w:val="000000" w:themeColor="text1"/>
                <w:sz w:val="18"/>
                <w:szCs w:val="18"/>
              </w:rPr>
              <w:t xml:space="preserve"> </w:t>
            </w:r>
            <w:r w:rsidR="00D9476A" w:rsidRPr="00DD2CE4">
              <w:rPr>
                <w:rFonts w:ascii="Times New Roman" w:hAnsi="Times New Roman"/>
                <w:color w:val="000000" w:themeColor="text1"/>
                <w:sz w:val="18"/>
                <w:szCs w:val="18"/>
              </w:rPr>
              <w:t>Lielie, MVK, kas saņēmuši atbalstu apmācību programmu ietvaros</w:t>
            </w:r>
          </w:p>
          <w:p w14:paraId="5E346F7C" w14:textId="77777777" w:rsidR="00675C2A" w:rsidRPr="00DD2CE4" w:rsidRDefault="00675C2A" w:rsidP="00675C2A">
            <w:pPr>
              <w:spacing w:after="0" w:line="240" w:lineRule="auto"/>
              <w:jc w:val="both"/>
              <w:rPr>
                <w:rFonts w:ascii="Times New Roman" w:hAnsi="Times New Roman"/>
                <w:color w:val="000000" w:themeColor="text1"/>
                <w:sz w:val="18"/>
                <w:szCs w:val="18"/>
              </w:rPr>
            </w:pPr>
          </w:p>
          <w:p w14:paraId="1CA5E328" w14:textId="77777777" w:rsidR="00675C2A" w:rsidRPr="00DD2CE4" w:rsidRDefault="00675C2A" w:rsidP="00675C2A">
            <w:pPr>
              <w:spacing w:after="0" w:line="240" w:lineRule="auto"/>
              <w:jc w:val="both"/>
              <w:rPr>
                <w:rFonts w:ascii="Times New Roman" w:hAnsi="Times New Roman"/>
                <w:color w:val="000000" w:themeColor="text1"/>
                <w:sz w:val="18"/>
                <w:szCs w:val="18"/>
              </w:rPr>
            </w:pPr>
            <w:r w:rsidRPr="00DD2CE4">
              <w:rPr>
                <w:rFonts w:ascii="Times New Roman" w:hAnsi="Times New Roman"/>
                <w:i/>
                <w:iCs/>
                <w:color w:val="000000" w:themeColor="text1"/>
                <w:sz w:val="18"/>
                <w:szCs w:val="18"/>
              </w:rPr>
              <w:t>Datu avots:</w:t>
            </w:r>
            <w:r w:rsidRPr="00DD2CE4">
              <w:rPr>
                <w:rFonts w:ascii="Times New Roman" w:hAnsi="Times New Roman"/>
                <w:color w:val="000000" w:themeColor="text1"/>
                <w:sz w:val="18"/>
                <w:szCs w:val="18"/>
              </w:rPr>
              <w:t xml:space="preserve"> Projektu dati</w:t>
            </w:r>
          </w:p>
          <w:p w14:paraId="230839B8" w14:textId="77777777" w:rsidR="00675C2A" w:rsidRPr="00DD2CE4" w:rsidRDefault="00675C2A" w:rsidP="00675C2A">
            <w:pPr>
              <w:spacing w:after="0" w:line="240" w:lineRule="auto"/>
              <w:jc w:val="both"/>
              <w:rPr>
                <w:rFonts w:ascii="Times New Roman" w:hAnsi="Times New Roman"/>
                <w:color w:val="000000" w:themeColor="text1"/>
                <w:sz w:val="18"/>
                <w:szCs w:val="18"/>
              </w:rPr>
            </w:pPr>
          </w:p>
          <w:p w14:paraId="0D9B0690" w14:textId="4ABD65D9" w:rsidR="00675C2A" w:rsidRPr="00DD2CE4" w:rsidRDefault="00675C2A" w:rsidP="00675C2A">
            <w:pPr>
              <w:spacing w:after="0" w:line="240" w:lineRule="auto"/>
              <w:jc w:val="both"/>
              <w:rPr>
                <w:rFonts w:ascii="Times New Roman" w:hAnsi="Times New Roman"/>
                <w:color w:val="000000" w:themeColor="text1"/>
                <w:sz w:val="18"/>
                <w:szCs w:val="18"/>
              </w:rPr>
            </w:pPr>
            <w:r w:rsidRPr="00DD2CE4">
              <w:rPr>
                <w:rFonts w:ascii="Times New Roman" w:hAnsi="Times New Roman"/>
                <w:i/>
                <w:iCs/>
                <w:color w:val="000000" w:themeColor="text1"/>
                <w:sz w:val="18"/>
                <w:szCs w:val="18"/>
              </w:rPr>
              <w:t>Apkopošanas biežums un ieguves metodoloģija:</w:t>
            </w:r>
            <w:r w:rsidRPr="00DD2CE4">
              <w:rPr>
                <w:rFonts w:ascii="Times New Roman" w:hAnsi="Times New Roman"/>
                <w:color w:val="000000" w:themeColor="text1"/>
                <w:sz w:val="18"/>
                <w:szCs w:val="18"/>
              </w:rPr>
              <w:t xml:space="preserve"> </w:t>
            </w:r>
            <w:r w:rsidR="007725DC" w:rsidRPr="00DD2CE4">
              <w:rPr>
                <w:rFonts w:ascii="Times New Roman" w:hAnsi="Times New Roman"/>
                <w:color w:val="000000" w:themeColor="text1"/>
                <w:sz w:val="18"/>
                <w:szCs w:val="18"/>
              </w:rPr>
              <w:t xml:space="preserve">reizi </w:t>
            </w:r>
            <w:r w:rsidR="00CC7F4B" w:rsidRPr="00DD2CE4">
              <w:rPr>
                <w:rFonts w:ascii="Times New Roman" w:hAnsi="Times New Roman"/>
                <w:color w:val="000000" w:themeColor="text1"/>
                <w:sz w:val="18"/>
                <w:szCs w:val="18"/>
              </w:rPr>
              <w:t>gad</w:t>
            </w:r>
            <w:r w:rsidR="007725DC" w:rsidRPr="00DD2CE4">
              <w:rPr>
                <w:rFonts w:ascii="Times New Roman" w:hAnsi="Times New Roman"/>
                <w:color w:val="000000" w:themeColor="text1"/>
                <w:sz w:val="18"/>
                <w:szCs w:val="18"/>
              </w:rPr>
              <w:t>ā</w:t>
            </w:r>
            <w:r w:rsidR="00CC7F4B" w:rsidRPr="00DD2CE4">
              <w:rPr>
                <w:rFonts w:ascii="Times New Roman" w:hAnsi="Times New Roman"/>
                <w:color w:val="000000" w:themeColor="text1"/>
                <w:sz w:val="18"/>
                <w:szCs w:val="18"/>
              </w:rPr>
              <w:t>, apkopojot informāciju par atbalstītajiem projektiem no projektu atskaitēm/ VIS sistēmas</w:t>
            </w:r>
          </w:p>
          <w:p w14:paraId="0F577711" w14:textId="77777777" w:rsidR="00675C2A" w:rsidRPr="00DD2CE4" w:rsidRDefault="00675C2A" w:rsidP="00675C2A">
            <w:pPr>
              <w:spacing w:after="0" w:line="240" w:lineRule="auto"/>
              <w:jc w:val="both"/>
              <w:rPr>
                <w:rFonts w:ascii="Times New Roman" w:hAnsi="Times New Roman"/>
                <w:color w:val="000000" w:themeColor="text1"/>
                <w:sz w:val="18"/>
                <w:szCs w:val="18"/>
              </w:rPr>
            </w:pPr>
          </w:p>
          <w:p w14:paraId="297F75DC" w14:textId="605369D1" w:rsidR="00675C2A" w:rsidRPr="00DD2CE4" w:rsidRDefault="00675C2A" w:rsidP="00675C2A">
            <w:pPr>
              <w:spacing w:after="0" w:line="240" w:lineRule="auto"/>
              <w:jc w:val="both"/>
              <w:rPr>
                <w:rFonts w:ascii="Times New Roman" w:hAnsi="Times New Roman"/>
                <w:color w:val="000000" w:themeColor="text1"/>
                <w:sz w:val="18"/>
                <w:szCs w:val="18"/>
              </w:rPr>
            </w:pPr>
            <w:r w:rsidRPr="00DD2CE4">
              <w:rPr>
                <w:rFonts w:ascii="Times New Roman" w:hAnsi="Times New Roman"/>
                <w:i/>
                <w:iCs/>
                <w:color w:val="000000" w:themeColor="text1"/>
                <w:sz w:val="18"/>
                <w:szCs w:val="18"/>
              </w:rPr>
              <w:t>Darbība, kas liek uzskatīt mērķa vērtību par izpildītu:</w:t>
            </w:r>
            <w:r w:rsidRPr="00DD2CE4">
              <w:rPr>
                <w:rFonts w:ascii="Times New Roman" w:hAnsi="Times New Roman"/>
                <w:color w:val="000000" w:themeColor="text1"/>
                <w:sz w:val="18"/>
                <w:szCs w:val="18"/>
              </w:rPr>
              <w:t xml:space="preserve"> </w:t>
            </w:r>
            <w:r w:rsidR="00040BBA" w:rsidRPr="00DD2CE4">
              <w:rPr>
                <w:rFonts w:ascii="Times New Roman" w:hAnsi="Times New Roman"/>
                <w:color w:val="000000" w:themeColor="text1"/>
                <w:sz w:val="18"/>
                <w:szCs w:val="18"/>
              </w:rPr>
              <w:t>rādītāju uzskaita, norādot unikālos gala saņēmējus (saimnieciskās darbības veicējus), ar kuriem noslēgts līgums un kuriem veikts vismaz viens maksājums</w:t>
            </w:r>
          </w:p>
          <w:p w14:paraId="19D9329F" w14:textId="77777777" w:rsidR="00675C2A" w:rsidRPr="00DD2CE4" w:rsidRDefault="00675C2A" w:rsidP="00675C2A">
            <w:pPr>
              <w:spacing w:after="0" w:line="240" w:lineRule="auto"/>
              <w:jc w:val="both"/>
              <w:rPr>
                <w:rFonts w:ascii="Times New Roman" w:hAnsi="Times New Roman"/>
                <w:color w:val="000000" w:themeColor="text1"/>
                <w:sz w:val="18"/>
                <w:szCs w:val="18"/>
              </w:rPr>
            </w:pPr>
          </w:p>
          <w:p w14:paraId="560E0BE2" w14:textId="77777777" w:rsidR="00675C2A" w:rsidRPr="00DD2CE4" w:rsidRDefault="00675C2A" w:rsidP="00675C2A">
            <w:pPr>
              <w:spacing w:after="0" w:line="240" w:lineRule="auto"/>
              <w:jc w:val="both"/>
              <w:rPr>
                <w:rFonts w:ascii="Times New Roman" w:hAnsi="Times New Roman"/>
                <w:color w:val="000000" w:themeColor="text1"/>
                <w:sz w:val="18"/>
                <w:szCs w:val="18"/>
              </w:rPr>
            </w:pPr>
          </w:p>
          <w:p w14:paraId="6F0E5E94" w14:textId="4D57F046" w:rsidR="00675C2A" w:rsidRPr="00DD2CE4" w:rsidRDefault="00675C2A" w:rsidP="1ED72EE7">
            <w:pPr>
              <w:spacing w:after="0" w:line="240" w:lineRule="auto"/>
              <w:jc w:val="both"/>
              <w:rPr>
                <w:rFonts w:ascii="Times New Roman" w:hAnsi="Times New Roman"/>
                <w:color w:val="000000" w:themeColor="text1"/>
                <w:sz w:val="18"/>
                <w:szCs w:val="18"/>
              </w:rPr>
            </w:pPr>
            <w:r w:rsidRPr="25018189">
              <w:rPr>
                <w:rFonts w:ascii="Times New Roman" w:hAnsi="Times New Roman"/>
                <w:i/>
                <w:iCs/>
                <w:color w:val="000000" w:themeColor="text1"/>
                <w:sz w:val="18"/>
                <w:szCs w:val="18"/>
              </w:rPr>
              <w:t xml:space="preserve">Mērķis 2023: </w:t>
            </w:r>
            <w:r w:rsidR="00960079">
              <w:rPr>
                <w:rFonts w:ascii="Times New Roman" w:hAnsi="Times New Roman"/>
                <w:color w:val="000000" w:themeColor="text1"/>
                <w:sz w:val="18"/>
                <w:szCs w:val="18"/>
              </w:rPr>
              <w:t>170</w:t>
            </w:r>
            <w:r w:rsidR="2BE216F5" w:rsidRPr="25018189">
              <w:rPr>
                <w:rFonts w:ascii="Times New Roman" w:hAnsi="Times New Roman"/>
                <w:color w:val="000000" w:themeColor="text1"/>
                <w:sz w:val="18"/>
                <w:szCs w:val="18"/>
              </w:rPr>
              <w:t xml:space="preserve"> </w:t>
            </w:r>
            <w:r w:rsidR="2BE216F5" w:rsidRPr="25018189">
              <w:rPr>
                <w:rFonts w:ascii="Times New Roman" w:eastAsia="Times New Roman" w:hAnsi="Times New Roman"/>
                <w:color w:val="000000" w:themeColor="text1"/>
                <w:sz w:val="18"/>
                <w:szCs w:val="18"/>
              </w:rPr>
              <w:t>(kopā)</w:t>
            </w:r>
          </w:p>
          <w:p w14:paraId="58DE0037" w14:textId="226F1D08" w:rsidR="31514BEA" w:rsidRPr="00DD2CE4" w:rsidRDefault="31514BEA" w:rsidP="31514BEA">
            <w:pPr>
              <w:spacing w:after="0" w:line="240" w:lineRule="auto"/>
              <w:jc w:val="both"/>
              <w:rPr>
                <w:color w:val="000000" w:themeColor="text1"/>
              </w:rPr>
            </w:pPr>
          </w:p>
          <w:p w14:paraId="11646B9A" w14:textId="77777777" w:rsidR="00675C2A" w:rsidRPr="00DD2CE4" w:rsidRDefault="00675C2A" w:rsidP="00675C2A">
            <w:pPr>
              <w:spacing w:after="0" w:line="240" w:lineRule="auto"/>
              <w:jc w:val="both"/>
              <w:rPr>
                <w:rFonts w:ascii="Times New Roman" w:hAnsi="Times New Roman"/>
                <w:i/>
                <w:iCs/>
                <w:color w:val="000000" w:themeColor="text1"/>
                <w:sz w:val="18"/>
                <w:szCs w:val="18"/>
              </w:rPr>
            </w:pPr>
          </w:p>
          <w:p w14:paraId="5480A8D1" w14:textId="77777777" w:rsidR="00675C2A" w:rsidRPr="00DD2CE4" w:rsidRDefault="00675C2A" w:rsidP="00675C2A">
            <w:pPr>
              <w:spacing w:after="0" w:line="240" w:lineRule="auto"/>
              <w:jc w:val="both"/>
              <w:rPr>
                <w:rFonts w:ascii="Times New Roman" w:hAnsi="Times New Roman"/>
                <w:i/>
                <w:iCs/>
                <w:color w:val="000000" w:themeColor="text1"/>
                <w:sz w:val="18"/>
                <w:szCs w:val="18"/>
              </w:rPr>
            </w:pPr>
            <w:r w:rsidRPr="00DD2CE4">
              <w:rPr>
                <w:rFonts w:ascii="Times New Roman" w:hAnsi="Times New Roman"/>
                <w:i/>
                <w:iCs/>
                <w:color w:val="000000" w:themeColor="text1"/>
                <w:sz w:val="18"/>
                <w:szCs w:val="18"/>
              </w:rPr>
              <w:t xml:space="preserve">Mērķa vērtības noteikšanas principi/metodoloģija: </w:t>
            </w:r>
          </w:p>
          <w:p w14:paraId="50DFA24C" w14:textId="21F0C2D5" w:rsidR="00C17240" w:rsidRPr="00DD2CE4" w:rsidRDefault="00C17240" w:rsidP="00675C2A">
            <w:pPr>
              <w:spacing w:after="0" w:line="240" w:lineRule="auto"/>
              <w:jc w:val="both"/>
              <w:rPr>
                <w:rFonts w:ascii="Times New Roman" w:hAnsi="Times New Roman"/>
                <w:color w:val="000000" w:themeColor="text1"/>
                <w:sz w:val="18"/>
                <w:szCs w:val="18"/>
              </w:rPr>
            </w:pPr>
            <w:r w:rsidRPr="25018189">
              <w:rPr>
                <w:rFonts w:ascii="Times New Roman" w:hAnsi="Times New Roman"/>
                <w:color w:val="000000" w:themeColor="text1"/>
                <w:sz w:val="18"/>
                <w:szCs w:val="18"/>
              </w:rPr>
              <w:t xml:space="preserve">rādītāju uzskaita par </w:t>
            </w:r>
            <w:r w:rsidR="000462CC" w:rsidRPr="25018189">
              <w:rPr>
                <w:rFonts w:ascii="Times New Roman" w:hAnsi="Times New Roman"/>
                <w:color w:val="000000" w:themeColor="text1"/>
                <w:sz w:val="18"/>
                <w:szCs w:val="18"/>
              </w:rPr>
              <w:t xml:space="preserve">1.2.2. SAM </w:t>
            </w:r>
            <w:r w:rsidRPr="25018189">
              <w:rPr>
                <w:rFonts w:ascii="Times New Roman" w:hAnsi="Times New Roman"/>
                <w:color w:val="000000" w:themeColor="text1"/>
                <w:sz w:val="18"/>
                <w:szCs w:val="18"/>
              </w:rPr>
              <w:t>1.2.2.1., 1.2.2.3. pasākumu. Ņemot vērā līdzšinējo pasākumu ieviešanas gaitu</w:t>
            </w:r>
            <w:r w:rsidR="005B14C0" w:rsidRPr="25018189">
              <w:rPr>
                <w:rFonts w:ascii="Times New Roman" w:hAnsi="Times New Roman"/>
                <w:color w:val="000000" w:themeColor="text1"/>
                <w:sz w:val="18"/>
                <w:szCs w:val="18"/>
              </w:rPr>
              <w:t xml:space="preserve"> un pieprasījumu</w:t>
            </w:r>
            <w:r w:rsidRPr="25018189">
              <w:rPr>
                <w:rFonts w:ascii="Times New Roman" w:hAnsi="Times New Roman"/>
                <w:color w:val="000000" w:themeColor="text1"/>
                <w:sz w:val="18"/>
                <w:szCs w:val="18"/>
              </w:rPr>
              <w:t>, kad apmācības notika klātienē un 2020. gadā daļēji attālināti, prognozējams, ka laika periodā 2021.-2023. gad</w:t>
            </w:r>
            <w:r w:rsidR="00A460EC" w:rsidRPr="25018189">
              <w:rPr>
                <w:rFonts w:ascii="Times New Roman" w:hAnsi="Times New Roman"/>
                <w:color w:val="000000" w:themeColor="text1"/>
                <w:sz w:val="18"/>
                <w:szCs w:val="18"/>
              </w:rPr>
              <w:t>ā</w:t>
            </w:r>
            <w:r w:rsidRPr="25018189">
              <w:rPr>
                <w:rFonts w:ascii="Times New Roman" w:hAnsi="Times New Roman"/>
                <w:color w:val="000000" w:themeColor="text1"/>
                <w:sz w:val="18"/>
                <w:szCs w:val="18"/>
              </w:rPr>
              <w:t xml:space="preserve"> tiks apmācīti </w:t>
            </w:r>
            <w:r w:rsidR="00960079">
              <w:rPr>
                <w:rFonts w:ascii="Times New Roman" w:hAnsi="Times New Roman"/>
                <w:color w:val="000000" w:themeColor="text1"/>
                <w:sz w:val="18"/>
                <w:szCs w:val="18"/>
              </w:rPr>
              <w:t>170</w:t>
            </w:r>
            <w:r w:rsidRPr="25018189">
              <w:rPr>
                <w:rFonts w:ascii="Times New Roman" w:hAnsi="Times New Roman"/>
                <w:color w:val="000000" w:themeColor="text1"/>
                <w:sz w:val="18"/>
                <w:szCs w:val="18"/>
              </w:rPr>
              <w:t xml:space="preserve"> komersanti. Rādītājs noteikts piesardzīgi, ņemot vērā riska faktoru mērķa vērtības daļējai sasniegšanai Covid-19 </w:t>
            </w:r>
            <w:r w:rsidR="00B64682">
              <w:rPr>
                <w:rFonts w:ascii="Times New Roman" w:hAnsi="Times New Roman"/>
                <w:color w:val="000000" w:themeColor="text1"/>
                <w:sz w:val="18"/>
                <w:szCs w:val="18"/>
              </w:rPr>
              <w:t>un ģeopoli</w:t>
            </w:r>
            <w:r w:rsidR="00916B8F">
              <w:rPr>
                <w:rFonts w:ascii="Times New Roman" w:hAnsi="Times New Roman"/>
                <w:color w:val="000000" w:themeColor="text1"/>
                <w:sz w:val="18"/>
                <w:szCs w:val="18"/>
              </w:rPr>
              <w:t>ti</w:t>
            </w:r>
            <w:r w:rsidR="00B64682">
              <w:rPr>
                <w:rFonts w:ascii="Times New Roman" w:hAnsi="Times New Roman"/>
                <w:color w:val="000000" w:themeColor="text1"/>
                <w:sz w:val="18"/>
                <w:szCs w:val="18"/>
              </w:rPr>
              <w:t xml:space="preserve">skās situācijas </w:t>
            </w:r>
            <w:r w:rsidR="00916B8F">
              <w:rPr>
                <w:rFonts w:ascii="Times New Roman" w:hAnsi="Times New Roman"/>
                <w:color w:val="000000" w:themeColor="text1"/>
                <w:sz w:val="18"/>
                <w:szCs w:val="18"/>
              </w:rPr>
              <w:t xml:space="preserve">dēļ kara Ukrainā </w:t>
            </w:r>
            <w:r w:rsidR="00B64682">
              <w:rPr>
                <w:rFonts w:ascii="Times New Roman" w:hAnsi="Times New Roman"/>
                <w:color w:val="000000" w:themeColor="text1"/>
                <w:sz w:val="18"/>
                <w:szCs w:val="18"/>
              </w:rPr>
              <w:t>pasaulē dēļ</w:t>
            </w:r>
            <w:r w:rsidR="00916B8F">
              <w:rPr>
                <w:rFonts w:ascii="Times New Roman" w:hAnsi="Times New Roman"/>
                <w:color w:val="000000" w:themeColor="text1"/>
                <w:sz w:val="18"/>
                <w:szCs w:val="18"/>
              </w:rPr>
              <w:t xml:space="preserve"> kā rezultātā komersanti izvērtē </w:t>
            </w:r>
            <w:r w:rsidR="00ED33E7">
              <w:rPr>
                <w:rFonts w:ascii="Times New Roman" w:hAnsi="Times New Roman"/>
                <w:color w:val="000000" w:themeColor="text1"/>
                <w:sz w:val="18"/>
                <w:szCs w:val="18"/>
              </w:rPr>
              <w:t>uzņēmumu attīstības virzienus.</w:t>
            </w:r>
          </w:p>
          <w:p w14:paraId="57EC8CAD" w14:textId="77777777" w:rsidR="00675C2A" w:rsidRPr="00DD2CE4" w:rsidRDefault="00675C2A" w:rsidP="00675C2A">
            <w:pPr>
              <w:spacing w:after="0" w:line="240" w:lineRule="auto"/>
              <w:jc w:val="both"/>
              <w:rPr>
                <w:rFonts w:ascii="Times New Roman" w:hAnsi="Times New Roman"/>
                <w:color w:val="000000" w:themeColor="text1"/>
                <w:sz w:val="18"/>
                <w:szCs w:val="18"/>
              </w:rPr>
            </w:pPr>
          </w:p>
          <w:p w14:paraId="0E7A9D54" w14:textId="06959B86" w:rsidR="00675C2A" w:rsidRPr="00DD2CE4" w:rsidRDefault="00675C2A" w:rsidP="00675C2A">
            <w:pPr>
              <w:spacing w:after="0" w:line="240" w:lineRule="auto"/>
              <w:jc w:val="both"/>
              <w:rPr>
                <w:rFonts w:ascii="Times New Roman" w:hAnsi="Times New Roman"/>
                <w:color w:val="000000" w:themeColor="text1"/>
                <w:sz w:val="18"/>
                <w:szCs w:val="18"/>
              </w:rPr>
            </w:pPr>
            <w:r w:rsidRPr="25018189">
              <w:rPr>
                <w:rFonts w:ascii="Times New Roman" w:hAnsi="Times New Roman"/>
                <w:i/>
                <w:iCs/>
                <w:color w:val="000000" w:themeColor="text1"/>
                <w:sz w:val="18"/>
                <w:szCs w:val="18"/>
              </w:rPr>
              <w:t>Iznākuma rādītājam sasniegšanai paredzētais finansējums:</w:t>
            </w:r>
            <w:r w:rsidRPr="25018189">
              <w:rPr>
                <w:rFonts w:ascii="Times New Roman" w:hAnsi="Times New Roman"/>
                <w:color w:val="000000" w:themeColor="text1"/>
                <w:sz w:val="18"/>
                <w:szCs w:val="18"/>
              </w:rPr>
              <w:t xml:space="preserve"> </w:t>
            </w:r>
            <w:r w:rsidR="00337601" w:rsidRPr="00337601">
              <w:rPr>
                <w:rFonts w:ascii="Times New Roman" w:hAnsi="Times New Roman"/>
                <w:color w:val="000000" w:themeColor="text1"/>
                <w:sz w:val="18"/>
                <w:szCs w:val="18"/>
              </w:rPr>
              <w:t>12 719</w:t>
            </w:r>
            <w:r w:rsidR="00337601">
              <w:rPr>
                <w:rFonts w:ascii="Times New Roman" w:hAnsi="Times New Roman"/>
                <w:color w:val="000000" w:themeColor="text1"/>
                <w:sz w:val="18"/>
                <w:szCs w:val="18"/>
              </w:rPr>
              <w:t> </w:t>
            </w:r>
            <w:r w:rsidR="00337601" w:rsidRPr="00337601">
              <w:rPr>
                <w:rFonts w:ascii="Times New Roman" w:hAnsi="Times New Roman"/>
                <w:color w:val="000000" w:themeColor="text1"/>
                <w:sz w:val="18"/>
                <w:szCs w:val="18"/>
              </w:rPr>
              <w:t>700</w:t>
            </w:r>
            <w:r w:rsidR="00337601">
              <w:rPr>
                <w:rFonts w:ascii="Times New Roman" w:hAnsi="Times New Roman"/>
                <w:color w:val="000000" w:themeColor="text1"/>
                <w:sz w:val="18"/>
                <w:szCs w:val="18"/>
              </w:rPr>
              <w:t xml:space="preserve"> </w:t>
            </w:r>
            <w:r w:rsidRPr="25018189">
              <w:rPr>
                <w:rFonts w:ascii="Times New Roman" w:hAnsi="Times New Roman"/>
                <w:color w:val="000000" w:themeColor="text1"/>
                <w:sz w:val="18"/>
                <w:szCs w:val="18"/>
              </w:rPr>
              <w:t>EUR</w:t>
            </w:r>
          </w:p>
          <w:p w14:paraId="39D43E0D" w14:textId="77777777" w:rsidR="00675C2A" w:rsidRPr="00DD2CE4" w:rsidRDefault="00675C2A" w:rsidP="00265FBD">
            <w:pPr>
              <w:spacing w:after="0" w:line="240" w:lineRule="auto"/>
              <w:jc w:val="both"/>
              <w:rPr>
                <w:rFonts w:ascii="Times New Roman" w:hAnsi="Times New Roman"/>
                <w:b/>
                <w:bCs/>
                <w:color w:val="000000" w:themeColor="text1"/>
                <w:sz w:val="18"/>
                <w:szCs w:val="18"/>
                <w:u w:val="single"/>
              </w:rPr>
            </w:pPr>
          </w:p>
          <w:p w14:paraId="764EE4D8" w14:textId="78C6D4B7" w:rsidR="00265FBD" w:rsidRPr="00DD2CE4" w:rsidRDefault="00265FBD" w:rsidP="00265FBD">
            <w:pPr>
              <w:spacing w:after="0" w:line="240" w:lineRule="auto"/>
              <w:jc w:val="both"/>
              <w:rPr>
                <w:rFonts w:ascii="Times New Roman" w:hAnsi="Times New Roman"/>
                <w:b/>
                <w:bCs/>
                <w:color w:val="000000" w:themeColor="text1"/>
                <w:sz w:val="18"/>
                <w:szCs w:val="18"/>
                <w:u w:val="single"/>
              </w:rPr>
            </w:pPr>
            <w:r w:rsidRPr="00DD2CE4">
              <w:rPr>
                <w:rFonts w:ascii="Times New Roman" w:hAnsi="Times New Roman"/>
                <w:b/>
                <w:bCs/>
                <w:color w:val="000000" w:themeColor="text1"/>
                <w:sz w:val="18"/>
                <w:szCs w:val="18"/>
                <w:u w:val="single"/>
              </w:rPr>
              <w:t xml:space="preserve">i.13.1.6.c </w:t>
            </w:r>
            <w:r w:rsidRPr="00DD2CE4">
              <w:rPr>
                <w:rFonts w:ascii="Times New Roman" w:hAnsi="Times New Roman"/>
                <w:b/>
                <w:bCs/>
                <w:color w:val="000000" w:themeColor="text1"/>
                <w:sz w:val="18"/>
                <w:szCs w:val="18"/>
                <w:u w:val="single"/>
              </w:rPr>
              <w:tab/>
              <w:t>Personu skaits, kuras saņem nefinansiālu atbalstu</w:t>
            </w:r>
          </w:p>
          <w:p w14:paraId="5E5458C8" w14:textId="0CF0F95D" w:rsidR="0033207E" w:rsidRPr="00DD2CE4" w:rsidRDefault="0033207E" w:rsidP="0033207E">
            <w:pPr>
              <w:spacing w:after="0" w:line="240" w:lineRule="auto"/>
              <w:jc w:val="both"/>
              <w:rPr>
                <w:rFonts w:ascii="Times New Roman" w:eastAsia="Times New Roman" w:hAnsi="Times New Roman"/>
                <w:color w:val="000000" w:themeColor="text1"/>
                <w:sz w:val="18"/>
                <w:szCs w:val="18"/>
              </w:rPr>
            </w:pPr>
            <w:r w:rsidRPr="00DD2CE4">
              <w:rPr>
                <w:rFonts w:ascii="Times New Roman" w:eastAsia="Times New Roman" w:hAnsi="Times New Roman"/>
                <w:color w:val="000000" w:themeColor="text1"/>
                <w:sz w:val="18"/>
                <w:szCs w:val="18"/>
              </w:rPr>
              <w:t xml:space="preserve">Rādītājs saistīts ar </w:t>
            </w:r>
            <w:r w:rsidR="00854E08" w:rsidRPr="00DD2CE4">
              <w:rPr>
                <w:rFonts w:ascii="Times New Roman" w:eastAsia="Times New Roman" w:hAnsi="Times New Roman"/>
                <w:color w:val="000000" w:themeColor="text1"/>
                <w:sz w:val="18"/>
                <w:szCs w:val="18"/>
              </w:rPr>
              <w:t>1.2.2.</w:t>
            </w:r>
            <w:r w:rsidR="00DF304E" w:rsidRPr="00DD2CE4">
              <w:rPr>
                <w:rFonts w:ascii="Times New Roman" w:eastAsia="Times New Roman" w:hAnsi="Times New Roman"/>
                <w:color w:val="000000" w:themeColor="text1"/>
                <w:sz w:val="18"/>
                <w:szCs w:val="18"/>
              </w:rPr>
              <w:t xml:space="preserve"> </w:t>
            </w:r>
            <w:r w:rsidRPr="00DD2CE4">
              <w:rPr>
                <w:rFonts w:ascii="Times New Roman" w:eastAsia="Times New Roman" w:hAnsi="Times New Roman"/>
                <w:color w:val="000000" w:themeColor="text1"/>
                <w:sz w:val="18"/>
                <w:szCs w:val="18"/>
              </w:rPr>
              <w:t>SAM</w:t>
            </w:r>
            <w:r w:rsidR="00AF08A4" w:rsidRPr="00DD2CE4">
              <w:rPr>
                <w:rFonts w:ascii="Times New Roman" w:eastAsia="Times New Roman" w:hAnsi="Times New Roman"/>
                <w:color w:val="000000" w:themeColor="text1"/>
                <w:sz w:val="18"/>
                <w:szCs w:val="18"/>
              </w:rPr>
              <w:t>, tā kā finansējums tiks ieguldīts šajā SAM.</w:t>
            </w:r>
          </w:p>
          <w:p w14:paraId="64DEDFC6" w14:textId="77777777" w:rsidR="0033207E" w:rsidRPr="00DD2CE4" w:rsidRDefault="0033207E" w:rsidP="0033207E">
            <w:pPr>
              <w:spacing w:after="0" w:line="240" w:lineRule="auto"/>
              <w:jc w:val="both"/>
              <w:rPr>
                <w:rFonts w:ascii="Times New Roman" w:eastAsia="Times New Roman" w:hAnsi="Times New Roman"/>
                <w:b/>
                <w:bCs/>
                <w:color w:val="000000" w:themeColor="text1"/>
                <w:sz w:val="18"/>
                <w:szCs w:val="18"/>
              </w:rPr>
            </w:pPr>
          </w:p>
          <w:p w14:paraId="553B9714" w14:textId="0BCFA418" w:rsidR="0033207E" w:rsidRPr="00DD2CE4" w:rsidRDefault="0033207E" w:rsidP="0033207E">
            <w:pPr>
              <w:spacing w:after="0" w:line="240" w:lineRule="auto"/>
              <w:jc w:val="both"/>
              <w:rPr>
                <w:rFonts w:ascii="Times New Roman" w:hAnsi="Times New Roman"/>
                <w:i/>
                <w:color w:val="000000" w:themeColor="text1"/>
                <w:sz w:val="18"/>
                <w:szCs w:val="18"/>
              </w:rPr>
            </w:pPr>
            <w:r w:rsidRPr="00DD2CE4">
              <w:rPr>
                <w:rFonts w:ascii="Times New Roman" w:hAnsi="Times New Roman"/>
                <w:i/>
                <w:color w:val="000000" w:themeColor="text1"/>
                <w:sz w:val="18"/>
                <w:szCs w:val="18"/>
              </w:rPr>
              <w:t>Definīcija:</w:t>
            </w:r>
            <w:r w:rsidRPr="00DD2CE4">
              <w:rPr>
                <w:rFonts w:ascii="Times New Roman" w:hAnsi="Times New Roman"/>
                <w:color w:val="000000" w:themeColor="text1"/>
                <w:sz w:val="18"/>
                <w:szCs w:val="18"/>
              </w:rPr>
              <w:t xml:space="preserve"> </w:t>
            </w:r>
            <w:r w:rsidR="00C917C6" w:rsidRPr="00DD2CE4">
              <w:rPr>
                <w:rFonts w:ascii="Times New Roman" w:hAnsi="Times New Roman"/>
                <w:color w:val="000000" w:themeColor="text1"/>
                <w:sz w:val="18"/>
                <w:szCs w:val="18"/>
              </w:rPr>
              <w:t>Dalībnieku skaits (komersantos nodarbinātie), kas saņēmuši atbalstu apmācību programmu ietvaros</w:t>
            </w:r>
          </w:p>
          <w:p w14:paraId="6A1FC689" w14:textId="77777777" w:rsidR="0033207E" w:rsidRPr="00DD2CE4" w:rsidRDefault="0033207E" w:rsidP="0033207E">
            <w:pPr>
              <w:spacing w:after="0" w:line="240" w:lineRule="auto"/>
              <w:jc w:val="both"/>
              <w:rPr>
                <w:rFonts w:ascii="Times New Roman" w:hAnsi="Times New Roman"/>
                <w:color w:val="000000" w:themeColor="text1"/>
                <w:sz w:val="18"/>
                <w:szCs w:val="18"/>
              </w:rPr>
            </w:pPr>
          </w:p>
          <w:p w14:paraId="601061AA" w14:textId="77777777" w:rsidR="0033207E" w:rsidRPr="00DD2CE4" w:rsidRDefault="0033207E" w:rsidP="0033207E">
            <w:pPr>
              <w:spacing w:after="0" w:line="240" w:lineRule="auto"/>
              <w:jc w:val="both"/>
              <w:rPr>
                <w:rFonts w:ascii="Times New Roman" w:hAnsi="Times New Roman"/>
                <w:color w:val="000000" w:themeColor="text1"/>
                <w:sz w:val="18"/>
                <w:szCs w:val="18"/>
              </w:rPr>
            </w:pPr>
            <w:r w:rsidRPr="00DD2CE4">
              <w:rPr>
                <w:rFonts w:ascii="Times New Roman" w:hAnsi="Times New Roman"/>
                <w:i/>
                <w:color w:val="000000" w:themeColor="text1"/>
                <w:sz w:val="18"/>
                <w:szCs w:val="18"/>
              </w:rPr>
              <w:t>Datu avots</w:t>
            </w:r>
            <w:r w:rsidRPr="00DD2CE4">
              <w:rPr>
                <w:rFonts w:ascii="Times New Roman" w:hAnsi="Times New Roman"/>
                <w:color w:val="000000" w:themeColor="text1"/>
                <w:sz w:val="18"/>
                <w:szCs w:val="18"/>
              </w:rPr>
              <w:t>: Projektu dati</w:t>
            </w:r>
          </w:p>
          <w:p w14:paraId="6F7FA62C" w14:textId="77777777" w:rsidR="0033207E" w:rsidRPr="00DD2CE4" w:rsidRDefault="0033207E" w:rsidP="0033207E">
            <w:pPr>
              <w:spacing w:after="0" w:line="240" w:lineRule="auto"/>
              <w:jc w:val="both"/>
              <w:rPr>
                <w:rFonts w:ascii="Times New Roman" w:hAnsi="Times New Roman"/>
                <w:color w:val="000000" w:themeColor="text1"/>
                <w:sz w:val="18"/>
                <w:szCs w:val="18"/>
              </w:rPr>
            </w:pPr>
          </w:p>
          <w:p w14:paraId="0F16EA03" w14:textId="6108DE7D" w:rsidR="0033207E" w:rsidRPr="00DD2CE4" w:rsidRDefault="0033207E" w:rsidP="0033207E">
            <w:pPr>
              <w:spacing w:after="0" w:line="240" w:lineRule="auto"/>
              <w:jc w:val="both"/>
              <w:rPr>
                <w:rFonts w:ascii="Times New Roman" w:hAnsi="Times New Roman"/>
                <w:i/>
                <w:color w:val="000000" w:themeColor="text1"/>
                <w:sz w:val="18"/>
                <w:szCs w:val="18"/>
              </w:rPr>
            </w:pPr>
            <w:r w:rsidRPr="00DD2CE4">
              <w:rPr>
                <w:rFonts w:ascii="Times New Roman" w:hAnsi="Times New Roman"/>
                <w:i/>
                <w:color w:val="000000" w:themeColor="text1"/>
                <w:sz w:val="18"/>
                <w:szCs w:val="18"/>
              </w:rPr>
              <w:t>Apkopošanas biežums un ieguves metodoloģija:</w:t>
            </w:r>
            <w:r w:rsidRPr="00DD2CE4">
              <w:rPr>
                <w:rFonts w:ascii="Times New Roman" w:hAnsi="Times New Roman"/>
                <w:color w:val="000000" w:themeColor="text1"/>
                <w:sz w:val="18"/>
                <w:szCs w:val="18"/>
              </w:rPr>
              <w:t xml:space="preserve"> </w:t>
            </w:r>
            <w:r w:rsidR="00CE09DC" w:rsidRPr="00DD2CE4">
              <w:rPr>
                <w:rFonts w:ascii="Times New Roman" w:hAnsi="Times New Roman"/>
                <w:color w:val="000000" w:themeColor="text1"/>
                <w:sz w:val="18"/>
                <w:szCs w:val="18"/>
              </w:rPr>
              <w:t>reizi</w:t>
            </w:r>
            <w:r w:rsidRPr="00DD2CE4">
              <w:rPr>
                <w:rFonts w:ascii="Times New Roman" w:hAnsi="Times New Roman"/>
                <w:color w:val="000000" w:themeColor="text1"/>
                <w:sz w:val="18"/>
                <w:szCs w:val="18"/>
              </w:rPr>
              <w:t xml:space="preserve"> gad</w:t>
            </w:r>
            <w:r w:rsidR="00CE09DC" w:rsidRPr="00DD2CE4">
              <w:rPr>
                <w:rFonts w:ascii="Times New Roman" w:hAnsi="Times New Roman"/>
                <w:color w:val="000000" w:themeColor="text1"/>
                <w:sz w:val="18"/>
                <w:szCs w:val="18"/>
              </w:rPr>
              <w:t>ā</w:t>
            </w:r>
            <w:r w:rsidRPr="00DD2CE4">
              <w:rPr>
                <w:rFonts w:ascii="Times New Roman" w:hAnsi="Times New Roman"/>
                <w:color w:val="000000" w:themeColor="text1"/>
                <w:sz w:val="18"/>
                <w:szCs w:val="18"/>
              </w:rPr>
              <w:t xml:space="preserve">, </w:t>
            </w:r>
            <w:r w:rsidR="00CE09DC" w:rsidRPr="00DD2CE4">
              <w:rPr>
                <w:rFonts w:ascii="Times New Roman" w:hAnsi="Times New Roman"/>
                <w:color w:val="000000" w:themeColor="text1"/>
                <w:sz w:val="18"/>
                <w:szCs w:val="18"/>
              </w:rPr>
              <w:t>apkopojot informāciju par atbalstītajiem projektiem no projektu atskaitēm/ VIS sistēmas</w:t>
            </w:r>
          </w:p>
          <w:p w14:paraId="7D1C2AA9" w14:textId="77777777" w:rsidR="0033207E" w:rsidRPr="00DD2CE4" w:rsidRDefault="0033207E" w:rsidP="0033207E">
            <w:pPr>
              <w:spacing w:after="0" w:line="240" w:lineRule="auto"/>
              <w:jc w:val="both"/>
              <w:rPr>
                <w:rFonts w:ascii="Times New Roman" w:hAnsi="Times New Roman"/>
                <w:color w:val="000000" w:themeColor="text1"/>
                <w:sz w:val="18"/>
                <w:szCs w:val="18"/>
              </w:rPr>
            </w:pPr>
          </w:p>
          <w:p w14:paraId="3C9D90BA" w14:textId="59091C86" w:rsidR="0033207E" w:rsidRPr="00DD2CE4" w:rsidRDefault="0033207E" w:rsidP="0033207E">
            <w:pPr>
              <w:spacing w:after="0" w:line="240" w:lineRule="auto"/>
              <w:jc w:val="both"/>
              <w:rPr>
                <w:rFonts w:ascii="Times New Roman" w:hAnsi="Times New Roman"/>
                <w:iCs/>
                <w:color w:val="000000" w:themeColor="text1"/>
                <w:sz w:val="18"/>
                <w:szCs w:val="18"/>
              </w:rPr>
            </w:pPr>
            <w:r w:rsidRPr="00DD2CE4">
              <w:rPr>
                <w:rFonts w:ascii="Times New Roman" w:eastAsiaTheme="minorHAnsi" w:hAnsi="Times New Roman"/>
                <w:i/>
                <w:color w:val="000000" w:themeColor="text1"/>
                <w:sz w:val="18"/>
                <w:szCs w:val="18"/>
              </w:rPr>
              <w:t xml:space="preserve">Darbība, kas liek uzskatīt mērķa vērtību par izpildītu: </w:t>
            </w:r>
            <w:r w:rsidR="00846392" w:rsidRPr="00DD2CE4">
              <w:rPr>
                <w:rFonts w:ascii="Times New Roman" w:eastAsiaTheme="minorHAnsi" w:hAnsi="Times New Roman"/>
                <w:iCs/>
                <w:color w:val="000000" w:themeColor="text1"/>
                <w:sz w:val="18"/>
                <w:szCs w:val="18"/>
              </w:rPr>
              <w:t>rādītāju uzskaita, norādot unikālo gala saņēmēju (saimnieciskās darbības veicēju) ne-unikālās nodarbinātās personas</w:t>
            </w:r>
          </w:p>
          <w:p w14:paraId="03C608D0" w14:textId="77777777" w:rsidR="0033207E" w:rsidRPr="00DD2CE4" w:rsidRDefault="0033207E" w:rsidP="0033207E">
            <w:pPr>
              <w:spacing w:after="0" w:line="240" w:lineRule="auto"/>
              <w:jc w:val="both"/>
              <w:rPr>
                <w:rFonts w:ascii="Times New Roman" w:hAnsi="Times New Roman"/>
                <w:color w:val="000000" w:themeColor="text1"/>
                <w:sz w:val="18"/>
                <w:szCs w:val="18"/>
              </w:rPr>
            </w:pPr>
          </w:p>
          <w:p w14:paraId="21682631" w14:textId="77777777" w:rsidR="0033207E" w:rsidRPr="00DD2CE4" w:rsidRDefault="0033207E" w:rsidP="0033207E">
            <w:pPr>
              <w:spacing w:after="0" w:line="240" w:lineRule="auto"/>
              <w:jc w:val="both"/>
              <w:rPr>
                <w:rFonts w:ascii="Times New Roman" w:hAnsi="Times New Roman"/>
                <w:i/>
                <w:color w:val="000000" w:themeColor="text1"/>
                <w:sz w:val="18"/>
                <w:szCs w:val="18"/>
              </w:rPr>
            </w:pPr>
          </w:p>
          <w:p w14:paraId="7BD7C8A8" w14:textId="0823085D" w:rsidR="0033207E" w:rsidRPr="00DD2CE4" w:rsidRDefault="0033207E" w:rsidP="1ED72EE7">
            <w:pPr>
              <w:spacing w:after="0" w:line="240" w:lineRule="auto"/>
              <w:jc w:val="both"/>
              <w:rPr>
                <w:rFonts w:ascii="Times New Roman" w:hAnsi="Times New Roman"/>
                <w:color w:val="000000" w:themeColor="text1"/>
                <w:sz w:val="18"/>
                <w:szCs w:val="18"/>
              </w:rPr>
            </w:pPr>
            <w:r w:rsidRPr="25018189">
              <w:rPr>
                <w:rFonts w:ascii="Times New Roman" w:hAnsi="Times New Roman"/>
                <w:i/>
                <w:iCs/>
                <w:color w:val="000000" w:themeColor="text1"/>
                <w:sz w:val="18"/>
                <w:szCs w:val="18"/>
              </w:rPr>
              <w:t>Mērķis 2023</w:t>
            </w:r>
            <w:r w:rsidRPr="25018189">
              <w:rPr>
                <w:rFonts w:ascii="Times New Roman" w:hAnsi="Times New Roman"/>
                <w:color w:val="000000" w:themeColor="text1"/>
                <w:sz w:val="18"/>
                <w:szCs w:val="18"/>
              </w:rPr>
              <w:t xml:space="preserve">: </w:t>
            </w:r>
            <w:r w:rsidR="00B5555D">
              <w:rPr>
                <w:rFonts w:ascii="Times New Roman" w:hAnsi="Times New Roman"/>
                <w:color w:val="000000" w:themeColor="text1"/>
                <w:sz w:val="18"/>
                <w:szCs w:val="18"/>
              </w:rPr>
              <w:t>100</w:t>
            </w:r>
            <w:r w:rsidR="009E6559">
              <w:rPr>
                <w:rFonts w:ascii="Times New Roman" w:hAnsi="Times New Roman"/>
                <w:color w:val="000000" w:themeColor="text1"/>
                <w:sz w:val="18"/>
                <w:szCs w:val="18"/>
              </w:rPr>
              <w:t>8</w:t>
            </w:r>
            <w:r w:rsidR="642065C2" w:rsidRPr="25018189">
              <w:rPr>
                <w:rFonts w:ascii="Times New Roman" w:hAnsi="Times New Roman"/>
                <w:color w:val="000000" w:themeColor="text1"/>
                <w:sz w:val="18"/>
                <w:szCs w:val="18"/>
              </w:rPr>
              <w:t xml:space="preserve"> </w:t>
            </w:r>
            <w:r w:rsidR="642065C2" w:rsidRPr="25018189">
              <w:rPr>
                <w:rFonts w:ascii="Times New Roman" w:eastAsia="Times New Roman" w:hAnsi="Times New Roman"/>
                <w:color w:val="000000" w:themeColor="text1"/>
                <w:sz w:val="18"/>
                <w:szCs w:val="18"/>
              </w:rPr>
              <w:t>(kopā)</w:t>
            </w:r>
          </w:p>
          <w:p w14:paraId="6BBC95C4" w14:textId="3712EAAB" w:rsidR="31514BEA" w:rsidRPr="00DD2CE4" w:rsidRDefault="31514BEA" w:rsidP="31514BEA">
            <w:pPr>
              <w:spacing w:after="0" w:line="240" w:lineRule="auto"/>
              <w:jc w:val="both"/>
              <w:rPr>
                <w:color w:val="000000" w:themeColor="text1"/>
              </w:rPr>
            </w:pPr>
          </w:p>
          <w:p w14:paraId="28B64244" w14:textId="73387023" w:rsidR="0033207E" w:rsidRPr="00DD2CE4" w:rsidRDefault="0033207E" w:rsidP="0033207E">
            <w:pPr>
              <w:spacing w:after="0" w:line="240" w:lineRule="auto"/>
              <w:jc w:val="both"/>
              <w:rPr>
                <w:rFonts w:ascii="Times New Roman" w:hAnsi="Times New Roman"/>
                <w:color w:val="000000" w:themeColor="text1"/>
                <w:sz w:val="18"/>
                <w:szCs w:val="18"/>
              </w:rPr>
            </w:pPr>
            <w:r w:rsidRPr="25018189">
              <w:rPr>
                <w:rFonts w:ascii="Times New Roman" w:hAnsi="Times New Roman"/>
                <w:i/>
                <w:iCs/>
                <w:color w:val="000000" w:themeColor="text1"/>
                <w:sz w:val="18"/>
                <w:szCs w:val="18"/>
              </w:rPr>
              <w:t>Mērķa vērtības noteikšanas principi/metodoloģija</w:t>
            </w:r>
            <w:r w:rsidRPr="25018189">
              <w:rPr>
                <w:rFonts w:ascii="Times New Roman" w:hAnsi="Times New Roman"/>
                <w:color w:val="000000" w:themeColor="text1"/>
                <w:sz w:val="18"/>
                <w:szCs w:val="18"/>
              </w:rPr>
              <w:t xml:space="preserve">: </w:t>
            </w:r>
            <w:r w:rsidR="000462CC" w:rsidRPr="25018189">
              <w:rPr>
                <w:rFonts w:ascii="Times New Roman" w:hAnsi="Times New Roman"/>
                <w:color w:val="000000" w:themeColor="text1"/>
                <w:sz w:val="18"/>
                <w:szCs w:val="18"/>
              </w:rPr>
              <w:t>rādītāju uzskaita par 1.2.2. SAM 1.2.2.1., 1.2.2.3. pasākumu. Ņemot vērā līdzšinējo pasākumu ieviešanas gaitu</w:t>
            </w:r>
            <w:r w:rsidR="005B14C0" w:rsidRPr="25018189">
              <w:rPr>
                <w:rFonts w:ascii="Times New Roman" w:hAnsi="Times New Roman"/>
                <w:color w:val="000000" w:themeColor="text1"/>
                <w:sz w:val="18"/>
                <w:szCs w:val="18"/>
              </w:rPr>
              <w:t xml:space="preserve"> un pieprasījumu</w:t>
            </w:r>
            <w:r w:rsidR="000462CC" w:rsidRPr="25018189">
              <w:rPr>
                <w:rFonts w:ascii="Times New Roman" w:hAnsi="Times New Roman"/>
                <w:color w:val="000000" w:themeColor="text1"/>
                <w:sz w:val="18"/>
                <w:szCs w:val="18"/>
              </w:rPr>
              <w:t xml:space="preserve">, kad apmācības notika klātienē un 2020. gadā daļēji attālināti, un no katra komersanta tiek apmācīti  četri nodarbinātie, prognozējams, ka tiks apmācīti </w:t>
            </w:r>
            <w:r w:rsidR="00B5555D">
              <w:rPr>
                <w:rFonts w:ascii="Times New Roman" w:hAnsi="Times New Roman"/>
                <w:color w:val="000000" w:themeColor="text1"/>
                <w:sz w:val="18"/>
                <w:szCs w:val="18"/>
              </w:rPr>
              <w:t>1008</w:t>
            </w:r>
            <w:r w:rsidR="00353DA5">
              <w:rPr>
                <w:rFonts w:ascii="Times New Roman" w:hAnsi="Times New Roman"/>
                <w:color w:val="000000" w:themeColor="text1"/>
                <w:sz w:val="18"/>
                <w:szCs w:val="18"/>
              </w:rPr>
              <w:t xml:space="preserve"> </w:t>
            </w:r>
            <w:r w:rsidR="000462CC" w:rsidRPr="25018189">
              <w:rPr>
                <w:rFonts w:ascii="Times New Roman" w:hAnsi="Times New Roman"/>
                <w:color w:val="000000" w:themeColor="text1"/>
                <w:sz w:val="18"/>
                <w:szCs w:val="18"/>
              </w:rPr>
              <w:t xml:space="preserve">nodarbinātie, rādītājs noteikts reizinot plānoto atbalstāmo komersantu skaitu ar vidējo nodarbināto skaitu no viena komersanta. Rādītājs noteikts piesardzīgi, ņemot vērā riska faktoru mērķa vērtības daļējai sasniegšanai Covid-19 ieilgušās nenoteiktības dēļ, un faktu, ka apmācības </w:t>
            </w:r>
            <w:r w:rsidR="004375B5" w:rsidRPr="25018189">
              <w:rPr>
                <w:rFonts w:ascii="Times New Roman" w:hAnsi="Times New Roman"/>
                <w:color w:val="000000" w:themeColor="text1"/>
                <w:sz w:val="18"/>
                <w:szCs w:val="18"/>
              </w:rPr>
              <w:t xml:space="preserve">pagaidām </w:t>
            </w:r>
            <w:r w:rsidR="000462CC" w:rsidRPr="25018189">
              <w:rPr>
                <w:rFonts w:ascii="Times New Roman" w:hAnsi="Times New Roman"/>
                <w:color w:val="000000" w:themeColor="text1"/>
                <w:sz w:val="18"/>
                <w:szCs w:val="18"/>
              </w:rPr>
              <w:t>var notikt tikai attālināti.</w:t>
            </w:r>
          </w:p>
          <w:p w14:paraId="1F211914" w14:textId="77777777" w:rsidR="0033207E" w:rsidRPr="00DD2CE4" w:rsidRDefault="0033207E" w:rsidP="0033207E">
            <w:pPr>
              <w:spacing w:after="0" w:line="240" w:lineRule="auto"/>
              <w:jc w:val="both"/>
              <w:rPr>
                <w:rFonts w:ascii="Times New Roman" w:hAnsi="Times New Roman"/>
                <w:color w:val="000000" w:themeColor="text1"/>
                <w:sz w:val="18"/>
                <w:szCs w:val="18"/>
              </w:rPr>
            </w:pPr>
          </w:p>
          <w:p w14:paraId="112631BE" w14:textId="347C0805" w:rsidR="0033207E" w:rsidRPr="00DD2CE4" w:rsidRDefault="0033207E" w:rsidP="000C308D">
            <w:pPr>
              <w:spacing w:after="0" w:line="240" w:lineRule="auto"/>
              <w:jc w:val="both"/>
              <w:rPr>
                <w:rFonts w:ascii="Times New Roman" w:hAnsi="Times New Roman"/>
                <w:color w:val="000000" w:themeColor="text1"/>
                <w:sz w:val="18"/>
                <w:szCs w:val="18"/>
              </w:rPr>
            </w:pPr>
            <w:r w:rsidRPr="25018189">
              <w:rPr>
                <w:rFonts w:ascii="Times New Roman" w:hAnsi="Times New Roman"/>
                <w:i/>
                <w:iCs/>
                <w:color w:val="000000" w:themeColor="text1"/>
                <w:sz w:val="18"/>
                <w:szCs w:val="18"/>
              </w:rPr>
              <w:t xml:space="preserve">Iznākuma rādītājam sasniegšanai paredzētais finansējums: </w:t>
            </w:r>
            <w:r w:rsidR="00337601" w:rsidRPr="00337601">
              <w:rPr>
                <w:rFonts w:ascii="Times New Roman" w:hAnsi="Times New Roman"/>
                <w:color w:val="000000" w:themeColor="text1"/>
                <w:sz w:val="18"/>
                <w:szCs w:val="18"/>
              </w:rPr>
              <w:t>12 719</w:t>
            </w:r>
            <w:r w:rsidR="00337601">
              <w:rPr>
                <w:rFonts w:ascii="Times New Roman" w:hAnsi="Times New Roman"/>
                <w:color w:val="000000" w:themeColor="text1"/>
                <w:sz w:val="18"/>
                <w:szCs w:val="18"/>
              </w:rPr>
              <w:t> </w:t>
            </w:r>
            <w:r w:rsidR="00337601" w:rsidRPr="00337601">
              <w:rPr>
                <w:rFonts w:ascii="Times New Roman" w:hAnsi="Times New Roman"/>
                <w:color w:val="000000" w:themeColor="text1"/>
                <w:sz w:val="18"/>
                <w:szCs w:val="18"/>
              </w:rPr>
              <w:t>700</w:t>
            </w:r>
            <w:r w:rsidR="00337601">
              <w:rPr>
                <w:rFonts w:ascii="Times New Roman" w:hAnsi="Times New Roman"/>
                <w:color w:val="000000" w:themeColor="text1"/>
                <w:sz w:val="18"/>
                <w:szCs w:val="18"/>
              </w:rPr>
              <w:t xml:space="preserve"> </w:t>
            </w:r>
            <w:r w:rsidRPr="25018189">
              <w:rPr>
                <w:rFonts w:ascii="Times New Roman" w:hAnsi="Times New Roman"/>
                <w:color w:val="000000" w:themeColor="text1"/>
                <w:sz w:val="18"/>
                <w:szCs w:val="18"/>
              </w:rPr>
              <w:t xml:space="preserve"> EUR.</w:t>
            </w:r>
          </w:p>
        </w:tc>
      </w:tr>
    </w:tbl>
    <w:p w14:paraId="4EA70C90" w14:textId="3541D54E" w:rsidR="00FA549B" w:rsidRPr="00DE29CC" w:rsidRDefault="00FA549B">
      <w:pPr>
        <w:rPr>
          <w:rFonts w:ascii="Times New Roman" w:hAnsi="Times New Roman"/>
          <w:sz w:val="18"/>
          <w:szCs w:val="18"/>
        </w:rPr>
      </w:pPr>
    </w:p>
    <w:sectPr w:rsidR="00FA549B" w:rsidRPr="00DE29CC" w:rsidSect="00D45D98">
      <w:pgSz w:w="16838" w:h="11906" w:orient="landscape"/>
      <w:pgMar w:top="426" w:right="1440" w:bottom="56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158C6" w14:textId="77777777" w:rsidR="00BB2813" w:rsidRDefault="00BB2813" w:rsidP="00D45D98">
      <w:pPr>
        <w:spacing w:after="0" w:line="240" w:lineRule="auto"/>
      </w:pPr>
      <w:r>
        <w:separator/>
      </w:r>
    </w:p>
  </w:endnote>
  <w:endnote w:type="continuationSeparator" w:id="0">
    <w:p w14:paraId="41450697" w14:textId="77777777" w:rsidR="00BB2813" w:rsidRDefault="00BB2813" w:rsidP="00D45D98">
      <w:pPr>
        <w:spacing w:after="0" w:line="240" w:lineRule="auto"/>
      </w:pPr>
      <w:r>
        <w:continuationSeparator/>
      </w:r>
    </w:p>
  </w:endnote>
  <w:endnote w:type="continuationNotice" w:id="1">
    <w:p w14:paraId="6C392A24" w14:textId="77777777" w:rsidR="00BB2813" w:rsidRDefault="00BB28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CC8AD" w14:textId="77777777" w:rsidR="00BB2813" w:rsidRDefault="00BB2813" w:rsidP="00D45D98">
      <w:pPr>
        <w:spacing w:after="0" w:line="240" w:lineRule="auto"/>
      </w:pPr>
      <w:r>
        <w:separator/>
      </w:r>
    </w:p>
  </w:footnote>
  <w:footnote w:type="continuationSeparator" w:id="0">
    <w:p w14:paraId="08521D36" w14:textId="77777777" w:rsidR="00BB2813" w:rsidRDefault="00BB2813" w:rsidP="00D45D98">
      <w:pPr>
        <w:spacing w:after="0" w:line="240" w:lineRule="auto"/>
      </w:pPr>
      <w:r>
        <w:continuationSeparator/>
      </w:r>
    </w:p>
  </w:footnote>
  <w:footnote w:type="continuationNotice" w:id="1">
    <w:p w14:paraId="523A730C" w14:textId="77777777" w:rsidR="00BB2813" w:rsidRDefault="00BB2813">
      <w:pPr>
        <w:spacing w:after="0" w:line="240" w:lineRule="auto"/>
      </w:pPr>
    </w:p>
  </w:footnote>
  <w:footnote w:id="2">
    <w:p w14:paraId="34897A62" w14:textId="7659B63C" w:rsidR="00DE4A2D" w:rsidRPr="00DF304E" w:rsidRDefault="00DE4A2D" w:rsidP="00DF304E">
      <w:pPr>
        <w:pStyle w:val="FootnoteText"/>
        <w:jc w:val="both"/>
        <w:rPr>
          <w:rFonts w:ascii="Times New Roman" w:hAnsi="Times New Roman"/>
          <w:sz w:val="18"/>
          <w:szCs w:val="18"/>
          <w:lang w:eastAsia="x-none"/>
        </w:rPr>
      </w:pPr>
      <w:r>
        <w:rPr>
          <w:rStyle w:val="FootnoteReference"/>
          <w:rFonts w:ascii="Times New Roman" w:hAnsi="Times New Roman"/>
          <w:sz w:val="18"/>
          <w:szCs w:val="18"/>
        </w:rPr>
        <w:footnoteRef/>
      </w:r>
      <w:r>
        <w:rPr>
          <w:rFonts w:ascii="Times New Roman" w:hAnsi="Times New Roman"/>
          <w:sz w:val="18"/>
          <w:szCs w:val="18"/>
        </w:rPr>
        <w:t xml:space="preserve"> </w:t>
      </w:r>
      <w:r w:rsidRPr="00DF304E">
        <w:rPr>
          <w:rFonts w:ascii="Times New Roman" w:hAnsi="Times New Roman"/>
          <w:sz w:val="18"/>
          <w:szCs w:val="18"/>
        </w:rPr>
        <w:t>Nav nepieciešama definīcija</w:t>
      </w:r>
      <w:r w:rsidR="00DF304E" w:rsidRPr="00DF304E">
        <w:rPr>
          <w:rFonts w:ascii="Times New Roman" w:hAnsi="Times New Roman"/>
          <w:sz w:val="18"/>
          <w:szCs w:val="18"/>
        </w:rPr>
        <w:t>,</w:t>
      </w:r>
      <w:r w:rsidRPr="00DF304E">
        <w:rPr>
          <w:rFonts w:ascii="Times New Roman" w:hAnsi="Times New Roman"/>
          <w:sz w:val="18"/>
          <w:szCs w:val="18"/>
        </w:rPr>
        <w:t xml:space="preserve"> ja izmantots kopējais rādītājs (lietot precīzus rādītāja nosaukumus), izņemot tos kopējos rādītājus, kuriem definīcijas atrunājamas nacionālā līmenī (piem. aizsargātās grupas). Rādītāja definīcija noteikta Eiropas Komisijas vadlīniju “</w:t>
      </w:r>
      <w:proofErr w:type="spellStart"/>
      <w:r w:rsidRPr="00DF304E">
        <w:rPr>
          <w:rFonts w:ascii="Times New Roman" w:hAnsi="Times New Roman"/>
          <w:sz w:val="18"/>
          <w:szCs w:val="18"/>
        </w:rPr>
        <w:t>Guidance</w:t>
      </w:r>
      <w:proofErr w:type="spellEnd"/>
      <w:r w:rsidRPr="00DF304E">
        <w:rPr>
          <w:rFonts w:ascii="Times New Roman" w:hAnsi="Times New Roman"/>
          <w:sz w:val="18"/>
          <w:szCs w:val="18"/>
        </w:rPr>
        <w:t xml:space="preserve"> </w:t>
      </w:r>
      <w:proofErr w:type="spellStart"/>
      <w:r w:rsidRPr="00DF304E">
        <w:rPr>
          <w:rFonts w:ascii="Times New Roman" w:hAnsi="Times New Roman"/>
          <w:sz w:val="18"/>
          <w:szCs w:val="18"/>
        </w:rPr>
        <w:t>document</w:t>
      </w:r>
      <w:proofErr w:type="spellEnd"/>
      <w:r w:rsidRPr="00DF304E">
        <w:rPr>
          <w:rFonts w:ascii="Times New Roman" w:hAnsi="Times New Roman"/>
          <w:sz w:val="18"/>
          <w:szCs w:val="18"/>
        </w:rPr>
        <w:t xml:space="preserve"> </w:t>
      </w:r>
      <w:proofErr w:type="spellStart"/>
      <w:r w:rsidRPr="00DF304E">
        <w:rPr>
          <w:rFonts w:ascii="Times New Roman" w:hAnsi="Times New Roman"/>
          <w:sz w:val="18"/>
          <w:szCs w:val="18"/>
        </w:rPr>
        <w:t>on</w:t>
      </w:r>
      <w:proofErr w:type="spellEnd"/>
      <w:r w:rsidRPr="00DF304E">
        <w:rPr>
          <w:rFonts w:ascii="Times New Roman" w:hAnsi="Times New Roman"/>
          <w:sz w:val="18"/>
          <w:szCs w:val="18"/>
        </w:rPr>
        <w:t xml:space="preserve"> Monitoring </w:t>
      </w:r>
      <w:proofErr w:type="spellStart"/>
      <w:r w:rsidRPr="00DF304E">
        <w:rPr>
          <w:rFonts w:ascii="Times New Roman" w:hAnsi="Times New Roman"/>
          <w:sz w:val="18"/>
          <w:szCs w:val="18"/>
        </w:rPr>
        <w:t>and</w:t>
      </w:r>
      <w:proofErr w:type="spellEnd"/>
      <w:r w:rsidRPr="00DF304E">
        <w:rPr>
          <w:rFonts w:ascii="Times New Roman" w:hAnsi="Times New Roman"/>
          <w:sz w:val="18"/>
          <w:szCs w:val="18"/>
        </w:rPr>
        <w:t xml:space="preserve"> </w:t>
      </w:r>
      <w:proofErr w:type="spellStart"/>
      <w:r w:rsidRPr="00DF304E">
        <w:rPr>
          <w:rFonts w:ascii="Times New Roman" w:hAnsi="Times New Roman"/>
          <w:sz w:val="18"/>
          <w:szCs w:val="18"/>
        </w:rPr>
        <w:t>Evaluation</w:t>
      </w:r>
      <w:proofErr w:type="spellEnd"/>
      <w:r w:rsidRPr="00DF304E">
        <w:rPr>
          <w:rFonts w:ascii="Times New Roman" w:hAnsi="Times New Roman"/>
          <w:sz w:val="18"/>
          <w:szCs w:val="18"/>
        </w:rPr>
        <w:t xml:space="preserve">” 1.pielikumā; pieejamas </w:t>
      </w:r>
      <w:hyperlink r:id="rId1" w:history="1">
        <w:r w:rsidRPr="00DF304E">
          <w:rPr>
            <w:rStyle w:val="Hyperlink"/>
            <w:rFonts w:ascii="Times New Roman" w:hAnsi="Times New Roman"/>
            <w:sz w:val="18"/>
            <w:szCs w:val="18"/>
          </w:rPr>
          <w:t>http://ec.europa.eu/regional_policy/sources/docoffic/2014/working/wd_2014_en.pdf</w:t>
        </w:r>
      </w:hyperlink>
    </w:p>
  </w:footnote>
  <w:footnote w:id="3">
    <w:p w14:paraId="1928D1A1" w14:textId="77777777" w:rsidR="00DE4A2D" w:rsidRDefault="00DE4A2D" w:rsidP="00DF304E">
      <w:pPr>
        <w:pStyle w:val="FootnoteText"/>
        <w:jc w:val="both"/>
        <w:rPr>
          <w:rFonts w:ascii="Times New Roman" w:hAnsi="Times New Roman"/>
          <w:sz w:val="18"/>
          <w:szCs w:val="18"/>
          <w:lang w:val="x-none"/>
        </w:rPr>
      </w:pPr>
      <w:r w:rsidRPr="00DF304E">
        <w:rPr>
          <w:rStyle w:val="FootnoteReference"/>
          <w:rFonts w:ascii="Times New Roman" w:hAnsi="Times New Roman"/>
          <w:sz w:val="18"/>
          <w:szCs w:val="18"/>
        </w:rPr>
        <w:footnoteRef/>
      </w:r>
      <w:r w:rsidRPr="00DF304E">
        <w:rPr>
          <w:rFonts w:ascii="Times New Roman" w:hAnsi="Times New Roman"/>
          <w:sz w:val="18"/>
          <w:szCs w:val="18"/>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DF304E">
        <w:rPr>
          <w:rFonts w:ascii="Times New Roman" w:hAnsi="Times New Roman"/>
          <w:sz w:val="18"/>
          <w:szCs w:val="18"/>
        </w:rPr>
        <w:t>utml</w:t>
      </w:r>
      <w:proofErr w:type="spellEnd"/>
      <w:r w:rsidRPr="00DF304E">
        <w:rPr>
          <w:rFonts w:ascii="Times New Roman" w:hAnsi="Times New Roman"/>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6365E"/>
    <w:multiLevelType w:val="hybridMultilevel"/>
    <w:tmpl w:val="FF60BD4C"/>
    <w:lvl w:ilvl="0" w:tplc="9D5E88E6">
      <w:start w:val="1"/>
      <w:numFmt w:val="bullet"/>
      <w:lvlText w:val=""/>
      <w:lvlJc w:val="left"/>
      <w:pPr>
        <w:ind w:left="360" w:hanging="360"/>
      </w:pPr>
      <w:rPr>
        <w:rFonts w:ascii="Symbol" w:hAnsi="Symbol" w:hint="default"/>
      </w:rPr>
    </w:lvl>
    <w:lvl w:ilvl="1" w:tplc="627814F2">
      <w:start w:val="1"/>
      <w:numFmt w:val="bullet"/>
      <w:lvlText w:val="o"/>
      <w:lvlJc w:val="left"/>
      <w:pPr>
        <w:ind w:left="1080" w:hanging="360"/>
      </w:pPr>
      <w:rPr>
        <w:rFonts w:ascii="Courier New" w:hAnsi="Courier New" w:cs="Times New Roman" w:hint="default"/>
      </w:rPr>
    </w:lvl>
    <w:lvl w:ilvl="2" w:tplc="F5F0B832">
      <w:start w:val="1"/>
      <w:numFmt w:val="bullet"/>
      <w:lvlText w:val=""/>
      <w:lvlJc w:val="left"/>
      <w:pPr>
        <w:ind w:left="1800" w:hanging="360"/>
      </w:pPr>
      <w:rPr>
        <w:rFonts w:ascii="Wingdings" w:hAnsi="Wingdings" w:hint="default"/>
      </w:rPr>
    </w:lvl>
    <w:lvl w:ilvl="3" w:tplc="F2C28BD4">
      <w:start w:val="1"/>
      <w:numFmt w:val="bullet"/>
      <w:lvlText w:val=""/>
      <w:lvlJc w:val="left"/>
      <w:pPr>
        <w:ind w:left="2520" w:hanging="360"/>
      </w:pPr>
      <w:rPr>
        <w:rFonts w:ascii="Symbol" w:hAnsi="Symbol" w:hint="default"/>
      </w:rPr>
    </w:lvl>
    <w:lvl w:ilvl="4" w:tplc="DBBC52FA">
      <w:start w:val="1"/>
      <w:numFmt w:val="bullet"/>
      <w:lvlText w:val="o"/>
      <w:lvlJc w:val="left"/>
      <w:pPr>
        <w:ind w:left="3240" w:hanging="360"/>
      </w:pPr>
      <w:rPr>
        <w:rFonts w:ascii="Courier New" w:hAnsi="Courier New" w:cs="Times New Roman" w:hint="default"/>
      </w:rPr>
    </w:lvl>
    <w:lvl w:ilvl="5" w:tplc="A56EF098">
      <w:start w:val="1"/>
      <w:numFmt w:val="bullet"/>
      <w:lvlText w:val=""/>
      <w:lvlJc w:val="left"/>
      <w:pPr>
        <w:ind w:left="3960" w:hanging="360"/>
      </w:pPr>
      <w:rPr>
        <w:rFonts w:ascii="Wingdings" w:hAnsi="Wingdings" w:hint="default"/>
      </w:rPr>
    </w:lvl>
    <w:lvl w:ilvl="6" w:tplc="7B76C9DA">
      <w:start w:val="1"/>
      <w:numFmt w:val="bullet"/>
      <w:lvlText w:val=""/>
      <w:lvlJc w:val="left"/>
      <w:pPr>
        <w:ind w:left="4680" w:hanging="360"/>
      </w:pPr>
      <w:rPr>
        <w:rFonts w:ascii="Symbol" w:hAnsi="Symbol" w:hint="default"/>
      </w:rPr>
    </w:lvl>
    <w:lvl w:ilvl="7" w:tplc="6C3A55D4">
      <w:start w:val="1"/>
      <w:numFmt w:val="bullet"/>
      <w:lvlText w:val="o"/>
      <w:lvlJc w:val="left"/>
      <w:pPr>
        <w:ind w:left="5400" w:hanging="360"/>
      </w:pPr>
      <w:rPr>
        <w:rFonts w:ascii="Courier New" w:hAnsi="Courier New" w:cs="Times New Roman" w:hint="default"/>
      </w:rPr>
    </w:lvl>
    <w:lvl w:ilvl="8" w:tplc="0AF6C53A">
      <w:start w:val="1"/>
      <w:numFmt w:val="bullet"/>
      <w:lvlText w:val=""/>
      <w:lvlJc w:val="left"/>
      <w:pPr>
        <w:ind w:left="6120" w:hanging="360"/>
      </w:pPr>
      <w:rPr>
        <w:rFonts w:ascii="Wingdings" w:hAnsi="Wingdings" w:hint="default"/>
      </w:rPr>
    </w:lvl>
  </w:abstractNum>
  <w:abstractNum w:abstractNumId="1" w15:restartNumberingAfterBreak="0">
    <w:nsid w:val="07CF3440"/>
    <w:multiLevelType w:val="hybridMultilevel"/>
    <w:tmpl w:val="8DBE2ED8"/>
    <w:lvl w:ilvl="0" w:tplc="9BC8F1E0">
      <w:start w:val="1"/>
      <w:numFmt w:val="decimal"/>
      <w:lvlText w:val="%1."/>
      <w:lvlJc w:val="left"/>
      <w:pPr>
        <w:ind w:left="720" w:hanging="360"/>
      </w:pPr>
    </w:lvl>
    <w:lvl w:ilvl="1" w:tplc="AD089A68">
      <w:start w:val="1"/>
      <w:numFmt w:val="lowerLetter"/>
      <w:lvlText w:val="%2."/>
      <w:lvlJc w:val="left"/>
      <w:pPr>
        <w:ind w:left="1440" w:hanging="360"/>
      </w:pPr>
    </w:lvl>
    <w:lvl w:ilvl="2" w:tplc="11BA6FE8">
      <w:start w:val="1"/>
      <w:numFmt w:val="lowerRoman"/>
      <w:lvlText w:val="%3."/>
      <w:lvlJc w:val="right"/>
      <w:pPr>
        <w:ind w:left="2160" w:hanging="180"/>
      </w:pPr>
    </w:lvl>
    <w:lvl w:ilvl="3" w:tplc="B4104FB4">
      <w:start w:val="1"/>
      <w:numFmt w:val="decimal"/>
      <w:lvlText w:val="%4."/>
      <w:lvlJc w:val="left"/>
      <w:pPr>
        <w:ind w:left="2880" w:hanging="360"/>
      </w:pPr>
    </w:lvl>
    <w:lvl w:ilvl="4" w:tplc="2A567A86">
      <w:start w:val="1"/>
      <w:numFmt w:val="lowerLetter"/>
      <w:lvlText w:val="%5."/>
      <w:lvlJc w:val="left"/>
      <w:pPr>
        <w:ind w:left="3600" w:hanging="360"/>
      </w:pPr>
    </w:lvl>
    <w:lvl w:ilvl="5" w:tplc="FF3C595E">
      <w:start w:val="1"/>
      <w:numFmt w:val="lowerRoman"/>
      <w:lvlText w:val="%6."/>
      <w:lvlJc w:val="right"/>
      <w:pPr>
        <w:ind w:left="4320" w:hanging="180"/>
      </w:pPr>
    </w:lvl>
    <w:lvl w:ilvl="6" w:tplc="F28EC0DA">
      <w:start w:val="1"/>
      <w:numFmt w:val="decimal"/>
      <w:lvlText w:val="%7."/>
      <w:lvlJc w:val="left"/>
      <w:pPr>
        <w:ind w:left="5040" w:hanging="360"/>
      </w:pPr>
    </w:lvl>
    <w:lvl w:ilvl="7" w:tplc="FB56B5EA">
      <w:start w:val="1"/>
      <w:numFmt w:val="lowerLetter"/>
      <w:lvlText w:val="%8."/>
      <w:lvlJc w:val="left"/>
      <w:pPr>
        <w:ind w:left="5760" w:hanging="360"/>
      </w:pPr>
    </w:lvl>
    <w:lvl w:ilvl="8" w:tplc="7F2AEF38">
      <w:start w:val="1"/>
      <w:numFmt w:val="lowerRoman"/>
      <w:lvlText w:val="%9."/>
      <w:lvlJc w:val="right"/>
      <w:pPr>
        <w:ind w:left="6480" w:hanging="180"/>
      </w:pPr>
    </w:lvl>
  </w:abstractNum>
  <w:abstractNum w:abstractNumId="2" w15:restartNumberingAfterBreak="0">
    <w:nsid w:val="14DE2DD5"/>
    <w:multiLevelType w:val="hybridMultilevel"/>
    <w:tmpl w:val="F58C874A"/>
    <w:lvl w:ilvl="0" w:tplc="67E2CD3C">
      <w:start w:val="1"/>
      <w:numFmt w:val="decimal"/>
      <w:lvlText w:val="%1)"/>
      <w:lvlJc w:val="left"/>
      <w:pPr>
        <w:ind w:left="720" w:hanging="360"/>
      </w:pPr>
      <w:rPr>
        <w:rFonts w:asciiTheme="minorHAnsi" w:eastAsiaTheme="minorHAnsi" w:hAnsiTheme="minorHAnsi" w:cstheme="minorBidi" w:hint="default"/>
        <w:i w:val="0"/>
        <w:sz w:val="22"/>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39A350E1"/>
    <w:multiLevelType w:val="hybridMultilevel"/>
    <w:tmpl w:val="29B453D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3D7E509A"/>
    <w:multiLevelType w:val="hybridMultilevel"/>
    <w:tmpl w:val="E37245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95D390B"/>
    <w:multiLevelType w:val="hybridMultilevel"/>
    <w:tmpl w:val="3D8ECD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51E208D8"/>
    <w:multiLevelType w:val="hybridMultilevel"/>
    <w:tmpl w:val="50F06D08"/>
    <w:lvl w:ilvl="0" w:tplc="0046E3D8">
      <w:numFmt w:val="bullet"/>
      <w:lvlText w:val=""/>
      <w:lvlJc w:val="left"/>
      <w:pPr>
        <w:ind w:left="720" w:hanging="360"/>
      </w:pPr>
      <w:rPr>
        <w:rFonts w:ascii="Symbol" w:eastAsia="Calibri" w:hAnsi="Symbol"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7" w15:restartNumberingAfterBreak="0">
    <w:nsid w:val="6ACA230E"/>
    <w:multiLevelType w:val="hybridMultilevel"/>
    <w:tmpl w:val="18A259C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6F001418"/>
    <w:multiLevelType w:val="hybridMultilevel"/>
    <w:tmpl w:val="0596A02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6FBA7B1C"/>
    <w:multiLevelType w:val="hybridMultilevel"/>
    <w:tmpl w:val="87A8DB86"/>
    <w:lvl w:ilvl="0" w:tplc="5AD4D91A">
      <w:start w:val="1"/>
      <w:numFmt w:val="decimal"/>
      <w:lvlText w:val="%1."/>
      <w:lvlJc w:val="left"/>
      <w:pPr>
        <w:ind w:left="720" w:hanging="360"/>
      </w:pPr>
    </w:lvl>
    <w:lvl w:ilvl="1" w:tplc="6436D422">
      <w:start w:val="1"/>
      <w:numFmt w:val="lowerLetter"/>
      <w:lvlText w:val="%2."/>
      <w:lvlJc w:val="left"/>
      <w:pPr>
        <w:ind w:left="1440" w:hanging="360"/>
      </w:pPr>
    </w:lvl>
    <w:lvl w:ilvl="2" w:tplc="D8362614">
      <w:start w:val="1"/>
      <w:numFmt w:val="lowerRoman"/>
      <w:lvlText w:val="%3."/>
      <w:lvlJc w:val="right"/>
      <w:pPr>
        <w:ind w:left="2160" w:hanging="180"/>
      </w:pPr>
    </w:lvl>
    <w:lvl w:ilvl="3" w:tplc="4112D618">
      <w:start w:val="1"/>
      <w:numFmt w:val="decimal"/>
      <w:lvlText w:val="%4."/>
      <w:lvlJc w:val="left"/>
      <w:pPr>
        <w:ind w:left="2880" w:hanging="360"/>
      </w:pPr>
    </w:lvl>
    <w:lvl w:ilvl="4" w:tplc="0AC81250">
      <w:start w:val="1"/>
      <w:numFmt w:val="lowerLetter"/>
      <w:lvlText w:val="%5."/>
      <w:lvlJc w:val="left"/>
      <w:pPr>
        <w:ind w:left="3600" w:hanging="360"/>
      </w:pPr>
    </w:lvl>
    <w:lvl w:ilvl="5" w:tplc="DD128398">
      <w:start w:val="1"/>
      <w:numFmt w:val="lowerRoman"/>
      <w:lvlText w:val="%6."/>
      <w:lvlJc w:val="right"/>
      <w:pPr>
        <w:ind w:left="4320" w:hanging="180"/>
      </w:pPr>
    </w:lvl>
    <w:lvl w:ilvl="6" w:tplc="01FA19B0">
      <w:start w:val="1"/>
      <w:numFmt w:val="decimal"/>
      <w:lvlText w:val="%7."/>
      <w:lvlJc w:val="left"/>
      <w:pPr>
        <w:ind w:left="5040" w:hanging="360"/>
      </w:pPr>
    </w:lvl>
    <w:lvl w:ilvl="7" w:tplc="CCA0CC9E">
      <w:start w:val="1"/>
      <w:numFmt w:val="lowerLetter"/>
      <w:lvlText w:val="%8."/>
      <w:lvlJc w:val="left"/>
      <w:pPr>
        <w:ind w:left="5760" w:hanging="360"/>
      </w:pPr>
    </w:lvl>
    <w:lvl w:ilvl="8" w:tplc="831E78AC">
      <w:start w:val="1"/>
      <w:numFmt w:val="lowerRoman"/>
      <w:lvlText w:val="%9."/>
      <w:lvlJc w:val="right"/>
      <w:pPr>
        <w:ind w:left="6480" w:hanging="180"/>
      </w:pPr>
    </w:lvl>
  </w:abstractNum>
  <w:abstractNum w:abstractNumId="10" w15:restartNumberingAfterBreak="0">
    <w:nsid w:val="76020ED7"/>
    <w:multiLevelType w:val="hybridMultilevel"/>
    <w:tmpl w:val="1288405A"/>
    <w:lvl w:ilvl="0" w:tplc="3E8C07D8">
      <w:start w:val="1"/>
      <w:numFmt w:val="decimal"/>
      <w:lvlText w:val="%1."/>
      <w:lvlJc w:val="left"/>
      <w:pPr>
        <w:ind w:left="720" w:hanging="360"/>
      </w:pPr>
    </w:lvl>
    <w:lvl w:ilvl="1" w:tplc="22DA5CA0">
      <w:start w:val="1"/>
      <w:numFmt w:val="lowerLetter"/>
      <w:lvlText w:val="%2."/>
      <w:lvlJc w:val="left"/>
      <w:pPr>
        <w:ind w:left="1440" w:hanging="360"/>
      </w:pPr>
    </w:lvl>
    <w:lvl w:ilvl="2" w:tplc="F7E6CEA6">
      <w:start w:val="1"/>
      <w:numFmt w:val="lowerRoman"/>
      <w:lvlText w:val="%3."/>
      <w:lvlJc w:val="right"/>
      <w:pPr>
        <w:ind w:left="2160" w:hanging="180"/>
      </w:pPr>
    </w:lvl>
    <w:lvl w:ilvl="3" w:tplc="5EAA132C">
      <w:start w:val="1"/>
      <w:numFmt w:val="decimal"/>
      <w:lvlText w:val="%4."/>
      <w:lvlJc w:val="left"/>
      <w:pPr>
        <w:ind w:left="2880" w:hanging="360"/>
      </w:pPr>
    </w:lvl>
    <w:lvl w:ilvl="4" w:tplc="05CCB110">
      <w:start w:val="1"/>
      <w:numFmt w:val="lowerLetter"/>
      <w:lvlText w:val="%5."/>
      <w:lvlJc w:val="left"/>
      <w:pPr>
        <w:ind w:left="3600" w:hanging="360"/>
      </w:pPr>
    </w:lvl>
    <w:lvl w:ilvl="5" w:tplc="3AE4CD72">
      <w:start w:val="1"/>
      <w:numFmt w:val="lowerRoman"/>
      <w:lvlText w:val="%6."/>
      <w:lvlJc w:val="right"/>
      <w:pPr>
        <w:ind w:left="4320" w:hanging="180"/>
      </w:pPr>
    </w:lvl>
    <w:lvl w:ilvl="6" w:tplc="4E6CD864">
      <w:start w:val="1"/>
      <w:numFmt w:val="decimal"/>
      <w:lvlText w:val="%7."/>
      <w:lvlJc w:val="left"/>
      <w:pPr>
        <w:ind w:left="5040" w:hanging="360"/>
      </w:pPr>
    </w:lvl>
    <w:lvl w:ilvl="7" w:tplc="227A2034">
      <w:start w:val="1"/>
      <w:numFmt w:val="lowerLetter"/>
      <w:lvlText w:val="%8."/>
      <w:lvlJc w:val="left"/>
      <w:pPr>
        <w:ind w:left="5760" w:hanging="360"/>
      </w:pPr>
    </w:lvl>
    <w:lvl w:ilvl="8" w:tplc="EC24A228">
      <w:start w:val="1"/>
      <w:numFmt w:val="lowerRoman"/>
      <w:lvlText w:val="%9."/>
      <w:lvlJc w:val="right"/>
      <w:pPr>
        <w:ind w:left="6480" w:hanging="180"/>
      </w:pPr>
    </w:lvl>
  </w:abstractNum>
  <w:num w:numId="1" w16cid:durableId="78798089">
    <w:abstractNumId w:val="1"/>
  </w:num>
  <w:num w:numId="2" w16cid:durableId="2131312229">
    <w:abstractNumId w:val="9"/>
  </w:num>
  <w:num w:numId="3" w16cid:durableId="2093771698">
    <w:abstractNumId w:val="10"/>
  </w:num>
  <w:num w:numId="4" w16cid:durableId="725959397">
    <w:abstractNumId w:val="5"/>
  </w:num>
  <w:num w:numId="5" w16cid:durableId="1938440014">
    <w:abstractNumId w:val="3"/>
  </w:num>
  <w:num w:numId="6" w16cid:durableId="1702244533">
    <w:abstractNumId w:val="8"/>
  </w:num>
  <w:num w:numId="7" w16cid:durableId="1978993790">
    <w:abstractNumId w:val="7"/>
  </w:num>
  <w:num w:numId="8" w16cid:durableId="691881463">
    <w:abstractNumId w:val="4"/>
  </w:num>
  <w:num w:numId="9" w16cid:durableId="8738820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63598988">
    <w:abstractNumId w:val="6"/>
  </w:num>
  <w:num w:numId="11" w16cid:durableId="6329084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D98"/>
    <w:rsid w:val="00005E7B"/>
    <w:rsid w:val="00023607"/>
    <w:rsid w:val="000353D6"/>
    <w:rsid w:val="00040BBA"/>
    <w:rsid w:val="0004502F"/>
    <w:rsid w:val="000462CC"/>
    <w:rsid w:val="00055B28"/>
    <w:rsid w:val="00062623"/>
    <w:rsid w:val="00062F95"/>
    <w:rsid w:val="00065E5A"/>
    <w:rsid w:val="00091ED3"/>
    <w:rsid w:val="000A37B8"/>
    <w:rsid w:val="000B2257"/>
    <w:rsid w:val="000C308D"/>
    <w:rsid w:val="000D525C"/>
    <w:rsid w:val="000E2B72"/>
    <w:rsid w:val="000F157B"/>
    <w:rsid w:val="000F1DCE"/>
    <w:rsid w:val="000F39C3"/>
    <w:rsid w:val="0010182B"/>
    <w:rsid w:val="00106FBD"/>
    <w:rsid w:val="00111193"/>
    <w:rsid w:val="00120F66"/>
    <w:rsid w:val="001246FD"/>
    <w:rsid w:val="00127D03"/>
    <w:rsid w:val="00145187"/>
    <w:rsid w:val="00145E5D"/>
    <w:rsid w:val="001461D0"/>
    <w:rsid w:val="001465F4"/>
    <w:rsid w:val="001502E9"/>
    <w:rsid w:val="00155011"/>
    <w:rsid w:val="0017076D"/>
    <w:rsid w:val="0017342A"/>
    <w:rsid w:val="001756A7"/>
    <w:rsid w:val="00181090"/>
    <w:rsid w:val="00184033"/>
    <w:rsid w:val="00184E02"/>
    <w:rsid w:val="00191F2E"/>
    <w:rsid w:val="00191FDA"/>
    <w:rsid w:val="001C1713"/>
    <w:rsid w:val="001C2CE8"/>
    <w:rsid w:val="001D1595"/>
    <w:rsid w:val="001D6749"/>
    <w:rsid w:val="001D736E"/>
    <w:rsid w:val="001E001D"/>
    <w:rsid w:val="001E26AC"/>
    <w:rsid w:val="001F3DB9"/>
    <w:rsid w:val="0020674E"/>
    <w:rsid w:val="002077DA"/>
    <w:rsid w:val="0023560C"/>
    <w:rsid w:val="00237561"/>
    <w:rsid w:val="00253E35"/>
    <w:rsid w:val="0025763F"/>
    <w:rsid w:val="0026533A"/>
    <w:rsid w:val="00265FBD"/>
    <w:rsid w:val="00271D03"/>
    <w:rsid w:val="0028055F"/>
    <w:rsid w:val="002A7B3F"/>
    <w:rsid w:val="002C4C6F"/>
    <w:rsid w:val="002D1CFE"/>
    <w:rsid w:val="002D38CC"/>
    <w:rsid w:val="002D4425"/>
    <w:rsid w:val="002E09A1"/>
    <w:rsid w:val="002E126D"/>
    <w:rsid w:val="002E136F"/>
    <w:rsid w:val="002E3E70"/>
    <w:rsid w:val="002E3F17"/>
    <w:rsid w:val="002E414A"/>
    <w:rsid w:val="002F01DA"/>
    <w:rsid w:val="002F08B4"/>
    <w:rsid w:val="00306B65"/>
    <w:rsid w:val="00307D84"/>
    <w:rsid w:val="0032753F"/>
    <w:rsid w:val="00331BDA"/>
    <w:rsid w:val="0033207E"/>
    <w:rsid w:val="00332A09"/>
    <w:rsid w:val="00337601"/>
    <w:rsid w:val="00342EC8"/>
    <w:rsid w:val="003526EC"/>
    <w:rsid w:val="00353DA5"/>
    <w:rsid w:val="00367726"/>
    <w:rsid w:val="0037729F"/>
    <w:rsid w:val="003861FF"/>
    <w:rsid w:val="003869EC"/>
    <w:rsid w:val="0039643D"/>
    <w:rsid w:val="003A03AC"/>
    <w:rsid w:val="003A2981"/>
    <w:rsid w:val="003B62BD"/>
    <w:rsid w:val="003C3043"/>
    <w:rsid w:val="003C561A"/>
    <w:rsid w:val="003D030A"/>
    <w:rsid w:val="003D047B"/>
    <w:rsid w:val="003D4067"/>
    <w:rsid w:val="003D4415"/>
    <w:rsid w:val="003F04AE"/>
    <w:rsid w:val="003F267D"/>
    <w:rsid w:val="00415B13"/>
    <w:rsid w:val="004173FB"/>
    <w:rsid w:val="00421048"/>
    <w:rsid w:val="00421ADA"/>
    <w:rsid w:val="00425EE8"/>
    <w:rsid w:val="0042764D"/>
    <w:rsid w:val="00432255"/>
    <w:rsid w:val="0043699F"/>
    <w:rsid w:val="004375B5"/>
    <w:rsid w:val="0046185B"/>
    <w:rsid w:val="004727A1"/>
    <w:rsid w:val="00477905"/>
    <w:rsid w:val="00484EA0"/>
    <w:rsid w:val="00491399"/>
    <w:rsid w:val="004969B2"/>
    <w:rsid w:val="004B2C05"/>
    <w:rsid w:val="004C62D5"/>
    <w:rsid w:val="004E1B93"/>
    <w:rsid w:val="004E3D6A"/>
    <w:rsid w:val="004F0DFA"/>
    <w:rsid w:val="00500A34"/>
    <w:rsid w:val="005012E9"/>
    <w:rsid w:val="00512CD9"/>
    <w:rsid w:val="005168CF"/>
    <w:rsid w:val="0052508C"/>
    <w:rsid w:val="00543CCC"/>
    <w:rsid w:val="00556201"/>
    <w:rsid w:val="00556F4D"/>
    <w:rsid w:val="0056256C"/>
    <w:rsid w:val="00563657"/>
    <w:rsid w:val="00563E79"/>
    <w:rsid w:val="00574C19"/>
    <w:rsid w:val="00577E4B"/>
    <w:rsid w:val="00583CA8"/>
    <w:rsid w:val="005B14C0"/>
    <w:rsid w:val="005C2029"/>
    <w:rsid w:val="005C3F9A"/>
    <w:rsid w:val="005C4F7C"/>
    <w:rsid w:val="005D09C9"/>
    <w:rsid w:val="005F16DC"/>
    <w:rsid w:val="005F4225"/>
    <w:rsid w:val="005F47E5"/>
    <w:rsid w:val="005F4853"/>
    <w:rsid w:val="00605DF0"/>
    <w:rsid w:val="0061086B"/>
    <w:rsid w:val="006159CA"/>
    <w:rsid w:val="006245A5"/>
    <w:rsid w:val="00624A06"/>
    <w:rsid w:val="00653D18"/>
    <w:rsid w:val="006671FF"/>
    <w:rsid w:val="00667DA4"/>
    <w:rsid w:val="006720C3"/>
    <w:rsid w:val="00675C2A"/>
    <w:rsid w:val="00680DF4"/>
    <w:rsid w:val="006B5050"/>
    <w:rsid w:val="006D4463"/>
    <w:rsid w:val="006E7046"/>
    <w:rsid w:val="006F00F9"/>
    <w:rsid w:val="00702641"/>
    <w:rsid w:val="00714617"/>
    <w:rsid w:val="00717BC7"/>
    <w:rsid w:val="00722AB5"/>
    <w:rsid w:val="00733E9A"/>
    <w:rsid w:val="00753224"/>
    <w:rsid w:val="00755BF2"/>
    <w:rsid w:val="007575E2"/>
    <w:rsid w:val="00761770"/>
    <w:rsid w:val="0076493E"/>
    <w:rsid w:val="007652A4"/>
    <w:rsid w:val="00771AEC"/>
    <w:rsid w:val="007725DC"/>
    <w:rsid w:val="007764A9"/>
    <w:rsid w:val="007A1053"/>
    <w:rsid w:val="007A118F"/>
    <w:rsid w:val="007A1507"/>
    <w:rsid w:val="007A7290"/>
    <w:rsid w:val="007B276C"/>
    <w:rsid w:val="007B7E49"/>
    <w:rsid w:val="007C47E4"/>
    <w:rsid w:val="007D17C9"/>
    <w:rsid w:val="007D2D6A"/>
    <w:rsid w:val="007D57D4"/>
    <w:rsid w:val="007D6F9F"/>
    <w:rsid w:val="007E011F"/>
    <w:rsid w:val="0080716C"/>
    <w:rsid w:val="00811798"/>
    <w:rsid w:val="00822305"/>
    <w:rsid w:val="00846392"/>
    <w:rsid w:val="008539A7"/>
    <w:rsid w:val="00854E08"/>
    <w:rsid w:val="008631EE"/>
    <w:rsid w:val="008678B4"/>
    <w:rsid w:val="00873709"/>
    <w:rsid w:val="0087622C"/>
    <w:rsid w:val="00891CCE"/>
    <w:rsid w:val="008B098A"/>
    <w:rsid w:val="008E7315"/>
    <w:rsid w:val="008F0234"/>
    <w:rsid w:val="008F530A"/>
    <w:rsid w:val="008F7BCB"/>
    <w:rsid w:val="00912A5B"/>
    <w:rsid w:val="00916B8F"/>
    <w:rsid w:val="0092523F"/>
    <w:rsid w:val="0092594E"/>
    <w:rsid w:val="0094478C"/>
    <w:rsid w:val="00945579"/>
    <w:rsid w:val="00952E6E"/>
    <w:rsid w:val="00960079"/>
    <w:rsid w:val="009959D2"/>
    <w:rsid w:val="009A582C"/>
    <w:rsid w:val="009B390C"/>
    <w:rsid w:val="009B5DE3"/>
    <w:rsid w:val="009D443E"/>
    <w:rsid w:val="009E6559"/>
    <w:rsid w:val="009F1C47"/>
    <w:rsid w:val="009F2038"/>
    <w:rsid w:val="009F3BB2"/>
    <w:rsid w:val="009F6564"/>
    <w:rsid w:val="00A01730"/>
    <w:rsid w:val="00A241EB"/>
    <w:rsid w:val="00A44FDE"/>
    <w:rsid w:val="00A460EC"/>
    <w:rsid w:val="00A56355"/>
    <w:rsid w:val="00A649BF"/>
    <w:rsid w:val="00A6654D"/>
    <w:rsid w:val="00A921BB"/>
    <w:rsid w:val="00A96671"/>
    <w:rsid w:val="00AA2C22"/>
    <w:rsid w:val="00AB7008"/>
    <w:rsid w:val="00AC16CE"/>
    <w:rsid w:val="00AD2AAF"/>
    <w:rsid w:val="00AD38AE"/>
    <w:rsid w:val="00AE7DD5"/>
    <w:rsid w:val="00AF08A4"/>
    <w:rsid w:val="00AF1384"/>
    <w:rsid w:val="00AF3428"/>
    <w:rsid w:val="00AF780A"/>
    <w:rsid w:val="00B00EB8"/>
    <w:rsid w:val="00B10B0C"/>
    <w:rsid w:val="00B11866"/>
    <w:rsid w:val="00B40358"/>
    <w:rsid w:val="00B4171F"/>
    <w:rsid w:val="00B511D2"/>
    <w:rsid w:val="00B5555D"/>
    <w:rsid w:val="00B56D7F"/>
    <w:rsid w:val="00B60DDA"/>
    <w:rsid w:val="00B64682"/>
    <w:rsid w:val="00B77632"/>
    <w:rsid w:val="00B77E93"/>
    <w:rsid w:val="00B83125"/>
    <w:rsid w:val="00B84247"/>
    <w:rsid w:val="00BB115D"/>
    <w:rsid w:val="00BB2071"/>
    <w:rsid w:val="00BB2813"/>
    <w:rsid w:val="00BB619A"/>
    <w:rsid w:val="00BC1D75"/>
    <w:rsid w:val="00BC39E7"/>
    <w:rsid w:val="00BD32E8"/>
    <w:rsid w:val="00BF6922"/>
    <w:rsid w:val="00C01713"/>
    <w:rsid w:val="00C03DA3"/>
    <w:rsid w:val="00C042EA"/>
    <w:rsid w:val="00C17240"/>
    <w:rsid w:val="00C20690"/>
    <w:rsid w:val="00C26DED"/>
    <w:rsid w:val="00C41BAE"/>
    <w:rsid w:val="00C42C9A"/>
    <w:rsid w:val="00C43AF5"/>
    <w:rsid w:val="00C70852"/>
    <w:rsid w:val="00C901F4"/>
    <w:rsid w:val="00C917C6"/>
    <w:rsid w:val="00CA67AA"/>
    <w:rsid w:val="00CB5276"/>
    <w:rsid w:val="00CB698A"/>
    <w:rsid w:val="00CC7F4B"/>
    <w:rsid w:val="00CE09DC"/>
    <w:rsid w:val="00CE2878"/>
    <w:rsid w:val="00CE3754"/>
    <w:rsid w:val="00CE3F57"/>
    <w:rsid w:val="00CF3814"/>
    <w:rsid w:val="00D04CF7"/>
    <w:rsid w:val="00D05441"/>
    <w:rsid w:val="00D12F73"/>
    <w:rsid w:val="00D15A26"/>
    <w:rsid w:val="00D20A76"/>
    <w:rsid w:val="00D22246"/>
    <w:rsid w:val="00D22DE5"/>
    <w:rsid w:val="00D2524B"/>
    <w:rsid w:val="00D268EE"/>
    <w:rsid w:val="00D306BF"/>
    <w:rsid w:val="00D45D98"/>
    <w:rsid w:val="00D640B0"/>
    <w:rsid w:val="00D660E7"/>
    <w:rsid w:val="00D820FB"/>
    <w:rsid w:val="00D826DB"/>
    <w:rsid w:val="00D858AA"/>
    <w:rsid w:val="00D9476A"/>
    <w:rsid w:val="00DB48BF"/>
    <w:rsid w:val="00DC12BE"/>
    <w:rsid w:val="00DD2CE4"/>
    <w:rsid w:val="00DE29CC"/>
    <w:rsid w:val="00DE4A2D"/>
    <w:rsid w:val="00DE754E"/>
    <w:rsid w:val="00DF304E"/>
    <w:rsid w:val="00E05FFD"/>
    <w:rsid w:val="00E060EF"/>
    <w:rsid w:val="00E1158D"/>
    <w:rsid w:val="00E149C4"/>
    <w:rsid w:val="00E23A69"/>
    <w:rsid w:val="00E30ACA"/>
    <w:rsid w:val="00E4039D"/>
    <w:rsid w:val="00E41869"/>
    <w:rsid w:val="00E46FA6"/>
    <w:rsid w:val="00E47160"/>
    <w:rsid w:val="00E5467A"/>
    <w:rsid w:val="00E54804"/>
    <w:rsid w:val="00E61B1E"/>
    <w:rsid w:val="00E63F43"/>
    <w:rsid w:val="00E72B00"/>
    <w:rsid w:val="00E77D41"/>
    <w:rsid w:val="00E944B4"/>
    <w:rsid w:val="00EA58B4"/>
    <w:rsid w:val="00EC00F2"/>
    <w:rsid w:val="00EC2A9E"/>
    <w:rsid w:val="00EC3107"/>
    <w:rsid w:val="00ED0D92"/>
    <w:rsid w:val="00ED33E7"/>
    <w:rsid w:val="00EE23AF"/>
    <w:rsid w:val="00EF64D0"/>
    <w:rsid w:val="00F01F52"/>
    <w:rsid w:val="00F033CF"/>
    <w:rsid w:val="00F52A8F"/>
    <w:rsid w:val="00F552ED"/>
    <w:rsid w:val="00F66184"/>
    <w:rsid w:val="00F669CD"/>
    <w:rsid w:val="00F700CF"/>
    <w:rsid w:val="00F74791"/>
    <w:rsid w:val="00F77F3B"/>
    <w:rsid w:val="00F940F2"/>
    <w:rsid w:val="00F96902"/>
    <w:rsid w:val="00FA3A03"/>
    <w:rsid w:val="00FA521F"/>
    <w:rsid w:val="00FA549B"/>
    <w:rsid w:val="00FB427C"/>
    <w:rsid w:val="00FD7030"/>
    <w:rsid w:val="0164E78E"/>
    <w:rsid w:val="037BFF68"/>
    <w:rsid w:val="045F50DF"/>
    <w:rsid w:val="069B6D71"/>
    <w:rsid w:val="0836CFCC"/>
    <w:rsid w:val="09143648"/>
    <w:rsid w:val="0B463869"/>
    <w:rsid w:val="0E14CE5F"/>
    <w:rsid w:val="12F05EDE"/>
    <w:rsid w:val="13AF72F9"/>
    <w:rsid w:val="13EA47F4"/>
    <w:rsid w:val="16FC0E71"/>
    <w:rsid w:val="19D94F88"/>
    <w:rsid w:val="1D0F9801"/>
    <w:rsid w:val="1ED72EE7"/>
    <w:rsid w:val="20F4CC5F"/>
    <w:rsid w:val="25018189"/>
    <w:rsid w:val="268FA3CA"/>
    <w:rsid w:val="29ED8378"/>
    <w:rsid w:val="2BE216F5"/>
    <w:rsid w:val="2E74D20B"/>
    <w:rsid w:val="2F0C12A8"/>
    <w:rsid w:val="31514BEA"/>
    <w:rsid w:val="31D1B59A"/>
    <w:rsid w:val="32AEE945"/>
    <w:rsid w:val="3310959F"/>
    <w:rsid w:val="34D5A65D"/>
    <w:rsid w:val="3924E000"/>
    <w:rsid w:val="3CD5659F"/>
    <w:rsid w:val="3EC6751F"/>
    <w:rsid w:val="3FC777FA"/>
    <w:rsid w:val="3FF74162"/>
    <w:rsid w:val="40A60407"/>
    <w:rsid w:val="42700A39"/>
    <w:rsid w:val="4515D092"/>
    <w:rsid w:val="461047C1"/>
    <w:rsid w:val="46EFA776"/>
    <w:rsid w:val="4A62B4AB"/>
    <w:rsid w:val="4A927E13"/>
    <w:rsid w:val="4C2DE06E"/>
    <w:rsid w:val="4D3F997F"/>
    <w:rsid w:val="4DD25D09"/>
    <w:rsid w:val="4EC8D835"/>
    <w:rsid w:val="508451CB"/>
    <w:rsid w:val="50F9C9AD"/>
    <w:rsid w:val="525E28AF"/>
    <w:rsid w:val="535378EB"/>
    <w:rsid w:val="548AA4A2"/>
    <w:rsid w:val="5600FF4C"/>
    <w:rsid w:val="5976388B"/>
    <w:rsid w:val="5CF6CDA1"/>
    <w:rsid w:val="613B2DF0"/>
    <w:rsid w:val="642065C2"/>
    <w:rsid w:val="67A08051"/>
    <w:rsid w:val="688F1940"/>
    <w:rsid w:val="69625DC8"/>
    <w:rsid w:val="6B992508"/>
    <w:rsid w:val="6F230619"/>
    <w:rsid w:val="6F4E0BCD"/>
    <w:rsid w:val="7130A179"/>
    <w:rsid w:val="73D667D2"/>
    <w:rsid w:val="74D177E4"/>
    <w:rsid w:val="76A3C579"/>
    <w:rsid w:val="76B81DDF"/>
    <w:rsid w:val="76EFACD4"/>
    <w:rsid w:val="76FFF4EB"/>
    <w:rsid w:val="79174E51"/>
    <w:rsid w:val="7F750EB6"/>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53548"/>
  <w15:docId w15:val="{26AD4025-0FEA-463C-B2A9-F17E7C2F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5D98"/>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1,Footnote Text Char Char,Footnote Text Char1 Char Char,Footnote Text Char Char Char Char,Footnote Text Char1 Char Char1 Char Char,Footnote Text Char Char Char Char Char Char,Footnote Text Char1 Char Char1 Char,Footnote,f"/>
    <w:basedOn w:val="Normal"/>
    <w:link w:val="FootnoteTextChar"/>
    <w:uiPriority w:val="99"/>
    <w:unhideWhenUsed/>
    <w:rsid w:val="00D45D98"/>
    <w:pPr>
      <w:spacing w:after="0" w:line="240" w:lineRule="auto"/>
    </w:pPr>
    <w:rPr>
      <w:sz w:val="20"/>
      <w:szCs w:val="20"/>
    </w:rPr>
  </w:style>
  <w:style w:type="character" w:customStyle="1" w:styleId="FootnoteTextChar">
    <w:name w:val="Footnote Text Char"/>
    <w:aliases w:val="Footnote Text Char1 Char,Footnote Text Char Char Char,Footnote Text Char1 Char Char Char,Footnote Text Char Char Char Char Char,Footnote Text Char1 Char Char1 Char Char Char,Footnote Text Char Char Char Char Char Char Char,f Char"/>
    <w:basedOn w:val="DefaultParagraphFont"/>
    <w:link w:val="FootnoteText"/>
    <w:uiPriority w:val="99"/>
    <w:rsid w:val="00D45D98"/>
    <w:rPr>
      <w:rFonts w:ascii="Calibri" w:eastAsia="Calibri" w:hAnsi="Calibri" w:cs="Times New Roman"/>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basedOn w:val="DefaultParagraphFont"/>
    <w:link w:val="CharCharCharChar"/>
    <w:uiPriority w:val="99"/>
    <w:unhideWhenUsed/>
    <w:rsid w:val="00D45D98"/>
    <w:rPr>
      <w:vertAlign w:val="superscript"/>
    </w:rPr>
  </w:style>
  <w:style w:type="table" w:customStyle="1" w:styleId="TableGrid1">
    <w:name w:val="Table Grid1"/>
    <w:basedOn w:val="TableNormal"/>
    <w:next w:val="TableGrid"/>
    <w:uiPriority w:val="59"/>
    <w:rsid w:val="00D45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45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C561A"/>
    <w:rPr>
      <w:sz w:val="16"/>
      <w:szCs w:val="16"/>
    </w:rPr>
  </w:style>
  <w:style w:type="paragraph" w:styleId="CommentText">
    <w:name w:val="annotation text"/>
    <w:basedOn w:val="Normal"/>
    <w:link w:val="CommentTextChar"/>
    <w:uiPriority w:val="99"/>
    <w:unhideWhenUsed/>
    <w:rsid w:val="003C561A"/>
    <w:pPr>
      <w:spacing w:line="240" w:lineRule="auto"/>
    </w:pPr>
    <w:rPr>
      <w:sz w:val="20"/>
      <w:szCs w:val="20"/>
    </w:rPr>
  </w:style>
  <w:style w:type="character" w:customStyle="1" w:styleId="CommentTextChar">
    <w:name w:val="Comment Text Char"/>
    <w:basedOn w:val="DefaultParagraphFont"/>
    <w:link w:val="CommentText"/>
    <w:uiPriority w:val="99"/>
    <w:rsid w:val="003C561A"/>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C561A"/>
    <w:rPr>
      <w:b/>
      <w:bCs/>
    </w:rPr>
  </w:style>
  <w:style w:type="character" w:customStyle="1" w:styleId="CommentSubjectChar">
    <w:name w:val="Comment Subject Char"/>
    <w:basedOn w:val="CommentTextChar"/>
    <w:link w:val="CommentSubject"/>
    <w:uiPriority w:val="99"/>
    <w:semiHidden/>
    <w:rsid w:val="003C561A"/>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3C56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561A"/>
    <w:rPr>
      <w:rFonts w:ascii="Segoe UI" w:eastAsia="Calibri" w:hAnsi="Segoe UI" w:cs="Segoe UI"/>
      <w:sz w:val="18"/>
      <w:szCs w:val="18"/>
    </w:rPr>
  </w:style>
  <w:style w:type="character" w:styleId="Hyperlink">
    <w:name w:val="Hyperlink"/>
    <w:basedOn w:val="DefaultParagraphFont"/>
    <w:uiPriority w:val="99"/>
    <w:unhideWhenUsed/>
    <w:rsid w:val="003C561A"/>
    <w:rPr>
      <w:color w:val="0563C1" w:themeColor="hyperlink"/>
      <w:u w:val="single"/>
    </w:rPr>
  </w:style>
  <w:style w:type="paragraph" w:styleId="Revision">
    <w:name w:val="Revision"/>
    <w:hidden/>
    <w:uiPriority w:val="99"/>
    <w:semiHidden/>
    <w:rsid w:val="00253E35"/>
    <w:rPr>
      <w:rFonts w:ascii="Calibri" w:eastAsia="Calibri" w:hAnsi="Calibri" w:cs="Times New Roman"/>
      <w:sz w:val="22"/>
    </w:rPr>
  </w:style>
  <w:style w:type="character" w:customStyle="1" w:styleId="UnresolvedMention1">
    <w:name w:val="Unresolved Mention1"/>
    <w:basedOn w:val="DefaultParagraphFont"/>
    <w:uiPriority w:val="99"/>
    <w:semiHidden/>
    <w:unhideWhenUsed/>
    <w:rsid w:val="009B5DE3"/>
    <w:rPr>
      <w:color w:val="605E5C"/>
      <w:shd w:val="clear" w:color="auto" w:fill="E1DFDD"/>
    </w:rPr>
  </w:style>
  <w:style w:type="character" w:styleId="FollowedHyperlink">
    <w:name w:val="FollowedHyperlink"/>
    <w:basedOn w:val="DefaultParagraphFont"/>
    <w:uiPriority w:val="99"/>
    <w:semiHidden/>
    <w:unhideWhenUsed/>
    <w:rsid w:val="0017342A"/>
    <w:rPr>
      <w:color w:val="954F72" w:themeColor="followedHyperlink"/>
      <w:u w:val="single"/>
    </w:rPr>
  </w:style>
  <w:style w:type="paragraph" w:styleId="Header">
    <w:name w:val="header"/>
    <w:basedOn w:val="Normal"/>
    <w:link w:val="HeaderChar"/>
    <w:uiPriority w:val="99"/>
    <w:unhideWhenUsed/>
    <w:rsid w:val="00EF64D0"/>
    <w:pPr>
      <w:tabs>
        <w:tab w:val="center" w:pos="4153"/>
        <w:tab w:val="right" w:pos="8306"/>
      </w:tabs>
      <w:spacing w:after="0" w:line="240" w:lineRule="auto"/>
    </w:pPr>
  </w:style>
  <w:style w:type="character" w:customStyle="1" w:styleId="HeaderChar">
    <w:name w:val="Header Char"/>
    <w:basedOn w:val="DefaultParagraphFont"/>
    <w:link w:val="Header"/>
    <w:uiPriority w:val="99"/>
    <w:rsid w:val="00EF64D0"/>
    <w:rPr>
      <w:rFonts w:ascii="Calibri" w:eastAsia="Calibri" w:hAnsi="Calibri" w:cs="Times New Roman"/>
      <w:sz w:val="22"/>
    </w:rPr>
  </w:style>
  <w:style w:type="paragraph" w:styleId="Footer">
    <w:name w:val="footer"/>
    <w:basedOn w:val="Normal"/>
    <w:link w:val="FooterChar"/>
    <w:uiPriority w:val="99"/>
    <w:unhideWhenUsed/>
    <w:rsid w:val="00EF64D0"/>
    <w:pPr>
      <w:tabs>
        <w:tab w:val="center" w:pos="4153"/>
        <w:tab w:val="right" w:pos="8306"/>
      </w:tabs>
      <w:spacing w:after="0" w:line="240" w:lineRule="auto"/>
    </w:pPr>
  </w:style>
  <w:style w:type="character" w:customStyle="1" w:styleId="FooterChar">
    <w:name w:val="Footer Char"/>
    <w:basedOn w:val="DefaultParagraphFont"/>
    <w:link w:val="Footer"/>
    <w:uiPriority w:val="99"/>
    <w:rsid w:val="00EF64D0"/>
    <w:rPr>
      <w:rFonts w:ascii="Calibri" w:eastAsia="Calibri" w:hAnsi="Calibri" w:cs="Times New Roman"/>
      <w:sz w:val="22"/>
    </w:rPr>
  </w:style>
  <w:style w:type="character" w:customStyle="1" w:styleId="UnresolvedMention2">
    <w:name w:val="Unresolved Mention2"/>
    <w:basedOn w:val="DefaultParagraphFont"/>
    <w:uiPriority w:val="99"/>
    <w:semiHidden/>
    <w:unhideWhenUsed/>
    <w:rsid w:val="00145E5D"/>
    <w:rPr>
      <w:color w:val="605E5C"/>
      <w:shd w:val="clear" w:color="auto" w:fill="E1DFDD"/>
    </w:rPr>
  </w:style>
  <w:style w:type="paragraph" w:customStyle="1" w:styleId="CharCharCharChar">
    <w:name w:val="Char Char Char Char"/>
    <w:aliases w:val="Char2"/>
    <w:basedOn w:val="Normal"/>
    <w:next w:val="Normal"/>
    <w:link w:val="FootnoteReference"/>
    <w:uiPriority w:val="99"/>
    <w:rsid w:val="00C26DED"/>
    <w:pPr>
      <w:spacing w:after="160" w:line="240" w:lineRule="exact"/>
      <w:jc w:val="both"/>
      <w:textAlignment w:val="baseline"/>
    </w:pPr>
    <w:rPr>
      <w:rFonts w:ascii="Times New Roman" w:eastAsiaTheme="minorHAnsi" w:hAnsi="Times New Roman" w:cstheme="minorBidi"/>
      <w:sz w:val="24"/>
      <w:vertAlign w:val="superscript"/>
    </w:rPr>
  </w:style>
  <w:style w:type="paragraph" w:styleId="ListParagraph">
    <w:name w:val="List Paragraph"/>
    <w:aliases w:val="2"/>
    <w:basedOn w:val="Normal"/>
    <w:link w:val="ListParagraphChar"/>
    <w:uiPriority w:val="34"/>
    <w:qFormat/>
    <w:rsid w:val="00E4039D"/>
    <w:pPr>
      <w:ind w:left="720"/>
      <w:contextualSpacing/>
    </w:pPr>
  </w:style>
  <w:style w:type="character" w:customStyle="1" w:styleId="ListParagraphChar">
    <w:name w:val="List Paragraph Char"/>
    <w:aliases w:val="2 Char"/>
    <w:link w:val="ListParagraph"/>
    <w:uiPriority w:val="34"/>
    <w:locked/>
    <w:rsid w:val="0033207E"/>
    <w:rPr>
      <w:rFonts w:ascii="Calibri" w:eastAsia="Calibri" w:hAnsi="Calibri" w:cs="Times New Roman"/>
      <w:sz w:val="22"/>
    </w:rPr>
  </w:style>
  <w:style w:type="character" w:customStyle="1" w:styleId="UnresolvedMention3">
    <w:name w:val="Unresolved Mention3"/>
    <w:basedOn w:val="DefaultParagraphFont"/>
    <w:uiPriority w:val="99"/>
    <w:semiHidden/>
    <w:unhideWhenUsed/>
    <w:rsid w:val="00DB48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8260">
      <w:bodyDiv w:val="1"/>
      <w:marLeft w:val="0"/>
      <w:marRight w:val="0"/>
      <w:marTop w:val="0"/>
      <w:marBottom w:val="0"/>
      <w:divBdr>
        <w:top w:val="none" w:sz="0" w:space="0" w:color="auto"/>
        <w:left w:val="none" w:sz="0" w:space="0" w:color="auto"/>
        <w:bottom w:val="none" w:sz="0" w:space="0" w:color="auto"/>
        <w:right w:val="none" w:sz="0" w:space="0" w:color="auto"/>
      </w:divBdr>
      <w:divsChild>
        <w:div w:id="1023632785">
          <w:marLeft w:val="0"/>
          <w:marRight w:val="0"/>
          <w:marTop w:val="0"/>
          <w:marBottom w:val="0"/>
          <w:divBdr>
            <w:top w:val="none" w:sz="0" w:space="0" w:color="auto"/>
            <w:left w:val="none" w:sz="0" w:space="0" w:color="auto"/>
            <w:bottom w:val="none" w:sz="0" w:space="0" w:color="auto"/>
            <w:right w:val="none" w:sz="0" w:space="0" w:color="auto"/>
          </w:divBdr>
        </w:div>
      </w:divsChild>
    </w:div>
    <w:div w:id="120732024">
      <w:bodyDiv w:val="1"/>
      <w:marLeft w:val="0"/>
      <w:marRight w:val="0"/>
      <w:marTop w:val="0"/>
      <w:marBottom w:val="0"/>
      <w:divBdr>
        <w:top w:val="none" w:sz="0" w:space="0" w:color="auto"/>
        <w:left w:val="none" w:sz="0" w:space="0" w:color="auto"/>
        <w:bottom w:val="none" w:sz="0" w:space="0" w:color="auto"/>
        <w:right w:val="none" w:sz="0" w:space="0" w:color="auto"/>
      </w:divBdr>
    </w:div>
    <w:div w:id="174537467">
      <w:bodyDiv w:val="1"/>
      <w:marLeft w:val="0"/>
      <w:marRight w:val="0"/>
      <w:marTop w:val="0"/>
      <w:marBottom w:val="0"/>
      <w:divBdr>
        <w:top w:val="none" w:sz="0" w:space="0" w:color="auto"/>
        <w:left w:val="none" w:sz="0" w:space="0" w:color="auto"/>
        <w:bottom w:val="none" w:sz="0" w:space="0" w:color="auto"/>
        <w:right w:val="none" w:sz="0" w:space="0" w:color="auto"/>
      </w:divBdr>
    </w:div>
    <w:div w:id="340199949">
      <w:bodyDiv w:val="1"/>
      <w:marLeft w:val="0"/>
      <w:marRight w:val="0"/>
      <w:marTop w:val="0"/>
      <w:marBottom w:val="0"/>
      <w:divBdr>
        <w:top w:val="none" w:sz="0" w:space="0" w:color="auto"/>
        <w:left w:val="none" w:sz="0" w:space="0" w:color="auto"/>
        <w:bottom w:val="none" w:sz="0" w:space="0" w:color="auto"/>
        <w:right w:val="none" w:sz="0" w:space="0" w:color="auto"/>
      </w:divBdr>
    </w:div>
    <w:div w:id="364403237">
      <w:bodyDiv w:val="1"/>
      <w:marLeft w:val="0"/>
      <w:marRight w:val="0"/>
      <w:marTop w:val="0"/>
      <w:marBottom w:val="0"/>
      <w:divBdr>
        <w:top w:val="none" w:sz="0" w:space="0" w:color="auto"/>
        <w:left w:val="none" w:sz="0" w:space="0" w:color="auto"/>
        <w:bottom w:val="none" w:sz="0" w:space="0" w:color="auto"/>
        <w:right w:val="none" w:sz="0" w:space="0" w:color="auto"/>
      </w:divBdr>
    </w:div>
    <w:div w:id="997726745">
      <w:bodyDiv w:val="1"/>
      <w:marLeft w:val="0"/>
      <w:marRight w:val="0"/>
      <w:marTop w:val="0"/>
      <w:marBottom w:val="0"/>
      <w:divBdr>
        <w:top w:val="none" w:sz="0" w:space="0" w:color="auto"/>
        <w:left w:val="none" w:sz="0" w:space="0" w:color="auto"/>
        <w:bottom w:val="none" w:sz="0" w:space="0" w:color="auto"/>
        <w:right w:val="none" w:sz="0" w:space="0" w:color="auto"/>
      </w:divBdr>
    </w:div>
    <w:div w:id="1334837950">
      <w:bodyDiv w:val="1"/>
      <w:marLeft w:val="0"/>
      <w:marRight w:val="0"/>
      <w:marTop w:val="0"/>
      <w:marBottom w:val="0"/>
      <w:divBdr>
        <w:top w:val="none" w:sz="0" w:space="0" w:color="auto"/>
        <w:left w:val="none" w:sz="0" w:space="0" w:color="auto"/>
        <w:bottom w:val="none" w:sz="0" w:space="0" w:color="auto"/>
        <w:right w:val="none" w:sz="0" w:space="0" w:color="auto"/>
      </w:divBdr>
    </w:div>
    <w:div w:id="1495874526">
      <w:bodyDiv w:val="1"/>
      <w:marLeft w:val="0"/>
      <w:marRight w:val="0"/>
      <w:marTop w:val="0"/>
      <w:marBottom w:val="0"/>
      <w:divBdr>
        <w:top w:val="none" w:sz="0" w:space="0" w:color="auto"/>
        <w:left w:val="none" w:sz="0" w:space="0" w:color="auto"/>
        <w:bottom w:val="none" w:sz="0" w:space="0" w:color="auto"/>
        <w:right w:val="none" w:sz="0" w:space="0" w:color="auto"/>
      </w:divBdr>
    </w:div>
    <w:div w:id="1594237518">
      <w:bodyDiv w:val="1"/>
      <w:marLeft w:val="0"/>
      <w:marRight w:val="0"/>
      <w:marTop w:val="0"/>
      <w:marBottom w:val="0"/>
      <w:divBdr>
        <w:top w:val="none" w:sz="0" w:space="0" w:color="auto"/>
        <w:left w:val="none" w:sz="0" w:space="0" w:color="auto"/>
        <w:bottom w:val="none" w:sz="0" w:space="0" w:color="auto"/>
        <w:right w:val="none" w:sz="0" w:space="0" w:color="auto"/>
      </w:divBdr>
    </w:div>
    <w:div w:id="187723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sb.gov.lv/lv/statistika/statistikas-temas/uznemumi/inovacijas/meklet-tem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regional_policy/sources/docoffic/2014/working/wd_2014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4624B-D2C4-4E75-9545-2CB68786A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2829</Words>
  <Characters>1613</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4434</CharactersWithSpaces>
  <SharedDoc>false</SharedDoc>
  <HLinks>
    <vt:vector size="12" baseType="variant">
      <vt:variant>
        <vt:i4>8061044</vt:i4>
      </vt:variant>
      <vt:variant>
        <vt:i4>3</vt:i4>
      </vt:variant>
      <vt:variant>
        <vt:i4>0</vt:i4>
      </vt:variant>
      <vt:variant>
        <vt:i4>5</vt:i4>
      </vt:variant>
      <vt:variant>
        <vt:lpwstr>https://www.csb.gov.lv/lv/statistika/statistikas-temas/uznemumi/inovacijas/meklet-tema</vt:lpwstr>
      </vt:variant>
      <vt:variant>
        <vt:lpwstr/>
      </vt:variant>
      <vt:variant>
        <vt:i4>7602256</vt:i4>
      </vt:variant>
      <vt:variant>
        <vt:i4>0</vt:i4>
      </vt:variant>
      <vt:variant>
        <vt:i4>0</vt:i4>
      </vt:variant>
      <vt:variant>
        <vt:i4>5</vt:i4>
      </vt:variant>
      <vt:variant>
        <vt:lpwstr>http://ec.europa.eu/regional_policy/sources/docoffic/2014/working/wd_2014_en.pdf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Alise Eglīte</dc:creator>
  <cp:keywords/>
  <cp:lastModifiedBy>Jevgēnijs Burovs</cp:lastModifiedBy>
  <cp:revision>15</cp:revision>
  <cp:lastPrinted>2019-12-07T04:51:00Z</cp:lastPrinted>
  <dcterms:created xsi:type="dcterms:W3CDTF">2022-04-07T12:39:00Z</dcterms:created>
  <dcterms:modified xsi:type="dcterms:W3CDTF">2023-01-17T08:47:00Z</dcterms:modified>
</cp:coreProperties>
</file>