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1C0B" w14:textId="77777777" w:rsidR="00C109A7" w:rsidRPr="00D67E55" w:rsidRDefault="00C109A7" w:rsidP="009B75BA">
      <w:pPr>
        <w:keepNext/>
        <w:spacing w:after="0" w:line="240" w:lineRule="auto"/>
        <w:jc w:val="center"/>
        <w:rPr>
          <w:rFonts w:ascii="Times New Roman" w:eastAsiaTheme="minorHAnsi" w:hAnsi="Times New Roman" w:cstheme="minorBidi"/>
          <w:b/>
          <w:bCs/>
          <w:sz w:val="18"/>
          <w:szCs w:val="18"/>
        </w:rPr>
      </w:pPr>
      <w:r w:rsidRPr="00D67E55">
        <w:rPr>
          <w:rFonts w:ascii="Times New Roman" w:eastAsiaTheme="minorHAnsi" w:hAnsi="Times New Roman" w:cstheme="minorBidi"/>
          <w:b/>
          <w:bCs/>
          <w:sz w:val="18"/>
          <w:szCs w:val="18"/>
        </w:rPr>
        <w:t xml:space="preserve">Tabula </w:t>
      </w:r>
      <w:r w:rsidR="00726723" w:rsidRPr="00D67E55">
        <w:rPr>
          <w:rFonts w:ascii="Times New Roman" w:eastAsiaTheme="minorHAnsi" w:hAnsi="Times New Roman" w:cstheme="minorBidi"/>
          <w:b/>
          <w:bCs/>
          <w:sz w:val="18"/>
          <w:szCs w:val="18"/>
        </w:rPr>
        <w:fldChar w:fldCharType="begin"/>
      </w:r>
      <w:r w:rsidRPr="00D67E55">
        <w:rPr>
          <w:rFonts w:ascii="Times New Roman" w:eastAsiaTheme="minorHAnsi" w:hAnsi="Times New Roman" w:cstheme="minorBidi"/>
          <w:b/>
          <w:bCs/>
          <w:sz w:val="18"/>
          <w:szCs w:val="18"/>
        </w:rPr>
        <w:instrText xml:space="preserve"> SEQ Tabula \* ARABIC </w:instrText>
      </w:r>
      <w:r w:rsidR="00726723" w:rsidRPr="00D67E55">
        <w:rPr>
          <w:rFonts w:ascii="Times New Roman" w:eastAsiaTheme="minorHAnsi" w:hAnsi="Times New Roman" w:cstheme="minorBidi"/>
          <w:b/>
          <w:bCs/>
          <w:sz w:val="18"/>
          <w:szCs w:val="18"/>
        </w:rPr>
        <w:fldChar w:fldCharType="separate"/>
      </w:r>
      <w:r w:rsidR="00F75324" w:rsidRPr="00D67E55">
        <w:rPr>
          <w:rFonts w:ascii="Times New Roman" w:eastAsiaTheme="minorHAnsi" w:hAnsi="Times New Roman" w:cstheme="minorBidi"/>
          <w:b/>
          <w:bCs/>
          <w:noProof/>
          <w:sz w:val="18"/>
          <w:szCs w:val="18"/>
        </w:rPr>
        <w:t>1</w:t>
      </w:r>
      <w:r w:rsidR="00726723" w:rsidRPr="00D67E55">
        <w:rPr>
          <w:rFonts w:ascii="Times New Roman" w:eastAsiaTheme="minorHAnsi" w:hAnsi="Times New Roman" w:cstheme="minorBidi"/>
          <w:b/>
          <w:bCs/>
          <w:sz w:val="18"/>
          <w:szCs w:val="18"/>
        </w:rPr>
        <w:fldChar w:fldCharType="end"/>
      </w:r>
      <w:r w:rsidRPr="00D67E55">
        <w:rPr>
          <w:rFonts w:ascii="Times New Roman" w:eastAsiaTheme="minorHAnsi" w:hAnsi="Times New Roman" w:cstheme="minorBidi"/>
          <w:b/>
          <w:bCs/>
          <w:sz w:val="18"/>
          <w:szCs w:val="18"/>
        </w:rPr>
        <w:t xml:space="preserve"> Rādītāju pase investīciju prioritātes specifiskajiem mērķiem</w:t>
      </w:r>
    </w:p>
    <w:tbl>
      <w:tblPr>
        <w:tblStyle w:val="TableGrid1"/>
        <w:tblW w:w="0" w:type="auto"/>
        <w:tblLayout w:type="fixed"/>
        <w:tblLook w:val="04A0" w:firstRow="1" w:lastRow="0" w:firstColumn="1" w:lastColumn="0" w:noHBand="0" w:noVBand="1"/>
      </w:tblPr>
      <w:tblGrid>
        <w:gridCol w:w="1242"/>
        <w:gridCol w:w="1242"/>
        <w:gridCol w:w="1593"/>
        <w:gridCol w:w="3261"/>
        <w:gridCol w:w="4819"/>
        <w:gridCol w:w="2612"/>
      </w:tblGrid>
      <w:tr w:rsidR="00D67E55" w:rsidRPr="00D67E55" w14:paraId="69CF6EA7" w14:textId="77777777" w:rsidTr="00C06C01">
        <w:tc>
          <w:tcPr>
            <w:tcW w:w="1242" w:type="dxa"/>
          </w:tcPr>
          <w:p w14:paraId="6A2E8C10" w14:textId="77777777" w:rsidR="001F0C54" w:rsidRPr="00D67E55" w:rsidRDefault="001F0C54" w:rsidP="009B75BA">
            <w:pPr>
              <w:spacing w:after="0" w:line="240" w:lineRule="auto"/>
              <w:jc w:val="center"/>
              <w:rPr>
                <w:rFonts w:ascii="Times New Roman" w:eastAsiaTheme="minorHAnsi" w:hAnsi="Times New Roman"/>
                <w:b/>
                <w:sz w:val="16"/>
                <w:szCs w:val="16"/>
              </w:rPr>
            </w:pPr>
            <w:r w:rsidRPr="00D67E55">
              <w:rPr>
                <w:rFonts w:ascii="Times New Roman" w:eastAsiaTheme="minorHAnsi" w:hAnsi="Times New Roman"/>
                <w:b/>
                <w:sz w:val="16"/>
                <w:szCs w:val="16"/>
              </w:rPr>
              <w:t>Prioritārais virziens</w:t>
            </w:r>
          </w:p>
        </w:tc>
        <w:tc>
          <w:tcPr>
            <w:tcW w:w="1242" w:type="dxa"/>
          </w:tcPr>
          <w:p w14:paraId="16C03940" w14:textId="77777777" w:rsidR="001F0C54" w:rsidRPr="00D67E55" w:rsidRDefault="001F0C54" w:rsidP="009B75BA">
            <w:pPr>
              <w:spacing w:after="0" w:line="240" w:lineRule="auto"/>
              <w:jc w:val="center"/>
              <w:rPr>
                <w:rFonts w:ascii="Times New Roman" w:eastAsiaTheme="minorHAnsi" w:hAnsi="Times New Roman"/>
                <w:b/>
                <w:sz w:val="16"/>
                <w:szCs w:val="16"/>
              </w:rPr>
            </w:pPr>
            <w:r w:rsidRPr="00D67E55">
              <w:rPr>
                <w:rFonts w:ascii="Times New Roman" w:eastAsiaTheme="minorHAnsi" w:hAnsi="Times New Roman"/>
                <w:b/>
                <w:sz w:val="16"/>
                <w:szCs w:val="16"/>
              </w:rPr>
              <w:t>Investīciju prioritātes nosaukums</w:t>
            </w:r>
          </w:p>
        </w:tc>
        <w:tc>
          <w:tcPr>
            <w:tcW w:w="1593" w:type="dxa"/>
          </w:tcPr>
          <w:p w14:paraId="67611441" w14:textId="77777777" w:rsidR="001F0C54" w:rsidRPr="00D67E55" w:rsidRDefault="001F0C54" w:rsidP="009B75BA">
            <w:pPr>
              <w:spacing w:after="0" w:line="240" w:lineRule="auto"/>
              <w:jc w:val="center"/>
              <w:rPr>
                <w:rFonts w:ascii="Times New Roman" w:eastAsiaTheme="minorHAnsi" w:hAnsi="Times New Roman"/>
                <w:b/>
                <w:sz w:val="16"/>
                <w:szCs w:val="16"/>
              </w:rPr>
            </w:pPr>
            <w:r w:rsidRPr="00D67E55">
              <w:rPr>
                <w:rFonts w:ascii="Times New Roman" w:eastAsiaTheme="minorHAnsi" w:hAnsi="Times New Roman"/>
                <w:b/>
                <w:sz w:val="16"/>
                <w:szCs w:val="16"/>
              </w:rPr>
              <w:t>Specifiskie atbalsta mērķi (SAM)</w:t>
            </w:r>
          </w:p>
        </w:tc>
        <w:tc>
          <w:tcPr>
            <w:tcW w:w="3261" w:type="dxa"/>
          </w:tcPr>
          <w:p w14:paraId="1252F0CF" w14:textId="77777777" w:rsidR="001F0C54" w:rsidRPr="00D67E55" w:rsidRDefault="001F0C54" w:rsidP="009B75BA">
            <w:pPr>
              <w:spacing w:after="0" w:line="240" w:lineRule="auto"/>
              <w:jc w:val="center"/>
              <w:rPr>
                <w:rFonts w:ascii="Times New Roman" w:eastAsiaTheme="minorHAnsi" w:hAnsi="Times New Roman"/>
                <w:b/>
                <w:sz w:val="16"/>
                <w:szCs w:val="16"/>
              </w:rPr>
            </w:pPr>
            <w:r w:rsidRPr="00D67E55">
              <w:rPr>
                <w:rFonts w:ascii="Times New Roman" w:eastAsiaTheme="minorHAnsi" w:hAnsi="Times New Roman"/>
                <w:b/>
                <w:sz w:val="16"/>
                <w:szCs w:val="16"/>
              </w:rPr>
              <w:t>Rezultāta rādītāji</w:t>
            </w:r>
          </w:p>
        </w:tc>
        <w:tc>
          <w:tcPr>
            <w:tcW w:w="4819" w:type="dxa"/>
          </w:tcPr>
          <w:p w14:paraId="12ECFDF5" w14:textId="77777777" w:rsidR="001F0C54" w:rsidRPr="00D67E55" w:rsidRDefault="001F0C54" w:rsidP="009B75BA">
            <w:pPr>
              <w:spacing w:after="0" w:line="240" w:lineRule="auto"/>
              <w:jc w:val="center"/>
              <w:rPr>
                <w:rFonts w:ascii="Times New Roman" w:eastAsiaTheme="minorHAnsi" w:hAnsi="Times New Roman"/>
                <w:b/>
                <w:sz w:val="16"/>
                <w:szCs w:val="16"/>
              </w:rPr>
            </w:pPr>
            <w:r w:rsidRPr="00D67E55">
              <w:rPr>
                <w:rFonts w:ascii="Times New Roman" w:eastAsiaTheme="minorHAnsi" w:hAnsi="Times New Roman"/>
                <w:b/>
                <w:sz w:val="16"/>
                <w:szCs w:val="16"/>
              </w:rPr>
              <w:t>Iznākuma rādītāji (IR)</w:t>
            </w:r>
          </w:p>
        </w:tc>
        <w:tc>
          <w:tcPr>
            <w:tcW w:w="2612" w:type="dxa"/>
          </w:tcPr>
          <w:p w14:paraId="28D761CB" w14:textId="77777777" w:rsidR="001F0C54" w:rsidRPr="00D67E55" w:rsidRDefault="001F0C54" w:rsidP="009B75BA">
            <w:pPr>
              <w:spacing w:after="0" w:line="240" w:lineRule="auto"/>
              <w:jc w:val="center"/>
              <w:rPr>
                <w:rFonts w:ascii="Times New Roman" w:eastAsiaTheme="minorHAnsi" w:hAnsi="Times New Roman"/>
                <w:b/>
                <w:sz w:val="16"/>
                <w:szCs w:val="16"/>
              </w:rPr>
            </w:pPr>
            <w:r w:rsidRPr="00D67E55">
              <w:rPr>
                <w:rFonts w:ascii="Times New Roman" w:eastAsiaTheme="minorHAnsi" w:hAnsi="Times New Roman"/>
                <w:b/>
                <w:sz w:val="16"/>
                <w:szCs w:val="16"/>
              </w:rPr>
              <w:t>Finanšu rādītāji</w:t>
            </w:r>
            <w:r w:rsidRPr="00D67E55">
              <w:rPr>
                <w:rFonts w:ascii="Times New Roman" w:eastAsiaTheme="minorHAnsi" w:hAnsi="Times New Roman"/>
                <w:b/>
                <w:sz w:val="16"/>
                <w:szCs w:val="16"/>
                <w:vertAlign w:val="superscript"/>
              </w:rPr>
              <w:footnoteReference w:id="1"/>
            </w:r>
          </w:p>
        </w:tc>
      </w:tr>
      <w:tr w:rsidR="00C06C01" w:rsidRPr="00D67E55" w14:paraId="21409D75" w14:textId="77777777" w:rsidTr="00C06C01">
        <w:tc>
          <w:tcPr>
            <w:tcW w:w="1242" w:type="dxa"/>
          </w:tcPr>
          <w:p w14:paraId="55D4E890" w14:textId="77777777" w:rsidR="00C06C01" w:rsidRPr="00D67E55" w:rsidRDefault="00C05FD3"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sz w:val="16"/>
                <w:szCs w:val="16"/>
              </w:rPr>
              <w:t>9. Sociālā iekļaušana un nabadzības apkarošana</w:t>
            </w:r>
          </w:p>
        </w:tc>
        <w:tc>
          <w:tcPr>
            <w:tcW w:w="1242" w:type="dxa"/>
          </w:tcPr>
          <w:p w14:paraId="63EACBBB" w14:textId="77777777" w:rsidR="00C06C01" w:rsidRPr="00D67E55" w:rsidRDefault="00C05FD3"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sz w:val="16"/>
                <w:szCs w:val="16"/>
              </w:rPr>
              <w:t>9.2</w:t>
            </w:r>
            <w:r w:rsidR="00C06C01" w:rsidRPr="00D67E55">
              <w:rPr>
                <w:rFonts w:ascii="Times New Roman" w:eastAsiaTheme="minorHAnsi" w:hAnsi="Times New Roman"/>
                <w:sz w:val="16"/>
                <w:szCs w:val="16"/>
              </w:rPr>
              <w:t>.Piekļuves uzlabošana pieejamiem, ilgtspējīgiem un augstas kvalitātes pakalpojumiem, tostarp veselības aprūpei un vispārējas nozīmes sociālajiem pakalpojumiem</w:t>
            </w:r>
          </w:p>
        </w:tc>
        <w:tc>
          <w:tcPr>
            <w:tcW w:w="1593" w:type="dxa"/>
          </w:tcPr>
          <w:p w14:paraId="4196A298" w14:textId="77777777" w:rsidR="00C06C01" w:rsidRPr="00D67E55" w:rsidRDefault="00C05FD3" w:rsidP="00C74C63">
            <w:pPr>
              <w:widowControl w:val="0"/>
              <w:tabs>
                <w:tab w:val="left" w:pos="-74"/>
              </w:tabs>
              <w:autoSpaceDE w:val="0"/>
              <w:autoSpaceDN w:val="0"/>
              <w:adjustRightInd w:val="0"/>
              <w:spacing w:before="120"/>
              <w:ind w:left="-74"/>
              <w:jc w:val="both"/>
              <w:rPr>
                <w:rFonts w:ascii="Times New Roman" w:hAnsi="Times New Roman"/>
                <w:sz w:val="16"/>
                <w:szCs w:val="16"/>
              </w:rPr>
            </w:pPr>
            <w:r w:rsidRPr="00D67E55">
              <w:rPr>
                <w:rFonts w:ascii="Times New Roman" w:eastAsiaTheme="minorHAnsi" w:hAnsi="Times New Roman"/>
                <w:sz w:val="16"/>
                <w:szCs w:val="16"/>
              </w:rPr>
              <w:t>9.2</w:t>
            </w:r>
            <w:r w:rsidR="00C74C63" w:rsidRPr="00D67E55">
              <w:rPr>
                <w:rFonts w:ascii="Times New Roman" w:eastAsiaTheme="minorHAnsi" w:hAnsi="Times New Roman"/>
                <w:sz w:val="16"/>
                <w:szCs w:val="16"/>
              </w:rPr>
              <w:t>.6.</w:t>
            </w:r>
            <w:r w:rsidR="00C06C01" w:rsidRPr="00D67E55">
              <w:rPr>
                <w:rFonts w:ascii="Times New Roman" w:eastAsiaTheme="minorHAnsi" w:hAnsi="Times New Roman"/>
                <w:sz w:val="16"/>
                <w:szCs w:val="16"/>
              </w:rPr>
              <w:t xml:space="preserve"> </w:t>
            </w:r>
            <w:r w:rsidR="00C74C63" w:rsidRPr="00D67E55">
              <w:rPr>
                <w:rFonts w:ascii="Times New Roman" w:hAnsi="Times New Roman"/>
                <w:sz w:val="16"/>
                <w:szCs w:val="16"/>
              </w:rPr>
              <w:t>Uzlabot pieejamību kvalificēt</w:t>
            </w:r>
            <w:r w:rsidR="0067724F" w:rsidRPr="00D67E55">
              <w:rPr>
                <w:rFonts w:ascii="Times New Roman" w:hAnsi="Times New Roman"/>
                <w:sz w:val="16"/>
                <w:szCs w:val="16"/>
              </w:rPr>
              <w:t>ā</w:t>
            </w:r>
            <w:r w:rsidR="00C74C63" w:rsidRPr="00D67E55">
              <w:rPr>
                <w:rFonts w:ascii="Times New Roman" w:hAnsi="Times New Roman"/>
                <w:sz w:val="16"/>
                <w:szCs w:val="16"/>
              </w:rPr>
              <w:t>m ārstniecības un ārstniecības atbalsta personām</w:t>
            </w:r>
            <w:r w:rsidR="00813C56" w:rsidRPr="00D67E55">
              <w:rPr>
                <w:rFonts w:ascii="Times New Roman" w:hAnsi="Times New Roman"/>
                <w:sz w:val="16"/>
                <w:szCs w:val="16"/>
              </w:rPr>
              <w:t xml:space="preserve">. </w:t>
            </w:r>
          </w:p>
        </w:tc>
        <w:tc>
          <w:tcPr>
            <w:tcW w:w="3261" w:type="dxa"/>
          </w:tcPr>
          <w:p w14:paraId="4AE87D01" w14:textId="77777777" w:rsidR="000F6B14"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b/>
                <w:i/>
                <w:sz w:val="16"/>
                <w:szCs w:val="16"/>
              </w:rPr>
              <w:t>RR</w:t>
            </w:r>
            <w:r w:rsidR="003935BF" w:rsidRPr="00D67E55">
              <w:rPr>
                <w:rFonts w:ascii="Times New Roman" w:eastAsiaTheme="minorHAnsi" w:hAnsi="Times New Roman"/>
                <w:b/>
                <w:i/>
                <w:sz w:val="16"/>
                <w:szCs w:val="16"/>
              </w:rPr>
              <w:t>1</w:t>
            </w:r>
            <w:r w:rsidRPr="00D67E55">
              <w:rPr>
                <w:rFonts w:ascii="Times New Roman" w:eastAsiaTheme="minorHAnsi" w:hAnsi="Times New Roman"/>
                <w:i/>
                <w:sz w:val="16"/>
                <w:szCs w:val="16"/>
              </w:rPr>
              <w:t xml:space="preserve"> Nosaukums un mērvienība:</w:t>
            </w:r>
            <w:r w:rsidRPr="00D67E55">
              <w:rPr>
                <w:rFonts w:ascii="Times New Roman" w:eastAsiaTheme="minorHAnsi" w:hAnsi="Times New Roman"/>
                <w:sz w:val="16"/>
                <w:szCs w:val="16"/>
              </w:rPr>
              <w:t xml:space="preserve"> </w:t>
            </w:r>
          </w:p>
          <w:p w14:paraId="54107CC2" w14:textId="77777777" w:rsidR="00C06C01" w:rsidRPr="00D67E55" w:rsidRDefault="00813C56"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sz w:val="16"/>
                <w:szCs w:val="16"/>
              </w:rPr>
              <w:t>r.</w:t>
            </w:r>
            <w:r w:rsidR="00C05FD3" w:rsidRPr="00D67E55">
              <w:rPr>
                <w:rFonts w:ascii="Times New Roman" w:eastAsiaTheme="minorHAnsi" w:hAnsi="Times New Roman"/>
                <w:sz w:val="16"/>
                <w:szCs w:val="16"/>
              </w:rPr>
              <w:t>9.2</w:t>
            </w:r>
            <w:r w:rsidRPr="00D67E55">
              <w:rPr>
                <w:rFonts w:ascii="Times New Roman" w:eastAsiaTheme="minorHAnsi" w:hAnsi="Times New Roman"/>
                <w:sz w:val="16"/>
                <w:szCs w:val="16"/>
              </w:rPr>
              <w:t>.</w:t>
            </w:r>
            <w:r w:rsidR="00C74C63" w:rsidRPr="00D67E55">
              <w:rPr>
                <w:rFonts w:ascii="Times New Roman" w:eastAsiaTheme="minorHAnsi" w:hAnsi="Times New Roman"/>
                <w:sz w:val="16"/>
                <w:szCs w:val="16"/>
              </w:rPr>
              <w:t>6</w:t>
            </w:r>
            <w:r w:rsidRPr="00D67E55">
              <w:rPr>
                <w:rFonts w:ascii="Times New Roman" w:eastAsiaTheme="minorHAnsi" w:hAnsi="Times New Roman"/>
                <w:sz w:val="16"/>
                <w:szCs w:val="16"/>
              </w:rPr>
              <w:t>.</w:t>
            </w:r>
            <w:r w:rsidR="00790520" w:rsidRPr="00D67E55">
              <w:rPr>
                <w:rFonts w:ascii="Times New Roman" w:eastAsiaTheme="minorHAnsi" w:hAnsi="Times New Roman"/>
                <w:sz w:val="16"/>
                <w:szCs w:val="16"/>
              </w:rPr>
              <w:t>a</w:t>
            </w:r>
            <w:r w:rsidRPr="00D67E55">
              <w:rPr>
                <w:rFonts w:ascii="Times New Roman" w:eastAsiaTheme="minorHAnsi" w:hAnsi="Times New Roman"/>
                <w:sz w:val="16"/>
                <w:szCs w:val="16"/>
              </w:rPr>
              <w:t xml:space="preserve"> </w:t>
            </w:r>
            <w:r w:rsidR="00C06C01" w:rsidRPr="00D67E55">
              <w:rPr>
                <w:rFonts w:ascii="Times New Roman" w:eastAsiaTheme="minorHAnsi" w:hAnsi="Times New Roman"/>
                <w:b/>
                <w:sz w:val="16"/>
                <w:szCs w:val="16"/>
              </w:rPr>
              <w:t xml:space="preserve">Ārstniecības, ārstniecības atbalsta </w:t>
            </w:r>
            <w:r w:rsidRPr="00D67E55">
              <w:rPr>
                <w:rFonts w:ascii="Times New Roman" w:eastAsiaTheme="minorHAnsi" w:hAnsi="Times New Roman"/>
                <w:b/>
                <w:sz w:val="16"/>
                <w:szCs w:val="16"/>
              </w:rPr>
              <w:t>personu</w:t>
            </w:r>
            <w:r w:rsidR="00DE3527" w:rsidRPr="00D67E55">
              <w:rPr>
                <w:rFonts w:ascii="Times New Roman" w:eastAsiaTheme="minorHAnsi" w:hAnsi="Times New Roman"/>
                <w:b/>
                <w:sz w:val="16"/>
                <w:szCs w:val="16"/>
              </w:rPr>
              <w:t xml:space="preserve"> </w:t>
            </w:r>
            <w:r w:rsidR="00C06C01" w:rsidRPr="00D67E55">
              <w:rPr>
                <w:rFonts w:ascii="Times New Roman" w:hAnsi="Times New Roman"/>
                <w:b/>
                <w:sz w:val="16"/>
                <w:szCs w:val="16"/>
              </w:rPr>
              <w:t xml:space="preserve">un </w:t>
            </w:r>
            <w:r w:rsidR="00C06C01" w:rsidRPr="00D67E55">
              <w:rPr>
                <w:rFonts w:ascii="Times New Roman" w:hAnsi="Times New Roman"/>
                <w:b/>
                <w:sz w:val="16"/>
                <w:szCs w:val="16"/>
                <w:lang w:eastAsia="lv-LV"/>
              </w:rPr>
              <w:t>farmaceitiskās aprūpes pakalpojumu sniedzēju</w:t>
            </w:r>
            <w:r w:rsidR="00C06C01" w:rsidRPr="00D67E55">
              <w:rPr>
                <w:rFonts w:ascii="Times New Roman" w:eastAsiaTheme="minorHAnsi" w:hAnsi="Times New Roman"/>
                <w:b/>
                <w:sz w:val="16"/>
                <w:szCs w:val="16"/>
              </w:rPr>
              <w:t xml:space="preserve"> skaits, k</w:t>
            </w:r>
            <w:r w:rsidR="00F442C7" w:rsidRPr="00D67E55">
              <w:rPr>
                <w:rFonts w:ascii="Times New Roman" w:eastAsiaTheme="minorHAnsi" w:hAnsi="Times New Roman"/>
                <w:b/>
                <w:sz w:val="16"/>
                <w:szCs w:val="16"/>
              </w:rPr>
              <w:t>am</w:t>
            </w:r>
            <w:r w:rsidR="00C06C01" w:rsidRPr="00D67E55">
              <w:rPr>
                <w:rFonts w:ascii="Times New Roman" w:eastAsiaTheme="minorHAnsi" w:hAnsi="Times New Roman"/>
                <w:b/>
                <w:sz w:val="16"/>
                <w:szCs w:val="16"/>
              </w:rPr>
              <w:t xml:space="preserve"> pilnveidota profesionālā kvalifikācija tālākizglītības pasākumu ietvaros</w:t>
            </w:r>
            <w:r w:rsidR="000F6B14" w:rsidRPr="00D67E55">
              <w:rPr>
                <w:rFonts w:ascii="Times New Roman" w:eastAsiaTheme="minorHAnsi" w:hAnsi="Times New Roman"/>
                <w:b/>
                <w:sz w:val="16"/>
                <w:szCs w:val="16"/>
              </w:rPr>
              <w:t xml:space="preserve">, </w:t>
            </w:r>
            <w:r w:rsidR="00790520" w:rsidRPr="00D67E55">
              <w:rPr>
                <w:rFonts w:ascii="Times New Roman" w:eastAsiaTheme="minorHAnsi" w:hAnsi="Times New Roman"/>
                <w:b/>
                <w:sz w:val="16"/>
                <w:szCs w:val="16"/>
              </w:rPr>
              <w:t>(pakalpojuma sniedzēji)</w:t>
            </w:r>
          </w:p>
          <w:p w14:paraId="178EFFD0"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63F8802A" w14:textId="3300D040" w:rsidR="00C06C01" w:rsidRPr="00D67E55" w:rsidRDefault="00C06C01" w:rsidP="00813C56">
            <w:pPr>
              <w:spacing w:after="0" w:line="240" w:lineRule="auto"/>
              <w:jc w:val="both"/>
              <w:rPr>
                <w:rFonts w:ascii="Times New Roman" w:eastAsiaTheme="minorHAnsi" w:hAnsi="Times New Roman"/>
                <w:i/>
                <w:sz w:val="16"/>
                <w:szCs w:val="16"/>
              </w:rPr>
            </w:pPr>
            <w:r w:rsidRPr="00D67E55">
              <w:rPr>
                <w:rFonts w:ascii="Times New Roman" w:eastAsiaTheme="minorHAnsi" w:hAnsi="Times New Roman"/>
                <w:i/>
                <w:sz w:val="16"/>
                <w:szCs w:val="16"/>
              </w:rPr>
              <w:t>Definīcija:</w:t>
            </w:r>
            <w:r w:rsidRPr="00D67E55">
              <w:rPr>
                <w:rFonts w:ascii="Times New Roman" w:eastAsiaTheme="minorHAnsi" w:hAnsi="Times New Roman"/>
                <w:sz w:val="16"/>
                <w:szCs w:val="16"/>
              </w:rPr>
              <w:t xml:space="preserve"> Ārstniecības, ārstniecības atbalsta</w:t>
            </w:r>
            <w:r w:rsidR="00790520" w:rsidRPr="00D67E55">
              <w:rPr>
                <w:rFonts w:ascii="Times New Roman" w:eastAsiaTheme="minorHAnsi" w:hAnsi="Times New Roman"/>
                <w:sz w:val="16"/>
                <w:szCs w:val="16"/>
              </w:rPr>
              <w:t xml:space="preserve"> </w:t>
            </w:r>
            <w:r w:rsidRPr="00D67E55">
              <w:rPr>
                <w:rFonts w:ascii="Times New Roman" w:hAnsi="Times New Roman"/>
                <w:sz w:val="16"/>
                <w:szCs w:val="16"/>
              </w:rPr>
              <w:t xml:space="preserve">un </w:t>
            </w:r>
            <w:r w:rsidRPr="00D67E55">
              <w:rPr>
                <w:rFonts w:ascii="Times New Roman" w:hAnsi="Times New Roman"/>
                <w:sz w:val="16"/>
                <w:szCs w:val="16"/>
                <w:lang w:eastAsia="lv-LV"/>
              </w:rPr>
              <w:t>farmaceitiskās aprūpes pakalpojumu sniedzēju</w:t>
            </w:r>
            <w:r w:rsidRPr="00D67E55">
              <w:rPr>
                <w:rFonts w:ascii="Times New Roman" w:eastAsiaTheme="minorHAnsi" w:hAnsi="Times New Roman"/>
                <w:sz w:val="16"/>
                <w:szCs w:val="16"/>
              </w:rPr>
              <w:t xml:space="preserve"> (personu) skaits (neunikālās), kurām pilnveidota profesionālā kvalifikācija tālākizglītības pasākumu ietvaros</w:t>
            </w:r>
            <w:r w:rsidR="00A15199" w:rsidRPr="00D67E55">
              <w:rPr>
                <w:rFonts w:ascii="Times New Roman" w:eastAsiaTheme="minorHAnsi" w:hAnsi="Times New Roman"/>
                <w:sz w:val="16"/>
                <w:szCs w:val="16"/>
              </w:rPr>
              <w:t xml:space="preserve"> (saņemts dokumen</w:t>
            </w:r>
            <w:r w:rsidR="003609FC" w:rsidRPr="00D67E55">
              <w:rPr>
                <w:rFonts w:ascii="Times New Roman" w:eastAsiaTheme="minorHAnsi" w:hAnsi="Times New Roman"/>
                <w:sz w:val="16"/>
                <w:szCs w:val="16"/>
              </w:rPr>
              <w:t>ts par sekmīgi nokārtotu apmācīb</w:t>
            </w:r>
            <w:r w:rsidR="00A15199" w:rsidRPr="00D67E55">
              <w:rPr>
                <w:rFonts w:ascii="Times New Roman" w:eastAsiaTheme="minorHAnsi" w:hAnsi="Times New Roman"/>
                <w:sz w:val="16"/>
                <w:szCs w:val="16"/>
              </w:rPr>
              <w:t>u kursu)</w:t>
            </w:r>
            <w:r w:rsidR="0058230A" w:rsidRPr="00D67E55">
              <w:rPr>
                <w:rStyle w:val="FootnoteReference"/>
                <w:rFonts w:ascii="Times New Roman" w:eastAsiaTheme="minorHAnsi" w:hAnsi="Times New Roman"/>
                <w:sz w:val="16"/>
                <w:szCs w:val="16"/>
              </w:rPr>
              <w:footnoteReference w:id="2"/>
            </w:r>
            <w:r w:rsidR="0088518B" w:rsidRPr="00D67E55">
              <w:rPr>
                <w:rFonts w:cs="Calibri"/>
              </w:rPr>
              <w:t xml:space="preserve"> </w:t>
            </w:r>
            <w:r w:rsidR="0088518B" w:rsidRPr="00D67E55">
              <w:rPr>
                <w:rFonts w:ascii="Times New Roman" w:hAnsi="Times New Roman"/>
                <w:sz w:val="16"/>
                <w:szCs w:val="16"/>
              </w:rPr>
              <w:t>Rezultāta rādītājā tiek skaitītas visas tās personas, k</w:t>
            </w:r>
            <w:r w:rsidR="00201F9D" w:rsidRPr="00D67E55">
              <w:rPr>
                <w:rFonts w:ascii="Times New Roman" w:hAnsi="Times New Roman"/>
                <w:sz w:val="16"/>
                <w:szCs w:val="16"/>
              </w:rPr>
              <w:t>ur</w:t>
            </w:r>
            <w:r w:rsidR="0088518B" w:rsidRPr="00D67E55">
              <w:rPr>
                <w:rFonts w:ascii="Times New Roman" w:hAnsi="Times New Roman"/>
                <w:sz w:val="16"/>
                <w:szCs w:val="16"/>
              </w:rPr>
              <w:t>as apmācību rezultātā ir saņēmušas sertifikātu (vai citu mācības apliecinošu dokumentu) par veiksmīgi apgūtu mācību kursu (saņemts dokuments par sekmīgi nokārtotu apmācību kursu</w:t>
            </w:r>
          </w:p>
          <w:p w14:paraId="4F59AE8A"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3E89B176" w14:textId="77777777"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Bāzes vērtība un tās noteikšanas gads</w:t>
            </w:r>
            <w:r w:rsidRPr="00D67E55">
              <w:rPr>
                <w:rFonts w:ascii="Times New Roman" w:eastAsiaTheme="minorHAnsi" w:hAnsi="Times New Roman"/>
                <w:sz w:val="16"/>
                <w:szCs w:val="16"/>
              </w:rPr>
              <w:t xml:space="preserve">: </w:t>
            </w:r>
            <w:r w:rsidR="00515768" w:rsidRPr="00D67E55">
              <w:rPr>
                <w:rFonts w:ascii="Times New Roman" w:eastAsiaTheme="minorHAnsi" w:hAnsi="Times New Roman"/>
                <w:sz w:val="16"/>
                <w:szCs w:val="16"/>
              </w:rPr>
              <w:t xml:space="preserve">47 685 </w:t>
            </w:r>
            <w:r w:rsidRPr="00D67E55">
              <w:rPr>
                <w:rFonts w:ascii="Times New Roman" w:eastAsiaTheme="minorHAnsi" w:hAnsi="Times New Roman"/>
                <w:sz w:val="16"/>
                <w:szCs w:val="16"/>
              </w:rPr>
              <w:t>(2012.g.)</w:t>
            </w:r>
            <w:r w:rsidR="00515768" w:rsidRPr="00D67E55">
              <w:rPr>
                <w:rFonts w:ascii="Times New Roman" w:eastAsiaTheme="minorHAnsi" w:hAnsi="Times New Roman"/>
                <w:sz w:val="16"/>
                <w:szCs w:val="16"/>
              </w:rPr>
              <w:t xml:space="preserve"> (Bāzes vērtība noteikta, ņemot vērā 2007.-2013.gadā īstenoto ESF finansēto tālākizglītības programmu veselības jomā (1.DP 1.3.2.3.aktivitāte))</w:t>
            </w:r>
          </w:p>
          <w:p w14:paraId="4369C0BA" w14:textId="77777777" w:rsidR="00C06C01" w:rsidRPr="00D67E55" w:rsidRDefault="00C06C01" w:rsidP="00813C56">
            <w:pPr>
              <w:spacing w:after="0" w:line="240" w:lineRule="auto"/>
              <w:jc w:val="both"/>
              <w:rPr>
                <w:rFonts w:ascii="Times New Roman" w:eastAsiaTheme="minorHAnsi" w:hAnsi="Times New Roman"/>
                <w:sz w:val="16"/>
                <w:szCs w:val="16"/>
              </w:rPr>
            </w:pPr>
          </w:p>
          <w:p w14:paraId="4B1376A3" w14:textId="77777777"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 xml:space="preserve">Datu avots: </w:t>
            </w:r>
            <w:r w:rsidRPr="00D67E55">
              <w:rPr>
                <w:rFonts w:ascii="Times New Roman" w:eastAsiaTheme="minorHAnsi" w:hAnsi="Times New Roman"/>
                <w:sz w:val="16"/>
                <w:szCs w:val="16"/>
              </w:rPr>
              <w:t>Projektu dati</w:t>
            </w:r>
          </w:p>
          <w:p w14:paraId="44BB279A"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5AEB175C" w14:textId="77777777"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 xml:space="preserve">Apkopošanas biežums un ieguves metodoloģija: </w:t>
            </w:r>
            <w:r w:rsidR="00D01D43" w:rsidRPr="00D67E55">
              <w:rPr>
                <w:rFonts w:ascii="Times New Roman" w:eastAsiaTheme="minorHAnsi" w:hAnsi="Times New Roman"/>
                <w:sz w:val="16"/>
                <w:szCs w:val="16"/>
              </w:rPr>
              <w:t>1</w:t>
            </w:r>
            <w:r w:rsidRPr="00D67E55">
              <w:rPr>
                <w:rFonts w:ascii="Times New Roman" w:eastAsiaTheme="minorHAnsi" w:hAnsi="Times New Roman"/>
                <w:sz w:val="16"/>
                <w:szCs w:val="16"/>
              </w:rPr>
              <w:t xml:space="preserve"> reizi gadā analizējot projektu datus</w:t>
            </w:r>
          </w:p>
          <w:p w14:paraId="07EC0B27"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05748BC6" w14:textId="77777777" w:rsidR="00515768"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Mērķis 2023</w:t>
            </w:r>
            <w:r w:rsidRPr="00D67E55">
              <w:rPr>
                <w:rFonts w:ascii="Times New Roman" w:eastAsiaTheme="minorHAnsi" w:hAnsi="Times New Roman"/>
                <w:sz w:val="16"/>
                <w:szCs w:val="16"/>
              </w:rPr>
              <w:t xml:space="preserve">: </w:t>
            </w:r>
            <w:r w:rsidR="00515768" w:rsidRPr="00D67E55">
              <w:rPr>
                <w:rFonts w:ascii="Times New Roman" w:eastAsiaTheme="minorHAnsi" w:hAnsi="Times New Roman"/>
                <w:sz w:val="16"/>
                <w:szCs w:val="16"/>
              </w:rPr>
              <w:t xml:space="preserve">  </w:t>
            </w:r>
          </w:p>
          <w:p w14:paraId="6322CBAC" w14:textId="77777777" w:rsidR="00C06C01" w:rsidRPr="00D67E55" w:rsidRDefault="00CF3330"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sz w:val="16"/>
                <w:szCs w:val="16"/>
              </w:rPr>
              <w:t>28 000 – 30 000</w:t>
            </w:r>
          </w:p>
          <w:p w14:paraId="48EC6DC9" w14:textId="77777777" w:rsidR="00C06C01" w:rsidRPr="00D67E55" w:rsidRDefault="00C06C01" w:rsidP="00813C56">
            <w:pPr>
              <w:spacing w:after="0" w:line="240" w:lineRule="auto"/>
              <w:jc w:val="both"/>
              <w:rPr>
                <w:rFonts w:ascii="Times New Roman" w:eastAsiaTheme="minorHAnsi" w:hAnsi="Times New Roman"/>
                <w:sz w:val="16"/>
                <w:szCs w:val="16"/>
              </w:rPr>
            </w:pPr>
          </w:p>
          <w:p w14:paraId="2BFE06BE" w14:textId="02FAE290" w:rsidR="00C06C01" w:rsidRPr="00D67E55" w:rsidRDefault="00C06C01" w:rsidP="00813C56">
            <w:pPr>
              <w:spacing w:after="0" w:line="240" w:lineRule="auto"/>
              <w:jc w:val="both"/>
              <w:rPr>
                <w:rFonts w:ascii="Times New Roman" w:hAnsi="Times New Roman"/>
                <w:sz w:val="16"/>
                <w:szCs w:val="16"/>
                <w:lang w:eastAsia="lv-LV"/>
              </w:rPr>
            </w:pPr>
            <w:r w:rsidRPr="00D67E55">
              <w:rPr>
                <w:rFonts w:ascii="Times New Roman" w:eastAsiaTheme="minorHAnsi" w:hAnsi="Times New Roman"/>
                <w:i/>
                <w:sz w:val="16"/>
                <w:szCs w:val="16"/>
              </w:rPr>
              <w:t xml:space="preserve">Mērķa vērtības noteikšanas principi/metodoloģija: </w:t>
            </w:r>
            <w:r w:rsidRPr="00D67E55">
              <w:rPr>
                <w:rFonts w:ascii="Times New Roman" w:eastAsiaTheme="minorHAnsi" w:hAnsi="Times New Roman"/>
                <w:sz w:val="16"/>
                <w:szCs w:val="16"/>
              </w:rPr>
              <w:t xml:space="preserve">Mērķa vērtība </w:t>
            </w:r>
            <w:r w:rsidR="00BB30E2" w:rsidRPr="00D67E55">
              <w:rPr>
                <w:rFonts w:ascii="Times New Roman" w:eastAsiaTheme="minorHAnsi" w:hAnsi="Times New Roman"/>
                <w:sz w:val="16"/>
                <w:szCs w:val="16"/>
              </w:rPr>
              <w:t xml:space="preserve">tika </w:t>
            </w:r>
            <w:r w:rsidRPr="00D67E55">
              <w:rPr>
                <w:rFonts w:ascii="Times New Roman" w:eastAsiaTheme="minorHAnsi" w:hAnsi="Times New Roman"/>
                <w:sz w:val="16"/>
                <w:szCs w:val="16"/>
              </w:rPr>
              <w:t xml:space="preserve">noteikta balstoties uz </w:t>
            </w:r>
            <w:r w:rsidR="00BB30E2" w:rsidRPr="00D67E55">
              <w:rPr>
                <w:rFonts w:ascii="Times New Roman" w:eastAsiaTheme="minorHAnsi" w:hAnsi="Times New Roman"/>
                <w:sz w:val="16"/>
                <w:szCs w:val="16"/>
              </w:rPr>
              <w:t xml:space="preserve">2007.-2013..gada </w:t>
            </w:r>
            <w:r w:rsidR="00BB30E2" w:rsidRPr="00D67E55">
              <w:rPr>
                <w:rFonts w:ascii="Times New Roman" w:eastAsiaTheme="minorHAnsi" w:hAnsi="Times New Roman"/>
                <w:sz w:val="16"/>
                <w:szCs w:val="16"/>
              </w:rPr>
              <w:lastRenderedPageBreak/>
              <w:t xml:space="preserve">plānošanas perioda </w:t>
            </w:r>
            <w:r w:rsidRPr="00D67E55">
              <w:rPr>
                <w:rFonts w:ascii="Times New Roman" w:eastAsiaTheme="minorHAnsi" w:hAnsi="Times New Roman"/>
                <w:sz w:val="16"/>
                <w:szCs w:val="16"/>
              </w:rPr>
              <w:t>pieredzi</w:t>
            </w:r>
            <w:r w:rsidR="00DE193B" w:rsidRPr="00D67E55">
              <w:rPr>
                <w:rFonts w:ascii="Times New Roman" w:eastAsiaTheme="minorHAnsi" w:hAnsi="Times New Roman"/>
                <w:sz w:val="16"/>
                <w:szCs w:val="16"/>
              </w:rPr>
              <w:t>, rēķinot viena</w:t>
            </w:r>
            <w:r w:rsidR="008D0C05" w:rsidRPr="00D67E55">
              <w:rPr>
                <w:rFonts w:ascii="Times New Roman" w:eastAsiaTheme="minorHAnsi" w:hAnsi="Times New Roman"/>
                <w:sz w:val="16"/>
                <w:szCs w:val="16"/>
              </w:rPr>
              <w:t>s</w:t>
            </w:r>
            <w:r w:rsidR="00DE193B" w:rsidRPr="00D67E55">
              <w:rPr>
                <w:rFonts w:ascii="Times New Roman" w:eastAsiaTheme="minorHAnsi" w:hAnsi="Times New Roman"/>
                <w:sz w:val="16"/>
                <w:szCs w:val="16"/>
              </w:rPr>
              <w:t xml:space="preserve"> </w:t>
            </w:r>
            <w:r w:rsidR="008D0C05" w:rsidRPr="00D67E55">
              <w:rPr>
                <w:rFonts w:ascii="Times New Roman" w:eastAsiaTheme="minorHAnsi" w:hAnsi="Times New Roman"/>
                <w:sz w:val="16"/>
                <w:szCs w:val="16"/>
              </w:rPr>
              <w:t>personas</w:t>
            </w:r>
            <w:r w:rsidR="00DE193B" w:rsidRPr="00D67E55">
              <w:rPr>
                <w:rFonts w:ascii="Times New Roman" w:eastAsiaTheme="minorHAnsi" w:hAnsi="Times New Roman"/>
                <w:sz w:val="16"/>
                <w:szCs w:val="16"/>
              </w:rPr>
              <w:t xml:space="preserve"> apmācībai vidēji 815 </w:t>
            </w:r>
            <w:proofErr w:type="spellStart"/>
            <w:r w:rsidR="00DE193B" w:rsidRPr="00D67E55">
              <w:rPr>
                <w:rFonts w:ascii="Times New Roman" w:eastAsiaTheme="minorHAnsi" w:hAnsi="Times New Roman"/>
                <w:i/>
                <w:sz w:val="16"/>
                <w:szCs w:val="16"/>
              </w:rPr>
              <w:t>euro</w:t>
            </w:r>
            <w:proofErr w:type="spellEnd"/>
            <w:r w:rsidR="00DE193B" w:rsidRPr="00D67E55">
              <w:rPr>
                <w:rFonts w:ascii="Times New Roman" w:eastAsiaTheme="minorHAnsi" w:hAnsi="Times New Roman"/>
                <w:sz w:val="16"/>
                <w:szCs w:val="16"/>
              </w:rPr>
              <w:t xml:space="preserve"> </w:t>
            </w:r>
            <w:r w:rsidRPr="00D67E55">
              <w:rPr>
                <w:rFonts w:ascii="Times New Roman" w:eastAsiaTheme="minorHAnsi" w:hAnsi="Times New Roman"/>
                <w:sz w:val="16"/>
                <w:szCs w:val="16"/>
              </w:rPr>
              <w:t xml:space="preserve">un ņemot vērā prognozi par  </w:t>
            </w:r>
            <w:r w:rsidR="008D0C05" w:rsidRPr="00D67E55">
              <w:rPr>
                <w:rFonts w:ascii="Times New Roman" w:eastAsiaTheme="minorHAnsi" w:hAnsi="Times New Roman"/>
                <w:sz w:val="16"/>
                <w:szCs w:val="16"/>
              </w:rPr>
              <w:t>personām, k</w:t>
            </w:r>
            <w:r w:rsidR="00201F9D" w:rsidRPr="00D67E55">
              <w:rPr>
                <w:rFonts w:ascii="Times New Roman" w:eastAsiaTheme="minorHAnsi" w:hAnsi="Times New Roman"/>
                <w:sz w:val="16"/>
                <w:szCs w:val="16"/>
              </w:rPr>
              <w:t>ur</w:t>
            </w:r>
            <w:r w:rsidR="008D0C05" w:rsidRPr="00D67E55">
              <w:rPr>
                <w:rFonts w:ascii="Times New Roman" w:eastAsiaTheme="minorHAnsi" w:hAnsi="Times New Roman"/>
                <w:sz w:val="16"/>
                <w:szCs w:val="16"/>
              </w:rPr>
              <w:t xml:space="preserve">as piedalās apmācībās </w:t>
            </w:r>
            <w:r w:rsidR="00DE193B" w:rsidRPr="00D67E55">
              <w:rPr>
                <w:rFonts w:ascii="Times New Roman" w:eastAsiaTheme="minorHAnsi" w:hAnsi="Times New Roman"/>
                <w:sz w:val="16"/>
                <w:szCs w:val="16"/>
              </w:rPr>
              <w:t>(ap 90%)</w:t>
            </w:r>
            <w:r w:rsidRPr="00D67E55">
              <w:rPr>
                <w:rFonts w:ascii="Times New Roman" w:eastAsiaTheme="minorHAnsi" w:hAnsi="Times New Roman"/>
                <w:sz w:val="16"/>
                <w:szCs w:val="16"/>
              </w:rPr>
              <w:t>, kur</w:t>
            </w:r>
            <w:r w:rsidR="00201F9D" w:rsidRPr="00D67E55">
              <w:rPr>
                <w:rFonts w:ascii="Times New Roman" w:eastAsiaTheme="minorHAnsi" w:hAnsi="Times New Roman"/>
                <w:sz w:val="16"/>
                <w:szCs w:val="16"/>
              </w:rPr>
              <w:t>as</w:t>
            </w:r>
            <w:r w:rsidRPr="00D67E55">
              <w:rPr>
                <w:rFonts w:ascii="Times New Roman" w:eastAsiaTheme="minorHAnsi" w:hAnsi="Times New Roman"/>
                <w:sz w:val="16"/>
                <w:szCs w:val="16"/>
              </w:rPr>
              <w:t xml:space="preserve"> beidzoties apmācībām saņems nepieciešamo </w:t>
            </w:r>
            <w:r w:rsidR="003348D9" w:rsidRPr="00D67E55">
              <w:rPr>
                <w:rFonts w:ascii="Times New Roman" w:eastAsiaTheme="minorHAnsi" w:hAnsi="Times New Roman"/>
                <w:sz w:val="16"/>
                <w:szCs w:val="16"/>
              </w:rPr>
              <w:t>apliecinājumu par sekmīgu apmācību pabeigšanu</w:t>
            </w:r>
            <w:r w:rsidRPr="00D67E55">
              <w:rPr>
                <w:rFonts w:ascii="Times New Roman" w:eastAsiaTheme="minorHAnsi" w:hAnsi="Times New Roman"/>
                <w:sz w:val="16"/>
                <w:szCs w:val="16"/>
              </w:rPr>
              <w:t xml:space="preserve"> (dokumentu, kas apliecina, ka attiecīgais personai, par sekmīgu mācību kursa pabeigšanu tiek piešķirti kredītpunkti, kas nepieciešami </w:t>
            </w:r>
            <w:proofErr w:type="spellStart"/>
            <w:r w:rsidRPr="00D67E55">
              <w:rPr>
                <w:rFonts w:ascii="Times New Roman" w:eastAsiaTheme="minorHAnsi" w:hAnsi="Times New Roman"/>
                <w:sz w:val="16"/>
                <w:szCs w:val="16"/>
              </w:rPr>
              <w:t>resertifikācijai</w:t>
            </w:r>
            <w:proofErr w:type="spellEnd"/>
            <w:r w:rsidR="003348D9" w:rsidRPr="00D67E55">
              <w:rPr>
                <w:rFonts w:ascii="Times New Roman" w:eastAsiaTheme="minorHAnsi" w:hAnsi="Times New Roman"/>
                <w:sz w:val="16"/>
                <w:szCs w:val="16"/>
              </w:rPr>
              <w:t>, kur attiecināms)</w:t>
            </w:r>
            <w:r w:rsidR="00BB30E2" w:rsidRPr="00D67E55">
              <w:rPr>
                <w:rFonts w:ascii="Times New Roman" w:eastAsiaTheme="minorHAnsi" w:hAnsi="Times New Roman"/>
                <w:sz w:val="16"/>
                <w:szCs w:val="16"/>
              </w:rPr>
              <w:t>,</w:t>
            </w:r>
            <w:r w:rsidR="00BB30E2" w:rsidRPr="00D67E55">
              <w:rPr>
                <w:rFonts w:ascii="Times New Roman" w:hAnsi="Times New Roman"/>
                <w:sz w:val="16"/>
                <w:szCs w:val="16"/>
                <w:lang w:eastAsia="lv-LV"/>
              </w:rPr>
              <w:t xml:space="preserve"> tomēr pārvērtējot apmācību izmaksas medicīnas jomā Latvijā uz 2019.gadu, tika veikts pārrēķins atbilstoši esošajām izmaksām, kas ļauj sasniegt plānoto rādītāju ar samazinātu finansējumu 16,8 </w:t>
            </w:r>
            <w:proofErr w:type="spellStart"/>
            <w:r w:rsidR="00BB30E2" w:rsidRPr="00D67E55">
              <w:rPr>
                <w:rFonts w:ascii="Times New Roman" w:hAnsi="Times New Roman"/>
                <w:sz w:val="16"/>
                <w:szCs w:val="16"/>
                <w:lang w:eastAsia="lv-LV"/>
              </w:rPr>
              <w:t>milj.</w:t>
            </w:r>
            <w:r w:rsidR="00201F9D" w:rsidRPr="00D67E55">
              <w:rPr>
                <w:rFonts w:ascii="Times New Roman" w:hAnsi="Times New Roman"/>
                <w:i/>
                <w:sz w:val="16"/>
                <w:szCs w:val="16"/>
                <w:lang w:eastAsia="lv-LV"/>
              </w:rPr>
              <w:t>euro</w:t>
            </w:r>
            <w:proofErr w:type="spellEnd"/>
            <w:r w:rsidR="00BB30E2" w:rsidRPr="00D67E55">
              <w:rPr>
                <w:rFonts w:ascii="Times New Roman" w:hAnsi="Times New Roman"/>
                <w:sz w:val="16"/>
                <w:szCs w:val="16"/>
                <w:lang w:eastAsia="lv-LV"/>
              </w:rPr>
              <w:t xml:space="preserve"> apmērā</w:t>
            </w:r>
            <w:r w:rsidRPr="00D67E55">
              <w:rPr>
                <w:rFonts w:ascii="Times New Roman" w:eastAsiaTheme="minorHAnsi" w:hAnsi="Times New Roman"/>
                <w:sz w:val="16"/>
                <w:szCs w:val="16"/>
              </w:rPr>
              <w:t>.</w:t>
            </w:r>
            <w:r w:rsidR="004F2CAD" w:rsidRPr="00D67E55">
              <w:rPr>
                <w:rFonts w:ascii="Times New Roman" w:eastAsiaTheme="minorHAnsi" w:hAnsi="Times New Roman"/>
                <w:sz w:val="16"/>
                <w:szCs w:val="16"/>
              </w:rPr>
              <w:t xml:space="preserve"> Tāpat aprēķinos ņemts vērā, ka apmācītas tiks šādas mērķa grupas: </w:t>
            </w:r>
            <w:r w:rsidR="004F2CAD" w:rsidRPr="00D67E55">
              <w:rPr>
                <w:rFonts w:ascii="Times New Roman" w:hAnsi="Times New Roman"/>
                <w:sz w:val="16"/>
                <w:szCs w:val="16"/>
                <w:lang w:eastAsia="lv-LV"/>
              </w:rPr>
              <w:t>ārstniecības un ārstniecības atbalsta personāls, sociālajā jomā strādājošie  speciālisti</w:t>
            </w:r>
            <w:r w:rsidR="00A22309" w:rsidRPr="00D67E55">
              <w:rPr>
                <w:rFonts w:ascii="Times New Roman" w:hAnsi="Times New Roman"/>
                <w:sz w:val="16"/>
                <w:szCs w:val="16"/>
                <w:lang w:eastAsia="lv-LV"/>
              </w:rPr>
              <w:t xml:space="preserve"> un</w:t>
            </w:r>
            <w:r w:rsidR="004F2CAD" w:rsidRPr="00D67E55">
              <w:rPr>
                <w:rFonts w:ascii="Times New Roman" w:hAnsi="Times New Roman"/>
                <w:sz w:val="16"/>
                <w:szCs w:val="16"/>
                <w:lang w:eastAsia="lv-LV"/>
              </w:rPr>
              <w:t xml:space="preserve"> farmaceitiskās aprūpes pakalpojumu sniedzēji </w:t>
            </w:r>
          </w:p>
          <w:p w14:paraId="25DF4244" w14:textId="7D89E2EC" w:rsidR="008B2D82" w:rsidRPr="00D67E55" w:rsidRDefault="008B2D82" w:rsidP="00813C56">
            <w:pPr>
              <w:spacing w:after="0" w:line="240" w:lineRule="auto"/>
              <w:jc w:val="both"/>
              <w:rPr>
                <w:rFonts w:ascii="Times New Roman" w:hAnsi="Times New Roman"/>
                <w:sz w:val="16"/>
                <w:szCs w:val="16"/>
                <w:lang w:eastAsia="lv-LV"/>
              </w:rPr>
            </w:pPr>
          </w:p>
          <w:p w14:paraId="2DD364C2" w14:textId="5485F215" w:rsidR="00F940E8" w:rsidRPr="00D67E55" w:rsidRDefault="00F940E8" w:rsidP="00813C56">
            <w:pPr>
              <w:spacing w:after="0" w:line="240" w:lineRule="auto"/>
              <w:jc w:val="both"/>
              <w:rPr>
                <w:rFonts w:ascii="Times New Roman" w:hAnsi="Times New Roman"/>
                <w:sz w:val="16"/>
                <w:szCs w:val="16"/>
                <w:lang w:eastAsia="lv-LV"/>
              </w:rPr>
            </w:pPr>
            <w:r w:rsidRPr="00D67E55">
              <w:rPr>
                <w:rFonts w:ascii="Times New Roman" w:hAnsi="Times New Roman"/>
                <w:sz w:val="16"/>
                <w:szCs w:val="16"/>
                <w:lang w:eastAsia="lv-LV"/>
              </w:rPr>
              <w:t>Darbības līmenis</w:t>
            </w:r>
            <w:r w:rsidR="00DF06EE" w:rsidRPr="00D67E55">
              <w:rPr>
                <w:rFonts w:ascii="Times New Roman" w:hAnsi="Times New Roman"/>
                <w:sz w:val="16"/>
                <w:szCs w:val="16"/>
                <w:lang w:eastAsia="lv-LV"/>
              </w:rPr>
              <w:t>: projekts</w:t>
            </w:r>
          </w:p>
          <w:p w14:paraId="0F23CDDE" w14:textId="77777777" w:rsidR="00F940E8" w:rsidRPr="00D67E55" w:rsidRDefault="00F940E8" w:rsidP="00813C56">
            <w:pPr>
              <w:spacing w:after="0" w:line="240" w:lineRule="auto"/>
              <w:jc w:val="both"/>
              <w:rPr>
                <w:rFonts w:ascii="Times New Roman" w:hAnsi="Times New Roman"/>
                <w:sz w:val="16"/>
                <w:szCs w:val="16"/>
                <w:lang w:eastAsia="lv-LV"/>
              </w:rPr>
            </w:pPr>
          </w:p>
          <w:p w14:paraId="00FDFBEE" w14:textId="5BA52396" w:rsidR="008B2D82" w:rsidRPr="00D67E55" w:rsidRDefault="00694073" w:rsidP="008B2D82">
            <w:pPr>
              <w:pStyle w:val="xmsolistparagraph"/>
              <w:shd w:val="clear" w:color="auto" w:fill="FFFFFF"/>
              <w:spacing w:before="0" w:beforeAutospacing="0" w:after="0" w:afterAutospacing="0"/>
              <w:jc w:val="both"/>
              <w:rPr>
                <w:rFonts w:eastAsiaTheme="minorHAnsi"/>
                <w:sz w:val="16"/>
                <w:szCs w:val="16"/>
              </w:rPr>
            </w:pPr>
            <w:r w:rsidRPr="00D67E55">
              <w:rPr>
                <w:b/>
                <w:bCs/>
                <w:sz w:val="16"/>
                <w:szCs w:val="16"/>
              </w:rPr>
              <w:t>Darbības, kas liek uzskatīt mērķa vērtību par izpildītu</w:t>
            </w:r>
            <w:r w:rsidR="008B2D82" w:rsidRPr="00D67E55">
              <w:rPr>
                <w:sz w:val="16"/>
                <w:szCs w:val="16"/>
                <w:shd w:val="clear" w:color="auto" w:fill="FFFFFF"/>
              </w:rPr>
              <w:t>:</w:t>
            </w:r>
            <w:r w:rsidR="004B0737" w:rsidRPr="00D67E55">
              <w:rPr>
                <w:sz w:val="16"/>
                <w:szCs w:val="16"/>
                <w:shd w:val="clear" w:color="auto" w:fill="FFFFFF"/>
              </w:rPr>
              <w:t xml:space="preserve"> Iegūta kvalifikācija (iegūts apliecinājums par sekmīgu apmācību veikšanu)</w:t>
            </w:r>
            <w:r w:rsidR="008D0C05" w:rsidRPr="00D67E55">
              <w:rPr>
                <w:sz w:val="16"/>
                <w:szCs w:val="16"/>
                <w:shd w:val="clear" w:color="auto" w:fill="FFFFFF"/>
              </w:rPr>
              <w:t xml:space="preserve">, iegūts </w:t>
            </w:r>
            <w:r w:rsidR="00A47B32" w:rsidRPr="00D67E55">
              <w:rPr>
                <w:sz w:val="16"/>
                <w:szCs w:val="16"/>
                <w:shd w:val="clear" w:color="auto" w:fill="FFFFFF"/>
              </w:rPr>
              <w:t>apmācību apliecinošs dokuments</w:t>
            </w:r>
          </w:p>
          <w:p w14:paraId="313C8BDE" w14:textId="4B5563B7" w:rsidR="008B2D82" w:rsidRPr="00D67E55" w:rsidRDefault="008B2D82" w:rsidP="00813C56">
            <w:pPr>
              <w:spacing w:after="0" w:line="240" w:lineRule="auto"/>
              <w:jc w:val="both"/>
              <w:rPr>
                <w:rFonts w:ascii="Times New Roman" w:eastAsiaTheme="minorHAnsi" w:hAnsi="Times New Roman"/>
                <w:sz w:val="16"/>
                <w:szCs w:val="16"/>
              </w:rPr>
            </w:pPr>
          </w:p>
        </w:tc>
        <w:tc>
          <w:tcPr>
            <w:tcW w:w="4819" w:type="dxa"/>
          </w:tcPr>
          <w:p w14:paraId="7ACE80F0"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5F35675B" w14:textId="77777777" w:rsidR="000F6B14" w:rsidRPr="00D67E55" w:rsidRDefault="00C06C01" w:rsidP="00013701">
            <w:pPr>
              <w:spacing w:after="0" w:line="240" w:lineRule="auto"/>
              <w:jc w:val="both"/>
              <w:rPr>
                <w:rFonts w:ascii="Times New Roman" w:eastAsiaTheme="minorHAnsi" w:hAnsi="Times New Roman"/>
                <w:sz w:val="16"/>
                <w:szCs w:val="16"/>
              </w:rPr>
            </w:pPr>
            <w:r w:rsidRPr="00D67E55">
              <w:rPr>
                <w:rFonts w:ascii="Times New Roman" w:eastAsiaTheme="minorHAnsi" w:hAnsi="Times New Roman"/>
                <w:b/>
                <w:i/>
                <w:sz w:val="16"/>
                <w:szCs w:val="16"/>
              </w:rPr>
              <w:t>IR</w:t>
            </w:r>
            <w:r w:rsidR="00C74C63" w:rsidRPr="00D67E55">
              <w:rPr>
                <w:rFonts w:ascii="Times New Roman" w:eastAsiaTheme="minorHAnsi" w:hAnsi="Times New Roman"/>
                <w:b/>
                <w:i/>
                <w:sz w:val="16"/>
                <w:szCs w:val="16"/>
              </w:rPr>
              <w:t>1</w:t>
            </w:r>
            <w:r w:rsidRPr="00D67E55">
              <w:rPr>
                <w:rFonts w:ascii="Times New Roman" w:eastAsiaTheme="minorHAnsi" w:hAnsi="Times New Roman"/>
                <w:i/>
                <w:sz w:val="16"/>
                <w:szCs w:val="16"/>
              </w:rPr>
              <w:t xml:space="preserve"> Nosaukums un mērvienība</w:t>
            </w:r>
            <w:r w:rsidRPr="00D67E55">
              <w:rPr>
                <w:rFonts w:ascii="Times New Roman" w:eastAsiaTheme="minorHAnsi" w:hAnsi="Times New Roman"/>
                <w:sz w:val="16"/>
                <w:szCs w:val="16"/>
              </w:rPr>
              <w:t xml:space="preserve">: </w:t>
            </w:r>
          </w:p>
          <w:p w14:paraId="1ECAE4C1" w14:textId="77777777" w:rsidR="00C06C01" w:rsidRPr="00D67E55" w:rsidRDefault="00013701" w:rsidP="00013701">
            <w:pPr>
              <w:spacing w:after="0" w:line="240" w:lineRule="auto"/>
              <w:jc w:val="both"/>
              <w:rPr>
                <w:rFonts w:ascii="Times New Roman" w:hAnsi="Times New Roman"/>
                <w:sz w:val="16"/>
                <w:szCs w:val="16"/>
              </w:rPr>
            </w:pPr>
            <w:r w:rsidRPr="00D67E55">
              <w:rPr>
                <w:rFonts w:ascii="Times New Roman" w:eastAsiaTheme="minorHAnsi" w:hAnsi="Times New Roman"/>
                <w:sz w:val="16"/>
                <w:szCs w:val="16"/>
              </w:rPr>
              <w:t>i.</w:t>
            </w:r>
            <w:r w:rsidR="00C05FD3" w:rsidRPr="00D67E55">
              <w:rPr>
                <w:rFonts w:ascii="Times New Roman" w:eastAsiaTheme="minorHAnsi" w:hAnsi="Times New Roman"/>
                <w:sz w:val="16"/>
                <w:szCs w:val="16"/>
              </w:rPr>
              <w:t>9.2.6</w:t>
            </w:r>
            <w:r w:rsidRPr="00D67E55">
              <w:rPr>
                <w:rFonts w:ascii="Times New Roman" w:eastAsiaTheme="minorHAnsi" w:hAnsi="Times New Roman"/>
                <w:sz w:val="16"/>
                <w:szCs w:val="16"/>
              </w:rPr>
              <w:t xml:space="preserve">.a </w:t>
            </w:r>
            <w:r w:rsidR="00C06C01" w:rsidRPr="00D67E55">
              <w:rPr>
                <w:rFonts w:ascii="Times New Roman" w:hAnsi="Times New Roman"/>
                <w:b/>
                <w:sz w:val="16"/>
                <w:szCs w:val="16"/>
              </w:rPr>
              <w:t xml:space="preserve">Veselības un sociālās aprūpes jomā strādājošās personas, kuras saņēmušas </w:t>
            </w:r>
            <w:r w:rsidR="00515768" w:rsidRPr="00D67E55">
              <w:rPr>
                <w:rFonts w:ascii="Times New Roman" w:hAnsi="Times New Roman"/>
                <w:b/>
                <w:sz w:val="16"/>
                <w:szCs w:val="16"/>
              </w:rPr>
              <w:t xml:space="preserve">ESF </w:t>
            </w:r>
            <w:r w:rsidR="00127B4E" w:rsidRPr="00D67E55">
              <w:rPr>
                <w:rFonts w:ascii="Times New Roman" w:hAnsi="Times New Roman"/>
                <w:b/>
                <w:sz w:val="16"/>
                <w:szCs w:val="16"/>
              </w:rPr>
              <w:t>at</w:t>
            </w:r>
            <w:r w:rsidR="00515768" w:rsidRPr="00D67E55">
              <w:rPr>
                <w:rFonts w:ascii="Times New Roman" w:hAnsi="Times New Roman"/>
                <w:b/>
                <w:sz w:val="16"/>
                <w:szCs w:val="16"/>
              </w:rPr>
              <w:t xml:space="preserve">balstītās </w:t>
            </w:r>
            <w:r w:rsidR="007D197D" w:rsidRPr="00D67E55">
              <w:rPr>
                <w:rFonts w:ascii="Times New Roman" w:hAnsi="Times New Roman"/>
                <w:b/>
                <w:sz w:val="16"/>
                <w:szCs w:val="16"/>
              </w:rPr>
              <w:t>apmācības</w:t>
            </w:r>
            <w:r w:rsidR="00C05FD3" w:rsidRPr="00D67E55">
              <w:rPr>
                <w:rFonts w:ascii="Times New Roman" w:hAnsi="Times New Roman"/>
                <w:b/>
                <w:sz w:val="16"/>
                <w:szCs w:val="16"/>
              </w:rPr>
              <w:t xml:space="preserve"> veselības jomā</w:t>
            </w:r>
            <w:r w:rsidR="00790520" w:rsidRPr="00D67E55">
              <w:rPr>
                <w:rFonts w:ascii="Times New Roman" w:hAnsi="Times New Roman"/>
                <w:b/>
                <w:sz w:val="16"/>
                <w:szCs w:val="16"/>
              </w:rPr>
              <w:t>, (personas)</w:t>
            </w:r>
          </w:p>
          <w:p w14:paraId="68B679A8" w14:textId="77777777" w:rsidR="00C06C01" w:rsidRPr="00D67E55" w:rsidRDefault="00C06C01" w:rsidP="00813C56">
            <w:pPr>
              <w:spacing w:after="0" w:line="240" w:lineRule="auto"/>
              <w:jc w:val="both"/>
              <w:rPr>
                <w:rFonts w:ascii="Times New Roman" w:eastAsiaTheme="minorHAnsi" w:hAnsi="Times New Roman"/>
                <w:sz w:val="16"/>
                <w:szCs w:val="16"/>
              </w:rPr>
            </w:pPr>
          </w:p>
          <w:p w14:paraId="50A5D5F9" w14:textId="20CEF35A" w:rsidR="00186D41" w:rsidRPr="00D67E55" w:rsidRDefault="00C06C01" w:rsidP="00813C56">
            <w:pPr>
              <w:spacing w:after="0" w:line="240" w:lineRule="auto"/>
              <w:jc w:val="both"/>
              <w:rPr>
                <w:rFonts w:ascii="Times New Roman" w:eastAsiaTheme="minorHAnsi" w:hAnsi="Times New Roman"/>
                <w:i/>
                <w:sz w:val="16"/>
                <w:szCs w:val="16"/>
              </w:rPr>
            </w:pPr>
            <w:r w:rsidRPr="00D67E55">
              <w:rPr>
                <w:rFonts w:ascii="Times New Roman" w:eastAsiaTheme="minorHAnsi" w:hAnsi="Times New Roman"/>
                <w:i/>
                <w:sz w:val="16"/>
                <w:szCs w:val="16"/>
              </w:rPr>
              <w:t>Definīcija:</w:t>
            </w:r>
            <w:r w:rsidRPr="00D67E55">
              <w:rPr>
                <w:rFonts w:ascii="Times New Roman" w:hAnsi="Times New Roman"/>
                <w:sz w:val="16"/>
                <w:szCs w:val="16"/>
              </w:rPr>
              <w:t xml:space="preserve"> Veselības un sociālās aprūpes jomā strādājošās personas, kuras saņēmušas </w:t>
            </w:r>
            <w:r w:rsidR="007D197D" w:rsidRPr="00D67E55">
              <w:rPr>
                <w:rFonts w:ascii="Times New Roman" w:hAnsi="Times New Roman"/>
                <w:sz w:val="16"/>
                <w:szCs w:val="16"/>
              </w:rPr>
              <w:t xml:space="preserve">apmācības </w:t>
            </w:r>
            <w:r w:rsidRPr="00D67E55">
              <w:rPr>
                <w:rFonts w:ascii="Times New Roman" w:hAnsi="Times New Roman"/>
                <w:sz w:val="16"/>
                <w:szCs w:val="16"/>
              </w:rPr>
              <w:t>(neunikālās) un kuras nodrošina ārstniecības, sociālās aprūpes vai veselības veicināšanas pakalpojumu sniegšanu.</w:t>
            </w:r>
            <w:r w:rsidR="0088518B" w:rsidRPr="00D67E55">
              <w:rPr>
                <w:rFonts w:cs="Calibri"/>
              </w:rPr>
              <w:t xml:space="preserve"> </w:t>
            </w:r>
            <w:r w:rsidR="0088518B" w:rsidRPr="00D67E55">
              <w:rPr>
                <w:rFonts w:ascii="Times New Roman" w:hAnsi="Times New Roman"/>
                <w:sz w:val="16"/>
                <w:szCs w:val="16"/>
              </w:rPr>
              <w:t>Iznākuma rādītājā tiek skaitītas visas personas, kas ir piedalījušās apmācībās, tai skaitā tās, k</w:t>
            </w:r>
            <w:r w:rsidR="00201F9D" w:rsidRPr="00D67E55">
              <w:rPr>
                <w:rFonts w:ascii="Times New Roman" w:hAnsi="Times New Roman"/>
                <w:sz w:val="16"/>
                <w:szCs w:val="16"/>
              </w:rPr>
              <w:t>ur</w:t>
            </w:r>
            <w:r w:rsidR="0088518B" w:rsidRPr="00D67E55">
              <w:rPr>
                <w:rFonts w:ascii="Times New Roman" w:hAnsi="Times New Roman"/>
                <w:sz w:val="16"/>
                <w:szCs w:val="16"/>
              </w:rPr>
              <w:t>as nav saņēmušas dokumentu par sekmīgi nokārtotu apmācību kursu (iznākuma rādītājā tiek ietvertas arī visas rezultāta rādītājā ieskaitītās personas)</w:t>
            </w:r>
            <w:r w:rsidR="0088518B" w:rsidRPr="00D67E55">
              <w:rPr>
                <w:rStyle w:val="FootnoteReference"/>
                <w:rFonts w:ascii="Times New Roman" w:hAnsi="Times New Roman"/>
                <w:sz w:val="16"/>
                <w:szCs w:val="16"/>
              </w:rPr>
              <w:footnoteReference w:id="3"/>
            </w:r>
            <w:r w:rsidR="0088518B" w:rsidRPr="00D67E55">
              <w:rPr>
                <w:rFonts w:ascii="Times New Roman" w:hAnsi="Times New Roman"/>
                <w:sz w:val="16"/>
                <w:szCs w:val="16"/>
              </w:rPr>
              <w:t>.</w:t>
            </w:r>
          </w:p>
          <w:p w14:paraId="050E92DE" w14:textId="77777777" w:rsidR="00C06C01" w:rsidRPr="00D67E55" w:rsidRDefault="00C06C01" w:rsidP="00813C56">
            <w:pPr>
              <w:spacing w:after="0" w:line="240" w:lineRule="auto"/>
              <w:jc w:val="both"/>
              <w:rPr>
                <w:rFonts w:ascii="Times New Roman" w:eastAsiaTheme="minorHAnsi" w:hAnsi="Times New Roman"/>
                <w:sz w:val="16"/>
                <w:szCs w:val="16"/>
              </w:rPr>
            </w:pPr>
          </w:p>
          <w:p w14:paraId="1B250739" w14:textId="77777777"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Datu avots</w:t>
            </w:r>
            <w:r w:rsidRPr="00D67E55">
              <w:rPr>
                <w:rFonts w:ascii="Times New Roman" w:eastAsiaTheme="minorHAnsi" w:hAnsi="Times New Roman"/>
                <w:sz w:val="16"/>
                <w:szCs w:val="16"/>
              </w:rPr>
              <w:t>: Projektu dati</w:t>
            </w:r>
          </w:p>
          <w:p w14:paraId="7692CE80" w14:textId="77777777" w:rsidR="00C06C01" w:rsidRPr="00D67E55" w:rsidRDefault="00C06C01" w:rsidP="00813C56">
            <w:pPr>
              <w:spacing w:after="0" w:line="240" w:lineRule="auto"/>
              <w:jc w:val="both"/>
              <w:rPr>
                <w:rFonts w:ascii="Times New Roman" w:eastAsiaTheme="minorHAnsi" w:hAnsi="Times New Roman"/>
                <w:sz w:val="16"/>
                <w:szCs w:val="16"/>
              </w:rPr>
            </w:pPr>
          </w:p>
          <w:p w14:paraId="7908F890" w14:textId="77777777" w:rsidR="00C06C01" w:rsidRPr="00D67E55" w:rsidRDefault="00C06C01" w:rsidP="00813C56">
            <w:pPr>
              <w:spacing w:after="0" w:line="240" w:lineRule="auto"/>
              <w:jc w:val="both"/>
              <w:rPr>
                <w:rFonts w:ascii="Times New Roman" w:hAnsi="Times New Roman"/>
                <w:sz w:val="16"/>
                <w:szCs w:val="16"/>
              </w:rPr>
            </w:pPr>
            <w:r w:rsidRPr="00D67E55">
              <w:rPr>
                <w:rFonts w:ascii="Times New Roman" w:eastAsiaTheme="minorHAnsi" w:hAnsi="Times New Roman"/>
                <w:i/>
                <w:sz w:val="16"/>
                <w:szCs w:val="16"/>
              </w:rPr>
              <w:t>Apkopošanas biežums un ieguves metodoloģija:</w:t>
            </w:r>
            <w:r w:rsidRPr="00D67E55">
              <w:rPr>
                <w:rFonts w:ascii="Times New Roman" w:hAnsi="Times New Roman"/>
                <w:sz w:val="16"/>
                <w:szCs w:val="16"/>
              </w:rPr>
              <w:t xml:space="preserve"> </w:t>
            </w:r>
            <w:r w:rsidR="003B1D24" w:rsidRPr="00D67E55">
              <w:rPr>
                <w:rFonts w:ascii="Times New Roman" w:hAnsi="Times New Roman"/>
                <w:sz w:val="16"/>
                <w:szCs w:val="16"/>
              </w:rPr>
              <w:t>1 reizi gadā</w:t>
            </w:r>
            <w:r w:rsidRPr="00D67E55">
              <w:rPr>
                <w:rFonts w:ascii="Times New Roman" w:hAnsi="Times New Roman"/>
                <w:sz w:val="16"/>
                <w:szCs w:val="16"/>
              </w:rPr>
              <w:t xml:space="preserve"> </w:t>
            </w:r>
            <w:r w:rsidR="00D01D43" w:rsidRPr="00D67E55">
              <w:rPr>
                <w:rFonts w:ascii="Times New Roman" w:hAnsi="Times New Roman"/>
                <w:sz w:val="16"/>
                <w:szCs w:val="16"/>
              </w:rPr>
              <w:t>(</w:t>
            </w:r>
            <w:r w:rsidRPr="00D67E55">
              <w:rPr>
                <w:rFonts w:ascii="Times New Roman" w:hAnsi="Times New Roman"/>
                <w:sz w:val="16"/>
                <w:szCs w:val="16"/>
              </w:rPr>
              <w:t>Ieguves metodoloģija - dati no finansējuma saņēmējiem</w:t>
            </w:r>
            <w:r w:rsidR="00D01D43" w:rsidRPr="00D67E55">
              <w:rPr>
                <w:rFonts w:ascii="Times New Roman" w:hAnsi="Times New Roman"/>
                <w:sz w:val="16"/>
                <w:szCs w:val="16"/>
              </w:rPr>
              <w:t>)</w:t>
            </w:r>
            <w:r w:rsidRPr="00D67E55">
              <w:rPr>
                <w:rFonts w:ascii="Times New Roman" w:hAnsi="Times New Roman"/>
                <w:sz w:val="16"/>
                <w:szCs w:val="16"/>
              </w:rPr>
              <w:t xml:space="preserve">. </w:t>
            </w:r>
          </w:p>
          <w:p w14:paraId="68349416" w14:textId="77777777" w:rsidR="00C06C01" w:rsidRPr="00D67E55" w:rsidRDefault="00C06C01" w:rsidP="00813C56">
            <w:pPr>
              <w:spacing w:after="0" w:line="240" w:lineRule="auto"/>
              <w:jc w:val="both"/>
              <w:rPr>
                <w:rFonts w:ascii="Times New Roman" w:hAnsi="Times New Roman"/>
                <w:sz w:val="16"/>
                <w:szCs w:val="16"/>
              </w:rPr>
            </w:pPr>
          </w:p>
          <w:p w14:paraId="4421FFDC" w14:textId="77777777"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 xml:space="preserve">Mērķis </w:t>
            </w:r>
            <w:r w:rsidRPr="00D67E55">
              <w:rPr>
                <w:rFonts w:ascii="Times New Roman" w:eastAsiaTheme="minorHAnsi" w:hAnsi="Times New Roman"/>
                <w:sz w:val="16"/>
                <w:szCs w:val="16"/>
              </w:rPr>
              <w:t xml:space="preserve">2023: </w:t>
            </w:r>
            <w:r w:rsidR="00CF3330" w:rsidRPr="00D67E55">
              <w:rPr>
                <w:rFonts w:ascii="Times New Roman" w:eastAsiaTheme="minorHAnsi" w:hAnsi="Times New Roman"/>
                <w:sz w:val="16"/>
                <w:szCs w:val="16"/>
              </w:rPr>
              <w:t>35 000</w:t>
            </w:r>
          </w:p>
          <w:p w14:paraId="67617C07" w14:textId="77777777" w:rsidR="00C06C01" w:rsidRPr="00D67E55" w:rsidRDefault="00C06C01" w:rsidP="00813C56">
            <w:pPr>
              <w:spacing w:after="0" w:line="240" w:lineRule="auto"/>
              <w:jc w:val="both"/>
              <w:rPr>
                <w:rFonts w:ascii="Times New Roman" w:eastAsiaTheme="minorHAnsi" w:hAnsi="Times New Roman"/>
                <w:sz w:val="16"/>
                <w:szCs w:val="16"/>
              </w:rPr>
            </w:pPr>
          </w:p>
          <w:p w14:paraId="21E001F8" w14:textId="620F0A00" w:rsidR="00CF3330" w:rsidRPr="00D67E55" w:rsidRDefault="00C06C01" w:rsidP="00EF567E">
            <w:pPr>
              <w:spacing w:after="0" w:line="240" w:lineRule="auto"/>
              <w:jc w:val="both"/>
              <w:rPr>
                <w:rFonts w:ascii="Times New Roman" w:hAnsi="Times New Roman"/>
                <w:sz w:val="16"/>
                <w:szCs w:val="16"/>
                <w:lang w:eastAsia="lv-LV"/>
              </w:rPr>
            </w:pPr>
            <w:r w:rsidRPr="00D67E55">
              <w:rPr>
                <w:rFonts w:ascii="Times New Roman" w:eastAsiaTheme="minorHAnsi" w:hAnsi="Times New Roman"/>
                <w:i/>
                <w:sz w:val="16"/>
                <w:szCs w:val="16"/>
              </w:rPr>
              <w:t>Mērķa vērtības noteikšanas principi/metodoloģija</w:t>
            </w:r>
            <w:r w:rsidR="00F75324" w:rsidRPr="00D67E55">
              <w:rPr>
                <w:rFonts w:ascii="Times New Roman" w:hAnsi="Times New Roman"/>
                <w:sz w:val="16"/>
                <w:szCs w:val="16"/>
              </w:rPr>
              <w:t xml:space="preserve"> </w:t>
            </w:r>
            <w:r w:rsidRPr="00D67E55">
              <w:rPr>
                <w:rFonts w:ascii="Times New Roman" w:hAnsi="Times New Roman"/>
                <w:sz w:val="16"/>
                <w:szCs w:val="16"/>
              </w:rPr>
              <w:t>Aprēķinos ņemtas vērā demogrāfiskās prognozes un izmaiņas ārstniecības personu vecuma struktūrā, kā arī iespējamais atbalsta veids</w:t>
            </w:r>
            <w:r w:rsidR="00127B4E" w:rsidRPr="00D67E55">
              <w:rPr>
                <w:rFonts w:ascii="Times New Roman" w:hAnsi="Times New Roman"/>
                <w:sz w:val="16"/>
                <w:szCs w:val="16"/>
              </w:rPr>
              <w:t xml:space="preserve">. </w:t>
            </w:r>
            <w:r w:rsidR="00B11B73" w:rsidRPr="00D67E55">
              <w:rPr>
                <w:rFonts w:ascii="Times New Roman" w:hAnsi="Times New Roman"/>
                <w:sz w:val="16"/>
                <w:szCs w:val="16"/>
              </w:rPr>
              <w:t>R</w:t>
            </w:r>
            <w:r w:rsidRPr="00D67E55">
              <w:rPr>
                <w:rFonts w:ascii="Times New Roman" w:hAnsi="Times New Roman"/>
                <w:sz w:val="16"/>
                <w:szCs w:val="16"/>
              </w:rPr>
              <w:t>ādītāj</w:t>
            </w:r>
            <w:r w:rsidR="00B11B73" w:rsidRPr="00D67E55">
              <w:rPr>
                <w:rFonts w:ascii="Times New Roman" w:hAnsi="Times New Roman"/>
                <w:sz w:val="16"/>
                <w:szCs w:val="16"/>
              </w:rPr>
              <w:t>s noteikts, ņemot vērā personu skaitu, kas</w:t>
            </w:r>
            <w:r w:rsidRPr="00D67E55">
              <w:rPr>
                <w:rFonts w:ascii="Times New Roman" w:hAnsi="Times New Roman"/>
                <w:sz w:val="16"/>
                <w:szCs w:val="16"/>
              </w:rPr>
              <w:t xml:space="preserve"> apmeklēs apmācības tālākizglītības pasākumu ietvaros, kā arī tie veselības veicināšanas speciālisti, kuri piedalīsies  apmācībās, kā arī </w:t>
            </w:r>
            <w:r w:rsidR="00F75324" w:rsidRPr="00D67E55">
              <w:rPr>
                <w:rFonts w:ascii="Times New Roman" w:hAnsi="Times New Roman"/>
                <w:sz w:val="16"/>
                <w:szCs w:val="16"/>
              </w:rPr>
              <w:t xml:space="preserve">sociālo </w:t>
            </w:r>
            <w:r w:rsidRPr="00D67E55">
              <w:rPr>
                <w:rFonts w:ascii="Times New Roman" w:hAnsi="Times New Roman"/>
                <w:sz w:val="16"/>
                <w:szCs w:val="16"/>
              </w:rPr>
              <w:t>aprūpes darbinieku (apmācībām veselības aprūpes pakalpojumu nepieciešamības atpazīšanai) un veselības veicināšanas speciālistu</w:t>
            </w:r>
            <w:r w:rsidR="00F75324" w:rsidRPr="00D67E55">
              <w:rPr>
                <w:rFonts w:ascii="Times New Roman" w:hAnsi="Times New Roman"/>
                <w:sz w:val="16"/>
                <w:szCs w:val="16"/>
              </w:rPr>
              <w:t xml:space="preserve"> skaits</w:t>
            </w:r>
            <w:r w:rsidRPr="00D67E55">
              <w:rPr>
                <w:rFonts w:ascii="Times New Roman" w:hAnsi="Times New Roman"/>
                <w:sz w:val="16"/>
                <w:szCs w:val="16"/>
              </w:rPr>
              <w:t>.</w:t>
            </w:r>
            <w:r w:rsidR="00B04B9A" w:rsidRPr="00D67E55">
              <w:rPr>
                <w:rFonts w:ascii="Times New Roman" w:hAnsi="Times New Roman"/>
                <w:sz w:val="16"/>
                <w:szCs w:val="16"/>
              </w:rPr>
              <w:t xml:space="preserve"> </w:t>
            </w:r>
            <w:r w:rsidR="004F2CAD" w:rsidRPr="00D67E55">
              <w:rPr>
                <w:rFonts w:ascii="Times New Roman" w:eastAsiaTheme="minorHAnsi" w:hAnsi="Times New Roman"/>
                <w:sz w:val="16"/>
                <w:szCs w:val="16"/>
              </w:rPr>
              <w:t>Ņ</w:t>
            </w:r>
            <w:r w:rsidR="00B04B9A" w:rsidRPr="00D67E55">
              <w:rPr>
                <w:rFonts w:ascii="Times New Roman" w:eastAsiaTheme="minorHAnsi" w:hAnsi="Times New Roman"/>
                <w:sz w:val="16"/>
                <w:szCs w:val="16"/>
              </w:rPr>
              <w:t>emt</w:t>
            </w:r>
            <w:r w:rsidR="004F2CAD" w:rsidRPr="00D67E55">
              <w:rPr>
                <w:rFonts w:ascii="Times New Roman" w:eastAsiaTheme="minorHAnsi" w:hAnsi="Times New Roman"/>
                <w:sz w:val="16"/>
                <w:szCs w:val="16"/>
              </w:rPr>
              <w:t>s</w:t>
            </w:r>
            <w:r w:rsidR="00B04B9A" w:rsidRPr="00D67E55">
              <w:rPr>
                <w:rFonts w:ascii="Times New Roman" w:eastAsiaTheme="minorHAnsi" w:hAnsi="Times New Roman"/>
                <w:sz w:val="16"/>
                <w:szCs w:val="16"/>
              </w:rPr>
              <w:t xml:space="preserve"> vērā</w:t>
            </w:r>
            <w:r w:rsidR="004F2CAD" w:rsidRPr="00D67E55">
              <w:rPr>
                <w:rFonts w:ascii="Times New Roman" w:eastAsiaTheme="minorHAnsi" w:hAnsi="Times New Roman"/>
                <w:sz w:val="16"/>
                <w:szCs w:val="16"/>
              </w:rPr>
              <w:t>, ka</w:t>
            </w:r>
            <w:r w:rsidR="00B04B9A" w:rsidRPr="00D67E55">
              <w:rPr>
                <w:rFonts w:ascii="Times New Roman" w:eastAsiaTheme="minorHAnsi" w:hAnsi="Times New Roman"/>
                <w:sz w:val="16"/>
                <w:szCs w:val="16"/>
              </w:rPr>
              <w:t xml:space="preserve"> 2007.-2013.gadā īstenot</w:t>
            </w:r>
            <w:r w:rsidR="004F2CAD" w:rsidRPr="00D67E55">
              <w:rPr>
                <w:rFonts w:ascii="Times New Roman" w:eastAsiaTheme="minorHAnsi" w:hAnsi="Times New Roman"/>
                <w:sz w:val="16"/>
                <w:szCs w:val="16"/>
              </w:rPr>
              <w:t>ā</w:t>
            </w:r>
            <w:r w:rsidR="00B04B9A" w:rsidRPr="00D67E55">
              <w:rPr>
                <w:rFonts w:ascii="Times New Roman" w:eastAsiaTheme="minorHAnsi" w:hAnsi="Times New Roman"/>
                <w:sz w:val="16"/>
                <w:szCs w:val="16"/>
              </w:rPr>
              <w:t xml:space="preserve"> ESF finansēt</w:t>
            </w:r>
            <w:r w:rsidR="004F2CAD" w:rsidRPr="00D67E55">
              <w:rPr>
                <w:rFonts w:ascii="Times New Roman" w:eastAsiaTheme="minorHAnsi" w:hAnsi="Times New Roman"/>
                <w:sz w:val="16"/>
                <w:szCs w:val="16"/>
              </w:rPr>
              <w:t>ā</w:t>
            </w:r>
            <w:r w:rsidR="00B04B9A" w:rsidRPr="00D67E55">
              <w:rPr>
                <w:rFonts w:ascii="Times New Roman" w:eastAsiaTheme="minorHAnsi" w:hAnsi="Times New Roman"/>
                <w:sz w:val="16"/>
                <w:szCs w:val="16"/>
              </w:rPr>
              <w:t xml:space="preserve"> tālākizglītības programm</w:t>
            </w:r>
            <w:r w:rsidR="004F2CAD" w:rsidRPr="00D67E55">
              <w:rPr>
                <w:rFonts w:ascii="Times New Roman" w:eastAsiaTheme="minorHAnsi" w:hAnsi="Times New Roman"/>
                <w:sz w:val="16"/>
                <w:szCs w:val="16"/>
              </w:rPr>
              <w:t>as</w:t>
            </w:r>
            <w:r w:rsidR="00B04B9A" w:rsidRPr="00D67E55">
              <w:rPr>
                <w:rFonts w:ascii="Times New Roman" w:eastAsiaTheme="minorHAnsi" w:hAnsi="Times New Roman"/>
                <w:sz w:val="16"/>
                <w:szCs w:val="16"/>
              </w:rPr>
              <w:t xml:space="preserve"> veselības jomā (1.DP 1.3.2.3.aktivitāte)</w:t>
            </w:r>
            <w:r w:rsidR="004F2CAD" w:rsidRPr="00D67E55">
              <w:rPr>
                <w:rFonts w:ascii="Times New Roman" w:eastAsiaTheme="minorHAnsi" w:hAnsi="Times New Roman"/>
                <w:sz w:val="16"/>
                <w:szCs w:val="16"/>
              </w:rPr>
              <w:t xml:space="preserve"> projekta ietvaros tika apmācīti</w:t>
            </w:r>
            <w:r w:rsidR="00CF3330" w:rsidRPr="00D67E55">
              <w:rPr>
                <w:rFonts w:ascii="Times New Roman" w:eastAsiaTheme="minorHAnsi" w:hAnsi="Times New Roman"/>
                <w:sz w:val="16"/>
                <w:szCs w:val="16"/>
              </w:rPr>
              <w:t xml:space="preserve"> 47 731  speciālisti un šis skaits netiek ietverts mērķa vērtībā.</w:t>
            </w:r>
            <w:r w:rsidR="004F2CAD" w:rsidRPr="00D67E55">
              <w:rPr>
                <w:rFonts w:ascii="Times New Roman" w:eastAsiaTheme="minorHAnsi" w:hAnsi="Times New Roman"/>
                <w:sz w:val="16"/>
                <w:szCs w:val="16"/>
              </w:rPr>
              <w:t xml:space="preserve"> Tāpat aprēķinos ņemts vērā, ka apmācītas tiks šādas mērķa grupas: </w:t>
            </w:r>
            <w:r w:rsidR="004F2CAD" w:rsidRPr="00D67E55">
              <w:rPr>
                <w:rFonts w:ascii="Times New Roman" w:hAnsi="Times New Roman"/>
                <w:sz w:val="16"/>
                <w:szCs w:val="16"/>
                <w:lang w:eastAsia="lv-LV"/>
              </w:rPr>
              <w:t>ārstniecības un ārstniecības atbalsta personāls, sociālajā jomā strādājošie  speciālist</w:t>
            </w:r>
            <w:r w:rsidR="00A22309" w:rsidRPr="00D67E55">
              <w:rPr>
                <w:rFonts w:ascii="Times New Roman" w:hAnsi="Times New Roman"/>
                <w:sz w:val="16"/>
                <w:szCs w:val="16"/>
                <w:lang w:eastAsia="lv-LV"/>
              </w:rPr>
              <w:t>i un</w:t>
            </w:r>
            <w:r w:rsidR="004F2CAD" w:rsidRPr="00D67E55">
              <w:rPr>
                <w:rFonts w:ascii="Times New Roman" w:hAnsi="Times New Roman"/>
                <w:sz w:val="16"/>
                <w:szCs w:val="16"/>
                <w:lang w:eastAsia="lv-LV"/>
              </w:rPr>
              <w:t xml:space="preserve"> farmaceitiskās aprūpes pakalpojumu sniedzēji</w:t>
            </w:r>
            <w:r w:rsidR="00A22309" w:rsidRPr="00D67E55">
              <w:rPr>
                <w:rFonts w:ascii="Times New Roman" w:hAnsi="Times New Roman"/>
                <w:sz w:val="16"/>
                <w:szCs w:val="16"/>
                <w:lang w:eastAsia="lv-LV"/>
              </w:rPr>
              <w:t>.</w:t>
            </w:r>
          </w:p>
          <w:p w14:paraId="2B23BBC8" w14:textId="26AA22EE" w:rsidR="00EC146C" w:rsidRPr="00D67E55" w:rsidRDefault="00EC146C" w:rsidP="00EF567E">
            <w:pPr>
              <w:spacing w:after="0" w:line="240" w:lineRule="auto"/>
              <w:jc w:val="both"/>
              <w:rPr>
                <w:rFonts w:ascii="Times New Roman" w:eastAsiaTheme="minorHAnsi" w:hAnsi="Times New Roman"/>
                <w:sz w:val="16"/>
                <w:szCs w:val="16"/>
              </w:rPr>
            </w:pPr>
            <w:r w:rsidRPr="00D67E55">
              <w:rPr>
                <w:rFonts w:ascii="Times New Roman" w:hAnsi="Times New Roman"/>
                <w:sz w:val="16"/>
                <w:szCs w:val="16"/>
                <w:lang w:eastAsia="lv-LV"/>
              </w:rPr>
              <w:t xml:space="preserve">Pamatojoties uz 2007-2013.gada plānošanas perioda pieredzi veselības jomas cilvēkresursu apmācībā, </w:t>
            </w:r>
            <w:r w:rsidR="00BB30E2" w:rsidRPr="00D67E55">
              <w:rPr>
                <w:rFonts w:ascii="Times New Roman" w:hAnsi="Times New Roman"/>
                <w:sz w:val="16"/>
                <w:szCs w:val="16"/>
                <w:lang w:eastAsia="lv-LV"/>
              </w:rPr>
              <w:t xml:space="preserve">sākotnēji </w:t>
            </w:r>
            <w:r w:rsidRPr="00D67E55">
              <w:rPr>
                <w:rFonts w:ascii="Times New Roman" w:hAnsi="Times New Roman"/>
                <w:sz w:val="16"/>
                <w:szCs w:val="16"/>
                <w:lang w:eastAsia="lv-LV"/>
              </w:rPr>
              <w:t xml:space="preserve">vienas personas apmācību izmaksas </w:t>
            </w:r>
            <w:r w:rsidR="00BB30E2" w:rsidRPr="00D67E55">
              <w:rPr>
                <w:rFonts w:ascii="Times New Roman" w:hAnsi="Times New Roman"/>
                <w:sz w:val="16"/>
                <w:szCs w:val="16"/>
                <w:lang w:eastAsia="lv-LV"/>
              </w:rPr>
              <w:t xml:space="preserve">tika </w:t>
            </w:r>
            <w:r w:rsidRPr="00D67E55">
              <w:rPr>
                <w:rFonts w:ascii="Times New Roman" w:hAnsi="Times New Roman"/>
                <w:sz w:val="16"/>
                <w:szCs w:val="16"/>
                <w:lang w:eastAsia="lv-LV"/>
              </w:rPr>
              <w:t xml:space="preserve">plānotas vidēji 650 </w:t>
            </w:r>
            <w:proofErr w:type="spellStart"/>
            <w:r w:rsidR="00F940E8" w:rsidRPr="00D67E55">
              <w:rPr>
                <w:rFonts w:ascii="Times New Roman" w:hAnsi="Times New Roman"/>
                <w:i/>
                <w:sz w:val="16"/>
                <w:szCs w:val="16"/>
                <w:lang w:eastAsia="lv-LV"/>
              </w:rPr>
              <w:t>euro</w:t>
            </w:r>
            <w:proofErr w:type="spellEnd"/>
            <w:r w:rsidR="00F940E8" w:rsidRPr="00D67E55">
              <w:rPr>
                <w:rFonts w:ascii="Times New Roman" w:hAnsi="Times New Roman"/>
                <w:sz w:val="16"/>
                <w:szCs w:val="16"/>
                <w:lang w:eastAsia="lv-LV"/>
              </w:rPr>
              <w:t xml:space="preserve"> </w:t>
            </w:r>
            <w:r w:rsidRPr="00D67E55">
              <w:rPr>
                <w:rFonts w:ascii="Times New Roman" w:hAnsi="Times New Roman"/>
                <w:sz w:val="16"/>
                <w:szCs w:val="16"/>
                <w:lang w:eastAsia="lv-LV"/>
              </w:rPr>
              <w:t xml:space="preserve">atkarībā no apmācību specifikas </w:t>
            </w:r>
            <w:r w:rsidRPr="00D67E55">
              <w:rPr>
                <w:rFonts w:ascii="Times New Roman" w:hAnsi="Times New Roman"/>
                <w:sz w:val="16"/>
                <w:szCs w:val="16"/>
                <w:lang w:eastAsia="lv-LV"/>
              </w:rPr>
              <w:lastRenderedPageBreak/>
              <w:t>un ilguma</w:t>
            </w:r>
            <w:r w:rsidR="00BB30E2" w:rsidRPr="00D67E55">
              <w:rPr>
                <w:rFonts w:ascii="Times New Roman" w:hAnsi="Times New Roman"/>
                <w:sz w:val="16"/>
                <w:szCs w:val="16"/>
                <w:lang w:eastAsia="lv-LV"/>
              </w:rPr>
              <w:t xml:space="preserve">, tomēr pārvērtējot apmācību izmaksas medicīnas jomā Latvijā uz 2019.gadu, tiek izmantots aprēķins, kur vienas personas apmācības izmaksā ~482 </w:t>
            </w:r>
            <w:proofErr w:type="spellStart"/>
            <w:r w:rsidR="00F940E8" w:rsidRPr="00D67E55">
              <w:rPr>
                <w:rFonts w:ascii="Times New Roman" w:hAnsi="Times New Roman"/>
                <w:i/>
                <w:sz w:val="16"/>
                <w:szCs w:val="16"/>
                <w:lang w:eastAsia="lv-LV"/>
              </w:rPr>
              <w:t>euro</w:t>
            </w:r>
            <w:proofErr w:type="spellEnd"/>
            <w:r w:rsidR="008D0C05" w:rsidRPr="00D67E55">
              <w:rPr>
                <w:rFonts w:ascii="Times New Roman" w:hAnsi="Times New Roman"/>
                <w:sz w:val="16"/>
                <w:szCs w:val="16"/>
                <w:lang w:eastAsia="lv-LV"/>
              </w:rPr>
              <w:t>, ņemot vērā aktuālās apmācību izmaksas periodā 2017.-2019.gadā</w:t>
            </w:r>
            <w:r w:rsidRPr="00D67E55">
              <w:rPr>
                <w:rFonts w:ascii="Times New Roman" w:hAnsi="Times New Roman"/>
                <w:sz w:val="16"/>
                <w:szCs w:val="16"/>
                <w:lang w:eastAsia="lv-LV"/>
              </w:rPr>
              <w:t>.</w:t>
            </w:r>
          </w:p>
          <w:p w14:paraId="29B85060" w14:textId="77777777" w:rsidR="00CF3330" w:rsidRPr="00D67E55" w:rsidRDefault="00CF3330" w:rsidP="00EF567E">
            <w:pPr>
              <w:spacing w:after="0" w:line="240" w:lineRule="auto"/>
              <w:jc w:val="both"/>
              <w:rPr>
                <w:rFonts w:ascii="Times New Roman" w:eastAsiaTheme="minorHAnsi" w:hAnsi="Times New Roman"/>
                <w:sz w:val="16"/>
                <w:szCs w:val="16"/>
              </w:rPr>
            </w:pPr>
          </w:p>
          <w:p w14:paraId="1EF03F14" w14:textId="177A37D9" w:rsidR="00EF567E" w:rsidRPr="00D67E55" w:rsidRDefault="00EF567E" w:rsidP="00EF567E">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Iznākuma rādītājam (IR</w:t>
            </w:r>
            <w:r w:rsidR="00360D41" w:rsidRPr="00D67E55">
              <w:rPr>
                <w:rFonts w:ascii="Times New Roman" w:eastAsiaTheme="minorHAnsi" w:hAnsi="Times New Roman"/>
                <w:i/>
                <w:sz w:val="16"/>
                <w:szCs w:val="16"/>
              </w:rPr>
              <w:t>1</w:t>
            </w:r>
            <w:r w:rsidRPr="00D67E55">
              <w:rPr>
                <w:rFonts w:ascii="Times New Roman" w:eastAsiaTheme="minorHAnsi" w:hAnsi="Times New Roman"/>
                <w:i/>
                <w:sz w:val="16"/>
                <w:szCs w:val="16"/>
              </w:rPr>
              <w:t xml:space="preserve">) sasniegšanai paredzētais finansējums: </w:t>
            </w:r>
            <w:r w:rsidR="00CB344D" w:rsidRPr="00CB344D">
              <w:rPr>
                <w:rFonts w:ascii="Times New Roman" w:eastAsiaTheme="minorHAnsi" w:hAnsi="Times New Roman"/>
                <w:iCs/>
                <w:sz w:val="16"/>
                <w:szCs w:val="16"/>
              </w:rPr>
              <w:t>13 651 801</w:t>
            </w:r>
            <w:r w:rsidR="00CB344D">
              <w:rPr>
                <w:rFonts w:ascii="Times New Roman" w:eastAsiaTheme="minorHAnsi" w:hAnsi="Times New Roman"/>
                <w:i/>
                <w:sz w:val="16"/>
                <w:szCs w:val="16"/>
              </w:rPr>
              <w:t xml:space="preserve"> </w:t>
            </w:r>
            <w:proofErr w:type="spellStart"/>
            <w:r w:rsidR="00F940E8" w:rsidRPr="00D67E55">
              <w:rPr>
                <w:rFonts w:ascii="Times New Roman" w:eastAsiaTheme="minorHAnsi" w:hAnsi="Times New Roman"/>
                <w:i/>
                <w:sz w:val="16"/>
                <w:szCs w:val="16"/>
              </w:rPr>
              <w:t>euro</w:t>
            </w:r>
            <w:proofErr w:type="spellEnd"/>
          </w:p>
          <w:p w14:paraId="37B42B96" w14:textId="35AFE119" w:rsidR="008B2D82" w:rsidRPr="00D67E55" w:rsidRDefault="008B2D82" w:rsidP="00EF567E">
            <w:pPr>
              <w:spacing w:after="0" w:line="240" w:lineRule="auto"/>
              <w:jc w:val="both"/>
              <w:rPr>
                <w:rFonts w:ascii="Times New Roman" w:eastAsiaTheme="minorHAnsi" w:hAnsi="Times New Roman"/>
                <w:sz w:val="16"/>
                <w:szCs w:val="16"/>
              </w:rPr>
            </w:pPr>
          </w:p>
          <w:p w14:paraId="375B5EC3" w14:textId="5C83313B" w:rsidR="00F940E8" w:rsidRPr="00D67E55" w:rsidRDefault="00F940E8" w:rsidP="00EF567E">
            <w:pPr>
              <w:spacing w:after="0" w:line="240" w:lineRule="auto"/>
              <w:jc w:val="both"/>
              <w:rPr>
                <w:rFonts w:ascii="Times New Roman" w:eastAsiaTheme="minorHAnsi" w:hAnsi="Times New Roman"/>
                <w:sz w:val="16"/>
                <w:szCs w:val="16"/>
              </w:rPr>
            </w:pPr>
            <w:r w:rsidRPr="00D67E55">
              <w:rPr>
                <w:rFonts w:ascii="Times New Roman" w:eastAsiaTheme="minorHAnsi" w:hAnsi="Times New Roman"/>
                <w:sz w:val="16"/>
                <w:szCs w:val="16"/>
              </w:rPr>
              <w:t>Darbības līmenis</w:t>
            </w:r>
            <w:r w:rsidR="00DF06EE" w:rsidRPr="00D67E55">
              <w:rPr>
                <w:rFonts w:ascii="Times New Roman" w:eastAsiaTheme="minorHAnsi" w:hAnsi="Times New Roman"/>
                <w:sz w:val="16"/>
                <w:szCs w:val="16"/>
              </w:rPr>
              <w:t>: projekts</w:t>
            </w:r>
          </w:p>
          <w:p w14:paraId="048A1F25" w14:textId="77777777" w:rsidR="00F940E8" w:rsidRPr="00D67E55" w:rsidRDefault="00F940E8" w:rsidP="00EF567E">
            <w:pPr>
              <w:spacing w:after="0" w:line="240" w:lineRule="auto"/>
              <w:jc w:val="both"/>
              <w:rPr>
                <w:rFonts w:ascii="Times New Roman" w:eastAsiaTheme="minorHAnsi" w:hAnsi="Times New Roman"/>
                <w:sz w:val="16"/>
                <w:szCs w:val="16"/>
              </w:rPr>
            </w:pPr>
          </w:p>
          <w:p w14:paraId="4EA01D99" w14:textId="7C5A413D" w:rsidR="008B2D82" w:rsidRPr="00D67E55" w:rsidRDefault="00694073" w:rsidP="008B2D82">
            <w:pPr>
              <w:pStyle w:val="xmsolistparagraph"/>
              <w:shd w:val="clear" w:color="auto" w:fill="FFFFFF"/>
              <w:spacing w:before="0" w:beforeAutospacing="0" w:after="0" w:afterAutospacing="0"/>
              <w:jc w:val="both"/>
              <w:rPr>
                <w:rFonts w:eastAsiaTheme="minorHAnsi"/>
                <w:sz w:val="16"/>
                <w:szCs w:val="16"/>
              </w:rPr>
            </w:pPr>
            <w:r w:rsidRPr="00D67E55">
              <w:rPr>
                <w:b/>
                <w:bCs/>
                <w:sz w:val="16"/>
                <w:szCs w:val="16"/>
              </w:rPr>
              <w:t>Darbības, kas liek uzskatīt mērķa vērtību par izpildītu</w:t>
            </w:r>
            <w:r w:rsidR="008B2D82" w:rsidRPr="00D67E55">
              <w:rPr>
                <w:sz w:val="16"/>
                <w:szCs w:val="16"/>
                <w:shd w:val="clear" w:color="auto" w:fill="FFFFFF"/>
              </w:rPr>
              <w:t>:</w:t>
            </w:r>
            <w:r w:rsidR="0088518B" w:rsidRPr="00D67E55">
              <w:rPr>
                <w:sz w:val="16"/>
                <w:szCs w:val="16"/>
                <w:shd w:val="clear" w:color="auto" w:fill="FFFFFF"/>
              </w:rPr>
              <w:t xml:space="preserve"> Persona, kura saņēmusi ESF līdzfinansējumu apmācībām veselības jomā. Vērtība uzskatāma par sasniegtu pēc apmācību beigām (šajā gadījumā nav obligāti nepieciešams sertifikāts)</w:t>
            </w:r>
            <w:r w:rsidR="008D0C05" w:rsidRPr="00D67E55">
              <w:rPr>
                <w:sz w:val="16"/>
                <w:szCs w:val="16"/>
                <w:shd w:val="clear" w:color="auto" w:fill="FFFFFF"/>
              </w:rPr>
              <w:t xml:space="preserve">, kad </w:t>
            </w:r>
            <w:r w:rsidR="00B45EA0" w:rsidRPr="00D67E55">
              <w:rPr>
                <w:sz w:val="16"/>
                <w:szCs w:val="16"/>
                <w:shd w:val="clear" w:color="auto" w:fill="FFFFFF"/>
              </w:rPr>
              <w:t xml:space="preserve">izmaksas par </w:t>
            </w:r>
            <w:r w:rsidR="008D0C05" w:rsidRPr="00D67E55">
              <w:rPr>
                <w:sz w:val="16"/>
                <w:szCs w:val="16"/>
                <w:shd w:val="clear" w:color="auto" w:fill="FFFFFF"/>
              </w:rPr>
              <w:t>atbalstītā</w:t>
            </w:r>
            <w:r w:rsidR="00B45EA0" w:rsidRPr="00D67E55">
              <w:rPr>
                <w:sz w:val="16"/>
                <w:szCs w:val="16"/>
                <w:shd w:val="clear" w:color="auto" w:fill="FFFFFF"/>
              </w:rPr>
              <w:t>s</w:t>
            </w:r>
            <w:r w:rsidR="008D0C05" w:rsidRPr="00D67E55">
              <w:rPr>
                <w:sz w:val="16"/>
                <w:szCs w:val="16"/>
                <w:shd w:val="clear" w:color="auto" w:fill="FFFFFF"/>
              </w:rPr>
              <w:t xml:space="preserve"> persona</w:t>
            </w:r>
            <w:r w:rsidR="00B45EA0" w:rsidRPr="00D67E55">
              <w:rPr>
                <w:sz w:val="16"/>
                <w:szCs w:val="16"/>
                <w:shd w:val="clear" w:color="auto" w:fill="FFFFFF"/>
              </w:rPr>
              <w:t>s apmācībām</w:t>
            </w:r>
            <w:r w:rsidR="008D0C05" w:rsidRPr="00D67E55">
              <w:rPr>
                <w:sz w:val="16"/>
                <w:szCs w:val="16"/>
                <w:shd w:val="clear" w:color="auto" w:fill="FFFFFF"/>
              </w:rPr>
              <w:t xml:space="preserve"> iekļauta</w:t>
            </w:r>
            <w:r w:rsidR="00B45EA0" w:rsidRPr="00D67E55">
              <w:rPr>
                <w:sz w:val="16"/>
                <w:szCs w:val="16"/>
                <w:shd w:val="clear" w:color="auto" w:fill="FFFFFF"/>
              </w:rPr>
              <w:t>s</w:t>
            </w:r>
            <w:r w:rsidR="008D0C05" w:rsidRPr="00D67E55">
              <w:rPr>
                <w:sz w:val="16"/>
                <w:szCs w:val="16"/>
                <w:shd w:val="clear" w:color="auto" w:fill="FFFFFF"/>
              </w:rPr>
              <w:t xml:space="preserve"> maksājuma pieprasījumā</w:t>
            </w:r>
            <w:r w:rsidR="00B45EA0" w:rsidRPr="00D67E55">
              <w:rPr>
                <w:sz w:val="16"/>
                <w:szCs w:val="16"/>
                <w:shd w:val="clear" w:color="auto" w:fill="FFFFFF"/>
              </w:rPr>
              <w:t>.</w:t>
            </w:r>
          </w:p>
          <w:p w14:paraId="09E26DEF" w14:textId="77777777" w:rsidR="008B2D82" w:rsidRPr="00D67E55" w:rsidRDefault="008B2D82" w:rsidP="00EF567E">
            <w:pPr>
              <w:spacing w:after="0" w:line="240" w:lineRule="auto"/>
              <w:jc w:val="both"/>
              <w:rPr>
                <w:rFonts w:ascii="Times New Roman" w:eastAsiaTheme="minorHAnsi" w:hAnsi="Times New Roman"/>
                <w:sz w:val="16"/>
                <w:szCs w:val="16"/>
              </w:rPr>
            </w:pPr>
          </w:p>
          <w:p w14:paraId="01B0B1B2" w14:textId="77777777" w:rsidR="002C454C" w:rsidRPr="00D67E55" w:rsidRDefault="002C454C" w:rsidP="00EF567E">
            <w:pPr>
              <w:spacing w:after="0" w:line="240" w:lineRule="auto"/>
              <w:jc w:val="both"/>
              <w:rPr>
                <w:rFonts w:ascii="Times New Roman" w:eastAsiaTheme="minorHAnsi" w:hAnsi="Times New Roman"/>
                <w:sz w:val="16"/>
                <w:szCs w:val="16"/>
              </w:rPr>
            </w:pPr>
          </w:p>
          <w:p w14:paraId="6B284CF3" w14:textId="2D541B2D" w:rsidR="002C454C" w:rsidRPr="00D67E55" w:rsidRDefault="002C454C" w:rsidP="00EF567E">
            <w:pPr>
              <w:spacing w:after="0" w:line="240" w:lineRule="auto"/>
              <w:jc w:val="both"/>
              <w:rPr>
                <w:rFonts w:ascii="Times New Roman" w:eastAsiaTheme="minorHAnsi" w:hAnsi="Times New Roman"/>
                <w:i/>
                <w:sz w:val="16"/>
                <w:szCs w:val="16"/>
              </w:rPr>
            </w:pPr>
          </w:p>
        </w:tc>
        <w:tc>
          <w:tcPr>
            <w:tcW w:w="2612" w:type="dxa"/>
          </w:tcPr>
          <w:p w14:paraId="041D05CF" w14:textId="2E2A8911"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lastRenderedPageBreak/>
              <w:t>Starpposma vērtība 2018. gadam:</w:t>
            </w:r>
            <w:r w:rsidR="00127B4E" w:rsidRPr="00D67E55">
              <w:rPr>
                <w:rFonts w:ascii="Times New Roman" w:eastAsiaTheme="minorHAnsi" w:hAnsi="Times New Roman"/>
                <w:i/>
                <w:sz w:val="16"/>
                <w:szCs w:val="16"/>
              </w:rPr>
              <w:t xml:space="preserve"> sertificēti izdevumi </w:t>
            </w:r>
            <w:r w:rsidRPr="00D67E55">
              <w:rPr>
                <w:rFonts w:ascii="Times New Roman" w:eastAsiaTheme="minorHAnsi" w:hAnsi="Times New Roman"/>
                <w:i/>
                <w:sz w:val="16"/>
                <w:szCs w:val="16"/>
              </w:rPr>
              <w:t xml:space="preserve"> </w:t>
            </w:r>
            <w:r w:rsidR="00412B9F" w:rsidRPr="00D67E55">
              <w:rPr>
                <w:rFonts w:ascii="Times New Roman" w:eastAsiaTheme="minorHAnsi" w:hAnsi="Times New Roman"/>
                <w:sz w:val="16"/>
                <w:szCs w:val="16"/>
              </w:rPr>
              <w:t xml:space="preserve">  1 061 624 </w:t>
            </w:r>
            <w:r w:rsidR="00B54D34" w:rsidRPr="00D67E55">
              <w:rPr>
                <w:rFonts w:ascii="Times New Roman" w:eastAsiaTheme="minorHAnsi" w:hAnsi="Times New Roman"/>
                <w:sz w:val="16"/>
                <w:szCs w:val="16"/>
              </w:rPr>
              <w:t xml:space="preserve"> </w:t>
            </w:r>
            <w:r w:rsidRPr="00D67E55">
              <w:rPr>
                <w:rFonts w:ascii="Times New Roman" w:eastAsiaTheme="minorHAnsi" w:hAnsi="Times New Roman"/>
                <w:sz w:val="16"/>
                <w:szCs w:val="16"/>
              </w:rPr>
              <w:t>EUR</w:t>
            </w:r>
            <w:r w:rsidR="00127B4E" w:rsidRPr="00D67E55">
              <w:rPr>
                <w:rFonts w:ascii="Times New Roman" w:eastAsiaTheme="minorHAnsi" w:hAnsi="Times New Roman"/>
                <w:sz w:val="16"/>
                <w:szCs w:val="16"/>
              </w:rPr>
              <w:t xml:space="preserve"> </w:t>
            </w:r>
          </w:p>
          <w:p w14:paraId="68748FAB"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5AB8792C" w14:textId="69785978"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 xml:space="preserve">Mērķis 2023. gadam (vienāds ar  100 % no  SAM paredzētā kopējā finansējuma):   </w:t>
            </w:r>
            <w:r w:rsidR="00560CB2" w:rsidRPr="00D67E55">
              <w:rPr>
                <w:rFonts w:ascii="Times New Roman" w:eastAsiaTheme="minorHAnsi" w:hAnsi="Times New Roman"/>
                <w:sz w:val="16"/>
                <w:szCs w:val="16"/>
              </w:rPr>
              <w:t> </w:t>
            </w:r>
            <w:r w:rsidR="00CB344D" w:rsidRPr="00CB344D">
              <w:rPr>
                <w:rFonts w:ascii="Times New Roman" w:eastAsiaTheme="minorHAnsi" w:hAnsi="Times New Roman"/>
                <w:sz w:val="16"/>
                <w:szCs w:val="16"/>
              </w:rPr>
              <w:t>13 651 801</w:t>
            </w:r>
            <w:r w:rsidR="00560CB2" w:rsidRPr="00D67E55">
              <w:rPr>
                <w:rFonts w:ascii="Times New Roman" w:eastAsiaTheme="minorHAnsi" w:hAnsi="Times New Roman"/>
                <w:sz w:val="16"/>
                <w:szCs w:val="16"/>
              </w:rPr>
              <w:t xml:space="preserve"> </w:t>
            </w:r>
            <w:r w:rsidRPr="00D67E55">
              <w:rPr>
                <w:rFonts w:ascii="Times New Roman" w:eastAsiaTheme="minorHAnsi" w:hAnsi="Times New Roman"/>
                <w:sz w:val="16"/>
                <w:szCs w:val="16"/>
              </w:rPr>
              <w:t>EUR</w:t>
            </w:r>
          </w:p>
          <w:p w14:paraId="720D75F5" w14:textId="77777777" w:rsidR="00C06C01" w:rsidRPr="00D67E55" w:rsidRDefault="00C06C01" w:rsidP="00813C56">
            <w:pPr>
              <w:spacing w:after="0" w:line="240" w:lineRule="auto"/>
              <w:jc w:val="both"/>
              <w:rPr>
                <w:rFonts w:ascii="Times New Roman" w:eastAsiaTheme="minorHAnsi" w:hAnsi="Times New Roman"/>
                <w:i/>
                <w:sz w:val="16"/>
                <w:szCs w:val="16"/>
              </w:rPr>
            </w:pPr>
          </w:p>
          <w:p w14:paraId="09732434" w14:textId="79B861F4" w:rsidR="00C06C01" w:rsidRPr="00D67E55" w:rsidRDefault="00C06C01" w:rsidP="00813C56">
            <w:pPr>
              <w:spacing w:after="0" w:line="240" w:lineRule="auto"/>
              <w:jc w:val="both"/>
              <w:rPr>
                <w:rFonts w:ascii="Times New Roman" w:eastAsiaTheme="minorHAnsi" w:hAnsi="Times New Roman"/>
                <w:sz w:val="16"/>
                <w:szCs w:val="16"/>
              </w:rPr>
            </w:pPr>
            <w:r w:rsidRPr="00D67E55">
              <w:rPr>
                <w:rFonts w:ascii="Times New Roman" w:eastAsiaTheme="minorHAnsi" w:hAnsi="Times New Roman"/>
                <w:i/>
                <w:sz w:val="16"/>
                <w:szCs w:val="16"/>
              </w:rPr>
              <w:t>Starpposma vērtības noteikšanas aprēķins:</w:t>
            </w:r>
            <w:r w:rsidRPr="00D67E55">
              <w:rPr>
                <w:rFonts w:ascii="Times New Roman" w:hAnsi="Times New Roman"/>
                <w:i/>
                <w:sz w:val="16"/>
                <w:szCs w:val="16"/>
              </w:rPr>
              <w:t xml:space="preserve"> </w:t>
            </w:r>
            <w:r w:rsidRPr="00D67E55">
              <w:rPr>
                <w:rFonts w:ascii="Times New Roman" w:hAnsi="Times New Roman"/>
                <w:sz w:val="16"/>
                <w:szCs w:val="16"/>
              </w:rPr>
              <w:t>Starpposma vērtība noteikta, ņemot vērā, ka SAM ietvaros projektu īstenošana</w:t>
            </w:r>
            <w:r w:rsidR="00B54D34" w:rsidRPr="00D67E55">
              <w:rPr>
                <w:rFonts w:ascii="Times New Roman" w:hAnsi="Times New Roman"/>
                <w:sz w:val="16"/>
                <w:szCs w:val="16"/>
              </w:rPr>
              <w:t xml:space="preserve"> tika</w:t>
            </w:r>
            <w:r w:rsidRPr="00D67E55">
              <w:rPr>
                <w:rFonts w:ascii="Times New Roman" w:hAnsi="Times New Roman"/>
                <w:sz w:val="16"/>
                <w:szCs w:val="16"/>
              </w:rPr>
              <w:t xml:space="preserve"> uzsāk</w:t>
            </w:r>
            <w:r w:rsidR="00B54D34" w:rsidRPr="00D67E55">
              <w:rPr>
                <w:rFonts w:ascii="Times New Roman" w:hAnsi="Times New Roman"/>
                <w:sz w:val="16"/>
                <w:szCs w:val="16"/>
              </w:rPr>
              <w:t>ta 2017.gadā</w:t>
            </w:r>
            <w:r w:rsidRPr="00D67E55">
              <w:rPr>
                <w:rFonts w:ascii="Times New Roman" w:hAnsi="Times New Roman"/>
                <w:sz w:val="16"/>
                <w:szCs w:val="16"/>
              </w:rPr>
              <w:t xml:space="preserve"> un īstenošana paredzēta līdz 2022.gada II ceturksnim</w:t>
            </w:r>
            <w:r w:rsidR="00B54D34" w:rsidRPr="00D67E55">
              <w:rPr>
                <w:rFonts w:ascii="Times New Roman" w:hAnsi="Times New Roman"/>
                <w:sz w:val="16"/>
                <w:szCs w:val="16"/>
              </w:rPr>
              <w:t>, kā arī ņemot vērā, ka sākotnēji bija nepieciešams papildu laiks apmācību plāna izstrādei un apmācību organizēšanai</w:t>
            </w:r>
            <w:r w:rsidRPr="00D67E55">
              <w:rPr>
                <w:rFonts w:ascii="Times New Roman" w:hAnsi="Times New Roman"/>
                <w:sz w:val="16"/>
                <w:szCs w:val="16"/>
              </w:rPr>
              <w:t xml:space="preserve"> un pieņemot, ka līdz 2018.gada beigām tiks sertificēti </w:t>
            </w:r>
            <w:r w:rsidR="00B54D34" w:rsidRPr="00D67E55">
              <w:rPr>
                <w:rFonts w:ascii="Times New Roman" w:hAnsi="Times New Roman"/>
                <w:sz w:val="16"/>
                <w:szCs w:val="16"/>
              </w:rPr>
              <w:t xml:space="preserve">izdevumi </w:t>
            </w:r>
            <w:r w:rsidR="00412B9F" w:rsidRPr="00D67E55">
              <w:rPr>
                <w:rFonts w:ascii="Times New Roman" w:hAnsi="Times New Roman"/>
                <w:sz w:val="16"/>
                <w:szCs w:val="16"/>
              </w:rPr>
              <w:t>4,7</w:t>
            </w:r>
            <w:r w:rsidR="00B54D34" w:rsidRPr="00D67E55">
              <w:rPr>
                <w:rFonts w:ascii="Times New Roman" w:hAnsi="Times New Roman"/>
                <w:sz w:val="16"/>
                <w:szCs w:val="16"/>
              </w:rPr>
              <w:t>% apmērā no SAM 9.2.6.finansējuma</w:t>
            </w:r>
          </w:p>
        </w:tc>
      </w:tr>
    </w:tbl>
    <w:p w14:paraId="46E55EAE" w14:textId="77777777" w:rsidR="00CB437B" w:rsidRPr="00D67E55" w:rsidRDefault="00CB437B" w:rsidP="009B75BA">
      <w:pPr>
        <w:spacing w:after="0" w:line="240" w:lineRule="auto"/>
      </w:pPr>
    </w:p>
    <w:sectPr w:rsidR="00CB437B" w:rsidRPr="00D67E55" w:rsidSect="00A54082">
      <w:headerReference w:type="default" r:id="rId8"/>
      <w:pgSz w:w="16838" w:h="11906" w:orient="landscape"/>
      <w:pgMar w:top="340"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D2EF" w14:textId="77777777" w:rsidR="00D0148C" w:rsidRDefault="00D0148C" w:rsidP="00C109A7">
      <w:pPr>
        <w:spacing w:after="0" w:line="240" w:lineRule="auto"/>
      </w:pPr>
      <w:r>
        <w:separator/>
      </w:r>
    </w:p>
  </w:endnote>
  <w:endnote w:type="continuationSeparator" w:id="0">
    <w:p w14:paraId="78FB17F7" w14:textId="77777777" w:rsidR="00D0148C" w:rsidRDefault="00D0148C"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32C2E" w14:textId="77777777" w:rsidR="00D0148C" w:rsidRDefault="00D0148C" w:rsidP="00C109A7">
      <w:pPr>
        <w:spacing w:after="0" w:line="240" w:lineRule="auto"/>
      </w:pPr>
      <w:r>
        <w:separator/>
      </w:r>
    </w:p>
  </w:footnote>
  <w:footnote w:type="continuationSeparator" w:id="0">
    <w:p w14:paraId="237729BD" w14:textId="77777777" w:rsidR="00D0148C" w:rsidRDefault="00D0148C" w:rsidP="00C109A7">
      <w:pPr>
        <w:spacing w:after="0" w:line="240" w:lineRule="auto"/>
      </w:pPr>
      <w:r>
        <w:continuationSeparator/>
      </w:r>
    </w:p>
  </w:footnote>
  <w:footnote w:id="1">
    <w:p w14:paraId="1DDC394B" w14:textId="44F5030F" w:rsidR="003935BF" w:rsidRPr="00790520" w:rsidRDefault="003935BF" w:rsidP="00D323DD">
      <w:pPr>
        <w:pStyle w:val="FootnoteText"/>
        <w:jc w:val="both"/>
        <w:rPr>
          <w:rFonts w:ascii="Times New Roman" w:hAnsi="Times New Roman"/>
          <w:sz w:val="18"/>
          <w:szCs w:val="18"/>
        </w:rPr>
      </w:pPr>
      <w:r w:rsidRPr="00790520">
        <w:rPr>
          <w:rStyle w:val="FootnoteReference"/>
          <w:rFonts w:ascii="Times New Roman" w:hAnsi="Times New Roman"/>
          <w:sz w:val="18"/>
          <w:szCs w:val="18"/>
        </w:rPr>
        <w:footnoteRef/>
      </w:r>
      <w:r w:rsidRPr="00790520">
        <w:rPr>
          <w:rFonts w:ascii="Times New Roman" w:hAnsi="Times New Roman"/>
          <w:sz w:val="18"/>
          <w:szCs w:val="18"/>
        </w:rPr>
        <w:t xml:space="preserve"> Finanšu rādītāju mērvienība - </w:t>
      </w:r>
      <w:r w:rsidR="005714FC" w:rsidRPr="005714FC">
        <w:rPr>
          <w:rFonts w:ascii="Times New Roman" w:hAnsi="Times New Roman"/>
          <w:i/>
          <w:sz w:val="18"/>
          <w:szCs w:val="18"/>
        </w:rPr>
        <w:t xml:space="preserve">starpposma vērtība 2018. gadam ir </w:t>
      </w:r>
      <w:r w:rsidRPr="00790520">
        <w:rPr>
          <w:rFonts w:ascii="Times New Roman" w:hAnsi="Times New Roman"/>
          <w:i/>
          <w:sz w:val="18"/>
          <w:szCs w:val="18"/>
        </w:rPr>
        <w:t>attiecināmie izdevumi EUR  sertificējošās iestādes uzskaites sistēmā</w:t>
      </w:r>
      <w:r w:rsidR="005714FC" w:rsidRPr="005714FC">
        <w:rPr>
          <w:rFonts w:ascii="Times New Roman" w:hAnsi="Times New Roman"/>
          <w:i/>
          <w:sz w:val="18"/>
          <w:szCs w:val="18"/>
        </w:rPr>
        <w:t>, līdz 30.06.2019. sertificētie izdevumi, kas finansējuma saņēmējiem radušies līdz 31.12.2018. Starpposma vērtības noteikšanā nedrīkst iekļaut snieguma rezerves apjomu 6 %, kamēr mērķis nosakāms iekļaujot rezerves apjomu</w:t>
      </w:r>
      <w:r w:rsidRPr="00790520">
        <w:rPr>
          <w:rFonts w:ascii="Times New Roman" w:hAnsi="Times New Roman"/>
          <w:i/>
          <w:sz w:val="18"/>
          <w:szCs w:val="18"/>
        </w:rPr>
        <w:t>.</w:t>
      </w:r>
    </w:p>
  </w:footnote>
  <w:footnote w:id="2">
    <w:p w14:paraId="6CAFEE9D" w14:textId="28826CDD" w:rsidR="0058230A" w:rsidRPr="0088518B" w:rsidRDefault="0058230A" w:rsidP="0058230A">
      <w:pPr>
        <w:pStyle w:val="FootnoteText"/>
        <w:jc w:val="both"/>
        <w:rPr>
          <w:rFonts w:ascii="Times New Roman" w:hAnsi="Times New Roman"/>
          <w:sz w:val="18"/>
          <w:szCs w:val="18"/>
        </w:rPr>
      </w:pPr>
      <w:r w:rsidRPr="0088518B">
        <w:rPr>
          <w:rStyle w:val="FootnoteReference"/>
          <w:rFonts w:ascii="Times New Roman" w:hAnsi="Times New Roman"/>
          <w:sz w:val="18"/>
          <w:szCs w:val="18"/>
        </w:rPr>
        <w:footnoteRef/>
      </w:r>
      <w:r w:rsidRPr="0088518B">
        <w:rPr>
          <w:rFonts w:ascii="Times New Roman" w:hAnsi="Times New Roman"/>
          <w:sz w:val="18"/>
          <w:szCs w:val="18"/>
        </w:rPr>
        <w:t xml:space="preserve"> </w:t>
      </w:r>
      <w:r w:rsidRPr="0088518B">
        <w:rPr>
          <w:rFonts w:ascii="Times New Roman" w:hAnsi="Times New Roman"/>
          <w:color w:val="000000"/>
          <w:sz w:val="18"/>
          <w:szCs w:val="18"/>
          <w:shd w:val="clear" w:color="auto" w:fill="FFFFFF"/>
        </w:rPr>
        <w:t xml:space="preserve">Ar pakalpojumu sniedzējiem tiek </w:t>
      </w:r>
      <w:r w:rsidR="008D0C05" w:rsidRPr="0088518B">
        <w:rPr>
          <w:rFonts w:ascii="Times New Roman" w:hAnsi="Times New Roman"/>
          <w:color w:val="000000"/>
          <w:sz w:val="18"/>
          <w:szCs w:val="18"/>
          <w:shd w:val="clear" w:color="auto" w:fill="FFFFFF"/>
        </w:rPr>
        <w:t>saprast</w:t>
      </w:r>
      <w:r w:rsidR="008D0C05">
        <w:rPr>
          <w:rFonts w:ascii="Times New Roman" w:hAnsi="Times New Roman"/>
          <w:color w:val="000000"/>
          <w:sz w:val="18"/>
          <w:szCs w:val="18"/>
          <w:shd w:val="clear" w:color="auto" w:fill="FFFFFF"/>
        </w:rPr>
        <w:t>as personas, k</w:t>
      </w:r>
      <w:r w:rsidR="00201F9D">
        <w:rPr>
          <w:rFonts w:ascii="Times New Roman" w:hAnsi="Times New Roman"/>
          <w:color w:val="000000"/>
          <w:sz w:val="18"/>
          <w:szCs w:val="18"/>
          <w:shd w:val="clear" w:color="auto" w:fill="FFFFFF"/>
        </w:rPr>
        <w:t>ur</w:t>
      </w:r>
      <w:r w:rsidR="008D0C05">
        <w:rPr>
          <w:rFonts w:ascii="Times New Roman" w:hAnsi="Times New Roman"/>
          <w:color w:val="000000"/>
          <w:sz w:val="18"/>
          <w:szCs w:val="18"/>
          <w:shd w:val="clear" w:color="auto" w:fill="FFFFFF"/>
        </w:rPr>
        <w:t xml:space="preserve">as piedalās </w:t>
      </w:r>
      <w:r w:rsidRPr="0088518B">
        <w:rPr>
          <w:rFonts w:ascii="Times New Roman" w:hAnsi="Times New Roman"/>
          <w:color w:val="000000"/>
          <w:sz w:val="18"/>
          <w:szCs w:val="18"/>
          <w:u w:val="single"/>
          <w:shd w:val="clear" w:color="auto" w:fill="FFFFFF"/>
        </w:rPr>
        <w:t>apmācīb</w:t>
      </w:r>
      <w:r w:rsidR="008D0C05">
        <w:rPr>
          <w:rFonts w:ascii="Times New Roman" w:hAnsi="Times New Roman"/>
          <w:color w:val="000000"/>
          <w:sz w:val="18"/>
          <w:szCs w:val="18"/>
          <w:u w:val="single"/>
          <w:shd w:val="clear" w:color="auto" w:fill="FFFFFF"/>
        </w:rPr>
        <w:t>ās</w:t>
      </w:r>
      <w:r w:rsidRPr="0088518B">
        <w:rPr>
          <w:rFonts w:ascii="Times New Roman" w:hAnsi="Times New Roman"/>
          <w:color w:val="000000"/>
          <w:sz w:val="18"/>
          <w:szCs w:val="18"/>
          <w:shd w:val="clear" w:color="auto" w:fill="FFFFFF"/>
        </w:rPr>
        <w:t>, kas vai nu ir ārstniecības personas un līdz ar to sniedz veselības aprūpes pakalpojumus, vai arī (piemēram, gadījumā ja medicīnas māsa, kam nav sertifikāts, apmeklē apmācības ar mērķi atjaunot sertifikātu) personas, kas apmeklē kursus ar mērķi atjaunot ārstniecības personas statusu, tādējādi kļūstot par veselības aprūpes pakalpojumu sniedzēju. Ja šīs personas apmācību rezultātā iegūst dokumentu, kas apliecina kredītpunktu iegūšanu, tad šāda persona uzskaitāma gan pie iznākuma, gan pie rezultāta rādītāja. </w:t>
      </w:r>
    </w:p>
  </w:footnote>
  <w:footnote w:id="3">
    <w:p w14:paraId="20319614" w14:textId="00C3510C" w:rsidR="0088518B" w:rsidRDefault="0088518B">
      <w:pPr>
        <w:pStyle w:val="FootnoteText"/>
      </w:pPr>
      <w:r w:rsidRPr="0088518B">
        <w:rPr>
          <w:rStyle w:val="FootnoteReference"/>
          <w:rFonts w:ascii="Times New Roman" w:hAnsi="Times New Roman"/>
          <w:sz w:val="18"/>
          <w:szCs w:val="18"/>
        </w:rPr>
        <w:footnoteRef/>
      </w:r>
      <w:r w:rsidRPr="0088518B">
        <w:rPr>
          <w:rFonts w:ascii="Times New Roman" w:hAnsi="Times New Roman"/>
          <w:sz w:val="18"/>
          <w:szCs w:val="18"/>
        </w:rPr>
        <w:t xml:space="preserve"> </w:t>
      </w:r>
      <w:r w:rsidRPr="0088518B">
        <w:rPr>
          <w:rFonts w:ascii="Times New Roman" w:hAnsi="Times New Roman"/>
          <w:color w:val="000000"/>
          <w:sz w:val="18"/>
          <w:szCs w:val="18"/>
        </w:rPr>
        <w:t>Iznākuma rādītājā ieskaitāmās personas apliecina dokuments par sekmīgi nokārtotu apmācību kursu vai papildus attiecībā uz tām personām, kas šādu dokumentu nesaņems arī, piemēram, parakstu lapas par dalību kursos.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9438"/>
      <w:docPartObj>
        <w:docPartGallery w:val="Page Numbers (Top of Page)"/>
        <w:docPartUnique/>
      </w:docPartObj>
    </w:sdtPr>
    <w:sdtEndPr/>
    <w:sdtContent>
      <w:p w14:paraId="6CBD41B6" w14:textId="44CD171C" w:rsidR="003935BF" w:rsidRDefault="00726723">
        <w:pPr>
          <w:pStyle w:val="Header"/>
          <w:jc w:val="center"/>
        </w:pPr>
        <w:r>
          <w:fldChar w:fldCharType="begin"/>
        </w:r>
        <w:r w:rsidR="00C05FD3">
          <w:instrText xml:space="preserve"> PAGE   \* MERGEFORMAT </w:instrText>
        </w:r>
        <w:r>
          <w:fldChar w:fldCharType="separate"/>
        </w:r>
        <w:r w:rsidR="00D67E55">
          <w:rPr>
            <w:noProof/>
          </w:rPr>
          <w:t>2</w:t>
        </w:r>
        <w:r>
          <w:rPr>
            <w:noProof/>
          </w:rPr>
          <w:fldChar w:fldCharType="end"/>
        </w:r>
      </w:p>
    </w:sdtContent>
  </w:sdt>
  <w:p w14:paraId="338EE0D9" w14:textId="77777777" w:rsidR="003935BF" w:rsidRDefault="003935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50BE2"/>
    <w:multiLevelType w:val="hybridMultilevel"/>
    <w:tmpl w:val="26B44898"/>
    <w:lvl w:ilvl="0" w:tplc="3C32D85E">
      <w:start w:val="1"/>
      <w:numFmt w:val="decimal"/>
      <w:lvlText w:val="(%1)"/>
      <w:lvlJc w:val="left"/>
      <w:pPr>
        <w:ind w:left="644" w:hanging="360"/>
      </w:pPr>
      <w:rPr>
        <w:rFonts w:ascii="Times New Roman" w:hAnsi="Times New Roman" w:cs="Times New Roman" w:hint="default"/>
        <w:b w:val="0"/>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090005">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25886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573A"/>
    <w:rsid w:val="00013701"/>
    <w:rsid w:val="00013723"/>
    <w:rsid w:val="0002016B"/>
    <w:rsid w:val="00023EFB"/>
    <w:rsid w:val="000271EE"/>
    <w:rsid w:val="00027384"/>
    <w:rsid w:val="00031F85"/>
    <w:rsid w:val="00033597"/>
    <w:rsid w:val="00033CFF"/>
    <w:rsid w:val="00045D12"/>
    <w:rsid w:val="00047169"/>
    <w:rsid w:val="00056A4D"/>
    <w:rsid w:val="00060B07"/>
    <w:rsid w:val="000617A4"/>
    <w:rsid w:val="0006641C"/>
    <w:rsid w:val="00066AB8"/>
    <w:rsid w:val="00066DE4"/>
    <w:rsid w:val="00074E07"/>
    <w:rsid w:val="000A038B"/>
    <w:rsid w:val="000A3E29"/>
    <w:rsid w:val="000C618D"/>
    <w:rsid w:val="000D6A3D"/>
    <w:rsid w:val="000D7AD3"/>
    <w:rsid w:val="000E65E4"/>
    <w:rsid w:val="000E713E"/>
    <w:rsid w:val="000E7597"/>
    <w:rsid w:val="000F32B4"/>
    <w:rsid w:val="000F6B14"/>
    <w:rsid w:val="00102F05"/>
    <w:rsid w:val="0010367A"/>
    <w:rsid w:val="00104279"/>
    <w:rsid w:val="00107374"/>
    <w:rsid w:val="00112A58"/>
    <w:rsid w:val="00127B4E"/>
    <w:rsid w:val="00144E44"/>
    <w:rsid w:val="00147489"/>
    <w:rsid w:val="001502AA"/>
    <w:rsid w:val="00151372"/>
    <w:rsid w:val="001526A2"/>
    <w:rsid w:val="00167023"/>
    <w:rsid w:val="0017197D"/>
    <w:rsid w:val="00176760"/>
    <w:rsid w:val="00186D41"/>
    <w:rsid w:val="00192195"/>
    <w:rsid w:val="001938A1"/>
    <w:rsid w:val="00193A6A"/>
    <w:rsid w:val="001B215C"/>
    <w:rsid w:val="001B2887"/>
    <w:rsid w:val="001E3E9C"/>
    <w:rsid w:val="001E5C51"/>
    <w:rsid w:val="001E5F3B"/>
    <w:rsid w:val="001E6A1F"/>
    <w:rsid w:val="001F0C54"/>
    <w:rsid w:val="00201F9D"/>
    <w:rsid w:val="00204214"/>
    <w:rsid w:val="002054A8"/>
    <w:rsid w:val="00216FB4"/>
    <w:rsid w:val="002202BF"/>
    <w:rsid w:val="002464CA"/>
    <w:rsid w:val="002512B8"/>
    <w:rsid w:val="00251F9E"/>
    <w:rsid w:val="0025628E"/>
    <w:rsid w:val="002837E5"/>
    <w:rsid w:val="00285015"/>
    <w:rsid w:val="0028557D"/>
    <w:rsid w:val="00291A75"/>
    <w:rsid w:val="002A5775"/>
    <w:rsid w:val="002B0170"/>
    <w:rsid w:val="002B5181"/>
    <w:rsid w:val="002C454C"/>
    <w:rsid w:val="002E3572"/>
    <w:rsid w:val="002F2D6B"/>
    <w:rsid w:val="002F3033"/>
    <w:rsid w:val="002F3E22"/>
    <w:rsid w:val="002F63C9"/>
    <w:rsid w:val="0030736E"/>
    <w:rsid w:val="0031698B"/>
    <w:rsid w:val="00330956"/>
    <w:rsid w:val="00332A8A"/>
    <w:rsid w:val="003348D9"/>
    <w:rsid w:val="00345018"/>
    <w:rsid w:val="003514CD"/>
    <w:rsid w:val="00353523"/>
    <w:rsid w:val="003540B6"/>
    <w:rsid w:val="003609FC"/>
    <w:rsid w:val="00360D41"/>
    <w:rsid w:val="00361B41"/>
    <w:rsid w:val="003935BF"/>
    <w:rsid w:val="00397D7A"/>
    <w:rsid w:val="003A795C"/>
    <w:rsid w:val="003B1D24"/>
    <w:rsid w:val="003B321A"/>
    <w:rsid w:val="003C152F"/>
    <w:rsid w:val="003C6295"/>
    <w:rsid w:val="003C7779"/>
    <w:rsid w:val="003D3A9E"/>
    <w:rsid w:val="003D5D4A"/>
    <w:rsid w:val="003D7538"/>
    <w:rsid w:val="003E1DE7"/>
    <w:rsid w:val="003E36E4"/>
    <w:rsid w:val="003E444F"/>
    <w:rsid w:val="003F1092"/>
    <w:rsid w:val="003F1E08"/>
    <w:rsid w:val="003F45FA"/>
    <w:rsid w:val="003F544D"/>
    <w:rsid w:val="004012A6"/>
    <w:rsid w:val="00401365"/>
    <w:rsid w:val="00404CCE"/>
    <w:rsid w:val="004100E8"/>
    <w:rsid w:val="00412B9F"/>
    <w:rsid w:val="00427E8A"/>
    <w:rsid w:val="00431CB3"/>
    <w:rsid w:val="00432F07"/>
    <w:rsid w:val="00436C9C"/>
    <w:rsid w:val="0044255A"/>
    <w:rsid w:val="00446B15"/>
    <w:rsid w:val="004545B5"/>
    <w:rsid w:val="0047466B"/>
    <w:rsid w:val="00486314"/>
    <w:rsid w:val="0049089F"/>
    <w:rsid w:val="00491C80"/>
    <w:rsid w:val="00494DA4"/>
    <w:rsid w:val="00497432"/>
    <w:rsid w:val="004B0737"/>
    <w:rsid w:val="004B3C70"/>
    <w:rsid w:val="004C129E"/>
    <w:rsid w:val="004C71E7"/>
    <w:rsid w:val="004F0738"/>
    <w:rsid w:val="004F2CAD"/>
    <w:rsid w:val="004F6651"/>
    <w:rsid w:val="004F6789"/>
    <w:rsid w:val="00501494"/>
    <w:rsid w:val="00502AFF"/>
    <w:rsid w:val="00503F44"/>
    <w:rsid w:val="00515768"/>
    <w:rsid w:val="00530633"/>
    <w:rsid w:val="00531AFF"/>
    <w:rsid w:val="00531B92"/>
    <w:rsid w:val="0053278F"/>
    <w:rsid w:val="00543B81"/>
    <w:rsid w:val="00546B4C"/>
    <w:rsid w:val="00547BAB"/>
    <w:rsid w:val="0055091F"/>
    <w:rsid w:val="00550B06"/>
    <w:rsid w:val="00555301"/>
    <w:rsid w:val="00557713"/>
    <w:rsid w:val="00560CB2"/>
    <w:rsid w:val="005714FC"/>
    <w:rsid w:val="00576955"/>
    <w:rsid w:val="0058230A"/>
    <w:rsid w:val="00592346"/>
    <w:rsid w:val="00597B32"/>
    <w:rsid w:val="005C0764"/>
    <w:rsid w:val="005D40D8"/>
    <w:rsid w:val="005F13EC"/>
    <w:rsid w:val="005F66C0"/>
    <w:rsid w:val="005F7D05"/>
    <w:rsid w:val="006020E5"/>
    <w:rsid w:val="00604D03"/>
    <w:rsid w:val="00605F25"/>
    <w:rsid w:val="0060673C"/>
    <w:rsid w:val="00606E26"/>
    <w:rsid w:val="006129C6"/>
    <w:rsid w:val="00614409"/>
    <w:rsid w:val="0062120E"/>
    <w:rsid w:val="00622CA9"/>
    <w:rsid w:val="00623779"/>
    <w:rsid w:val="00632FEA"/>
    <w:rsid w:val="006357C0"/>
    <w:rsid w:val="00636414"/>
    <w:rsid w:val="0063651A"/>
    <w:rsid w:val="00641795"/>
    <w:rsid w:val="006432AE"/>
    <w:rsid w:val="00647C51"/>
    <w:rsid w:val="00652432"/>
    <w:rsid w:val="00655A5A"/>
    <w:rsid w:val="00670215"/>
    <w:rsid w:val="00670392"/>
    <w:rsid w:val="006748FB"/>
    <w:rsid w:val="00675639"/>
    <w:rsid w:val="0067724F"/>
    <w:rsid w:val="00685765"/>
    <w:rsid w:val="006879A6"/>
    <w:rsid w:val="0069045E"/>
    <w:rsid w:val="00694073"/>
    <w:rsid w:val="006952C0"/>
    <w:rsid w:val="006A2824"/>
    <w:rsid w:val="006B07D2"/>
    <w:rsid w:val="006B632E"/>
    <w:rsid w:val="006D2A6F"/>
    <w:rsid w:val="006E57D9"/>
    <w:rsid w:val="006E62EF"/>
    <w:rsid w:val="006E7F5B"/>
    <w:rsid w:val="006F6753"/>
    <w:rsid w:val="006F67B9"/>
    <w:rsid w:val="007079BC"/>
    <w:rsid w:val="007172E3"/>
    <w:rsid w:val="007232FF"/>
    <w:rsid w:val="00723B28"/>
    <w:rsid w:val="0072654A"/>
    <w:rsid w:val="00726723"/>
    <w:rsid w:val="00736FA7"/>
    <w:rsid w:val="007407E4"/>
    <w:rsid w:val="00744F8C"/>
    <w:rsid w:val="0075011F"/>
    <w:rsid w:val="00753B39"/>
    <w:rsid w:val="00760C07"/>
    <w:rsid w:val="00766F34"/>
    <w:rsid w:val="00781F2A"/>
    <w:rsid w:val="007842B5"/>
    <w:rsid w:val="00790520"/>
    <w:rsid w:val="00793EC2"/>
    <w:rsid w:val="007D197D"/>
    <w:rsid w:val="007D1FD8"/>
    <w:rsid w:val="007E3CCC"/>
    <w:rsid w:val="007E5248"/>
    <w:rsid w:val="007E5AC5"/>
    <w:rsid w:val="00805A84"/>
    <w:rsid w:val="00813C56"/>
    <w:rsid w:val="00823BAD"/>
    <w:rsid w:val="00825C18"/>
    <w:rsid w:val="00841CE4"/>
    <w:rsid w:val="0084618B"/>
    <w:rsid w:val="0085092D"/>
    <w:rsid w:val="00863374"/>
    <w:rsid w:val="00873411"/>
    <w:rsid w:val="00876709"/>
    <w:rsid w:val="008841B9"/>
    <w:rsid w:val="0088518B"/>
    <w:rsid w:val="008976C9"/>
    <w:rsid w:val="008A67C0"/>
    <w:rsid w:val="008B2D82"/>
    <w:rsid w:val="008D0C05"/>
    <w:rsid w:val="008D4D7E"/>
    <w:rsid w:val="008E6F8A"/>
    <w:rsid w:val="008F00FE"/>
    <w:rsid w:val="008F3885"/>
    <w:rsid w:val="008F38AE"/>
    <w:rsid w:val="008F6E14"/>
    <w:rsid w:val="008F7085"/>
    <w:rsid w:val="00900187"/>
    <w:rsid w:val="00911A11"/>
    <w:rsid w:val="00913FAF"/>
    <w:rsid w:val="00916927"/>
    <w:rsid w:val="009303A6"/>
    <w:rsid w:val="009330FF"/>
    <w:rsid w:val="0093537A"/>
    <w:rsid w:val="00936DE8"/>
    <w:rsid w:val="00937A58"/>
    <w:rsid w:val="00941DC7"/>
    <w:rsid w:val="009439A3"/>
    <w:rsid w:val="00966585"/>
    <w:rsid w:val="00967B81"/>
    <w:rsid w:val="00987415"/>
    <w:rsid w:val="00990270"/>
    <w:rsid w:val="009A3E19"/>
    <w:rsid w:val="009A6FEC"/>
    <w:rsid w:val="009B37F9"/>
    <w:rsid w:val="009B75BA"/>
    <w:rsid w:val="009C1D16"/>
    <w:rsid w:val="009C419B"/>
    <w:rsid w:val="009D416C"/>
    <w:rsid w:val="009E3DF9"/>
    <w:rsid w:val="009E4150"/>
    <w:rsid w:val="00A07CD9"/>
    <w:rsid w:val="00A07E7C"/>
    <w:rsid w:val="00A110A0"/>
    <w:rsid w:val="00A15199"/>
    <w:rsid w:val="00A22309"/>
    <w:rsid w:val="00A231AF"/>
    <w:rsid w:val="00A25200"/>
    <w:rsid w:val="00A35AC3"/>
    <w:rsid w:val="00A47B32"/>
    <w:rsid w:val="00A504CB"/>
    <w:rsid w:val="00A51C88"/>
    <w:rsid w:val="00A524C4"/>
    <w:rsid w:val="00A54082"/>
    <w:rsid w:val="00A632AB"/>
    <w:rsid w:val="00A655D8"/>
    <w:rsid w:val="00A74F27"/>
    <w:rsid w:val="00A75A92"/>
    <w:rsid w:val="00A8110B"/>
    <w:rsid w:val="00A82C2A"/>
    <w:rsid w:val="00A82CCA"/>
    <w:rsid w:val="00A83257"/>
    <w:rsid w:val="00A91440"/>
    <w:rsid w:val="00A939D9"/>
    <w:rsid w:val="00A93BCA"/>
    <w:rsid w:val="00A9550E"/>
    <w:rsid w:val="00A95B8D"/>
    <w:rsid w:val="00AA2FBF"/>
    <w:rsid w:val="00AA6DBF"/>
    <w:rsid w:val="00AB14E5"/>
    <w:rsid w:val="00AC31A9"/>
    <w:rsid w:val="00AD5BF6"/>
    <w:rsid w:val="00AD61A9"/>
    <w:rsid w:val="00AE4B09"/>
    <w:rsid w:val="00AF109D"/>
    <w:rsid w:val="00AF539F"/>
    <w:rsid w:val="00AF56ED"/>
    <w:rsid w:val="00B04B9A"/>
    <w:rsid w:val="00B05060"/>
    <w:rsid w:val="00B10A23"/>
    <w:rsid w:val="00B11B73"/>
    <w:rsid w:val="00B22B28"/>
    <w:rsid w:val="00B24719"/>
    <w:rsid w:val="00B31979"/>
    <w:rsid w:val="00B3361B"/>
    <w:rsid w:val="00B42AF4"/>
    <w:rsid w:val="00B4506F"/>
    <w:rsid w:val="00B45EA0"/>
    <w:rsid w:val="00B53D22"/>
    <w:rsid w:val="00B54D34"/>
    <w:rsid w:val="00B637DB"/>
    <w:rsid w:val="00B664F3"/>
    <w:rsid w:val="00B80D2E"/>
    <w:rsid w:val="00BA0627"/>
    <w:rsid w:val="00BA5FB0"/>
    <w:rsid w:val="00BB07E8"/>
    <w:rsid w:val="00BB30E2"/>
    <w:rsid w:val="00BB5F3E"/>
    <w:rsid w:val="00BC4069"/>
    <w:rsid w:val="00BC7B78"/>
    <w:rsid w:val="00BD0FE5"/>
    <w:rsid w:val="00BD1A24"/>
    <w:rsid w:val="00BE5E20"/>
    <w:rsid w:val="00BF04E1"/>
    <w:rsid w:val="00BF7B5E"/>
    <w:rsid w:val="00C01E0C"/>
    <w:rsid w:val="00C03E69"/>
    <w:rsid w:val="00C05FD3"/>
    <w:rsid w:val="00C06C01"/>
    <w:rsid w:val="00C06E74"/>
    <w:rsid w:val="00C07C46"/>
    <w:rsid w:val="00C109A7"/>
    <w:rsid w:val="00C13D60"/>
    <w:rsid w:val="00C2304C"/>
    <w:rsid w:val="00C23964"/>
    <w:rsid w:val="00C23D28"/>
    <w:rsid w:val="00C2560E"/>
    <w:rsid w:val="00C33E8E"/>
    <w:rsid w:val="00C361C3"/>
    <w:rsid w:val="00C47735"/>
    <w:rsid w:val="00C510AA"/>
    <w:rsid w:val="00C526D3"/>
    <w:rsid w:val="00C61335"/>
    <w:rsid w:val="00C644B9"/>
    <w:rsid w:val="00C65D4E"/>
    <w:rsid w:val="00C74C63"/>
    <w:rsid w:val="00C75491"/>
    <w:rsid w:val="00C8581E"/>
    <w:rsid w:val="00C8634F"/>
    <w:rsid w:val="00C86D19"/>
    <w:rsid w:val="00C90AAD"/>
    <w:rsid w:val="00C90F36"/>
    <w:rsid w:val="00CA124A"/>
    <w:rsid w:val="00CA3A98"/>
    <w:rsid w:val="00CB226B"/>
    <w:rsid w:val="00CB344D"/>
    <w:rsid w:val="00CB437B"/>
    <w:rsid w:val="00CC5A95"/>
    <w:rsid w:val="00CF0A3D"/>
    <w:rsid w:val="00CF3330"/>
    <w:rsid w:val="00CF4E4A"/>
    <w:rsid w:val="00CF72C8"/>
    <w:rsid w:val="00D0148C"/>
    <w:rsid w:val="00D01D43"/>
    <w:rsid w:val="00D040F0"/>
    <w:rsid w:val="00D10085"/>
    <w:rsid w:val="00D20134"/>
    <w:rsid w:val="00D25803"/>
    <w:rsid w:val="00D275E7"/>
    <w:rsid w:val="00D30B8B"/>
    <w:rsid w:val="00D323DD"/>
    <w:rsid w:val="00D36513"/>
    <w:rsid w:val="00D44480"/>
    <w:rsid w:val="00D61040"/>
    <w:rsid w:val="00D64780"/>
    <w:rsid w:val="00D67E55"/>
    <w:rsid w:val="00D7167D"/>
    <w:rsid w:val="00D77D9C"/>
    <w:rsid w:val="00D821A6"/>
    <w:rsid w:val="00D85B41"/>
    <w:rsid w:val="00D92940"/>
    <w:rsid w:val="00D92FCF"/>
    <w:rsid w:val="00DA172B"/>
    <w:rsid w:val="00DB4A6F"/>
    <w:rsid w:val="00DC4AE8"/>
    <w:rsid w:val="00DD6E9E"/>
    <w:rsid w:val="00DE193B"/>
    <w:rsid w:val="00DE1E1D"/>
    <w:rsid w:val="00DE3527"/>
    <w:rsid w:val="00DF06EE"/>
    <w:rsid w:val="00E17527"/>
    <w:rsid w:val="00E176A7"/>
    <w:rsid w:val="00E201F3"/>
    <w:rsid w:val="00E2113C"/>
    <w:rsid w:val="00E23A81"/>
    <w:rsid w:val="00E26CD7"/>
    <w:rsid w:val="00E318F3"/>
    <w:rsid w:val="00E420FC"/>
    <w:rsid w:val="00E447EC"/>
    <w:rsid w:val="00E47B60"/>
    <w:rsid w:val="00E508EC"/>
    <w:rsid w:val="00E5384B"/>
    <w:rsid w:val="00E651D6"/>
    <w:rsid w:val="00E75B1C"/>
    <w:rsid w:val="00E95220"/>
    <w:rsid w:val="00EA2933"/>
    <w:rsid w:val="00EA4908"/>
    <w:rsid w:val="00EB32AE"/>
    <w:rsid w:val="00EB3FB5"/>
    <w:rsid w:val="00EB7BD8"/>
    <w:rsid w:val="00EB7D82"/>
    <w:rsid w:val="00EC146C"/>
    <w:rsid w:val="00ED1A5D"/>
    <w:rsid w:val="00ED46E2"/>
    <w:rsid w:val="00ED476D"/>
    <w:rsid w:val="00EE0C01"/>
    <w:rsid w:val="00EF0528"/>
    <w:rsid w:val="00EF2245"/>
    <w:rsid w:val="00EF39C5"/>
    <w:rsid w:val="00EF567E"/>
    <w:rsid w:val="00F027BC"/>
    <w:rsid w:val="00F1327D"/>
    <w:rsid w:val="00F15A2E"/>
    <w:rsid w:val="00F17E92"/>
    <w:rsid w:val="00F31334"/>
    <w:rsid w:val="00F435A8"/>
    <w:rsid w:val="00F442C7"/>
    <w:rsid w:val="00F53ED5"/>
    <w:rsid w:val="00F602B0"/>
    <w:rsid w:val="00F66445"/>
    <w:rsid w:val="00F6687D"/>
    <w:rsid w:val="00F750BA"/>
    <w:rsid w:val="00F75324"/>
    <w:rsid w:val="00F81904"/>
    <w:rsid w:val="00F82E61"/>
    <w:rsid w:val="00F83FE1"/>
    <w:rsid w:val="00F86ACD"/>
    <w:rsid w:val="00F940E8"/>
    <w:rsid w:val="00F96316"/>
    <w:rsid w:val="00FA2E18"/>
    <w:rsid w:val="00FC6F6C"/>
    <w:rsid w:val="00FC74CE"/>
    <w:rsid w:val="00FD2B9D"/>
    <w:rsid w:val="00FD3EC2"/>
    <w:rsid w:val="00FE22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39BF7"/>
  <w15:docId w15:val="{31366774-ED0A-428C-A66B-A9CE5DC1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B53D22"/>
    <w:rPr>
      <w:sz w:val="16"/>
      <w:szCs w:val="16"/>
    </w:rPr>
  </w:style>
  <w:style w:type="paragraph" w:styleId="CommentText">
    <w:name w:val="annotation text"/>
    <w:basedOn w:val="Normal"/>
    <w:link w:val="CommentTextChar"/>
    <w:uiPriority w:val="99"/>
    <w:unhideWhenUsed/>
    <w:rsid w:val="00B53D22"/>
    <w:pPr>
      <w:spacing w:line="240" w:lineRule="auto"/>
    </w:pPr>
    <w:rPr>
      <w:sz w:val="20"/>
      <w:szCs w:val="20"/>
    </w:rPr>
  </w:style>
  <w:style w:type="character" w:customStyle="1" w:styleId="CommentTextChar">
    <w:name w:val="Comment Text Char"/>
    <w:basedOn w:val="DefaultParagraphFont"/>
    <w:link w:val="CommentText"/>
    <w:uiPriority w:val="99"/>
    <w:rsid w:val="00B53D2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53D22"/>
    <w:rPr>
      <w:b/>
      <w:bCs/>
    </w:rPr>
  </w:style>
  <w:style w:type="character" w:customStyle="1" w:styleId="CommentSubjectChar">
    <w:name w:val="Comment Subject Char"/>
    <w:basedOn w:val="CommentTextChar"/>
    <w:link w:val="CommentSubject"/>
    <w:uiPriority w:val="99"/>
    <w:semiHidden/>
    <w:rsid w:val="00B53D22"/>
    <w:rPr>
      <w:rFonts w:ascii="Calibri" w:eastAsia="Calibri" w:hAnsi="Calibri" w:cs="Times New Roman"/>
      <w:b/>
      <w:bCs/>
      <w:sz w:val="20"/>
      <w:szCs w:val="20"/>
    </w:rPr>
  </w:style>
  <w:style w:type="paragraph" w:customStyle="1" w:styleId="tv2131">
    <w:name w:val="tv2131"/>
    <w:basedOn w:val="Normal"/>
    <w:rsid w:val="004545B5"/>
    <w:pPr>
      <w:spacing w:after="0" w:line="360" w:lineRule="auto"/>
      <w:ind w:firstLine="240"/>
    </w:pPr>
    <w:rPr>
      <w:rFonts w:ascii="Times New Roman" w:eastAsia="Times New Roman" w:hAnsi="Times New Roman"/>
      <w:color w:val="414142"/>
      <w:sz w:val="16"/>
      <w:szCs w:val="16"/>
      <w:lang w:eastAsia="lv-LV"/>
    </w:rPr>
  </w:style>
  <w:style w:type="character" w:customStyle="1" w:styleId="fontsize21">
    <w:name w:val="fontsize21"/>
    <w:basedOn w:val="DefaultParagraphFont"/>
    <w:rsid w:val="004545B5"/>
    <w:rPr>
      <w:b w:val="0"/>
      <w:bCs w:val="0"/>
      <w:i/>
      <w:iCs/>
    </w:rPr>
  </w:style>
  <w:style w:type="paragraph" w:styleId="Revision">
    <w:name w:val="Revision"/>
    <w:hidden/>
    <w:uiPriority w:val="99"/>
    <w:semiHidden/>
    <w:rsid w:val="00BE5E20"/>
    <w:rPr>
      <w:rFonts w:ascii="Calibri" w:eastAsia="Calibri" w:hAnsi="Calibri" w:cs="Times New Roman"/>
      <w:sz w:val="22"/>
    </w:rPr>
  </w:style>
  <w:style w:type="paragraph" w:styleId="NormalWeb">
    <w:name w:val="Normal (Web)"/>
    <w:basedOn w:val="Normal"/>
    <w:uiPriority w:val="99"/>
    <w:semiHidden/>
    <w:unhideWhenUsed/>
    <w:rsid w:val="00204214"/>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xmsolistparagraph">
    <w:name w:val="x_msolistparagraph"/>
    <w:basedOn w:val="Normal"/>
    <w:rsid w:val="008B2D82"/>
    <w:pPr>
      <w:spacing w:before="100" w:beforeAutospacing="1" w:after="100" w:afterAutospacing="1"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844142">
      <w:bodyDiv w:val="1"/>
      <w:marLeft w:val="0"/>
      <w:marRight w:val="0"/>
      <w:marTop w:val="0"/>
      <w:marBottom w:val="0"/>
      <w:divBdr>
        <w:top w:val="none" w:sz="0" w:space="0" w:color="auto"/>
        <w:left w:val="none" w:sz="0" w:space="0" w:color="auto"/>
        <w:bottom w:val="none" w:sz="0" w:space="0" w:color="auto"/>
        <w:right w:val="none" w:sz="0" w:space="0" w:color="auto"/>
      </w:divBdr>
    </w:div>
    <w:div w:id="1320885531">
      <w:bodyDiv w:val="1"/>
      <w:marLeft w:val="0"/>
      <w:marRight w:val="0"/>
      <w:marTop w:val="0"/>
      <w:marBottom w:val="0"/>
      <w:divBdr>
        <w:top w:val="none" w:sz="0" w:space="0" w:color="auto"/>
        <w:left w:val="none" w:sz="0" w:space="0" w:color="auto"/>
        <w:bottom w:val="none" w:sz="0" w:space="0" w:color="auto"/>
        <w:right w:val="none" w:sz="0" w:space="0" w:color="auto"/>
      </w:divBdr>
      <w:divsChild>
        <w:div w:id="1092554942">
          <w:marLeft w:val="0"/>
          <w:marRight w:val="0"/>
          <w:marTop w:val="0"/>
          <w:marBottom w:val="0"/>
          <w:divBdr>
            <w:top w:val="none" w:sz="0" w:space="0" w:color="auto"/>
            <w:left w:val="none" w:sz="0" w:space="0" w:color="auto"/>
            <w:bottom w:val="none" w:sz="0" w:space="0" w:color="auto"/>
            <w:right w:val="none" w:sz="0" w:space="0" w:color="auto"/>
          </w:divBdr>
          <w:divsChild>
            <w:div w:id="475607749">
              <w:marLeft w:val="0"/>
              <w:marRight w:val="0"/>
              <w:marTop w:val="0"/>
              <w:marBottom w:val="0"/>
              <w:divBdr>
                <w:top w:val="none" w:sz="0" w:space="0" w:color="auto"/>
                <w:left w:val="none" w:sz="0" w:space="0" w:color="auto"/>
                <w:bottom w:val="none" w:sz="0" w:space="0" w:color="auto"/>
                <w:right w:val="none" w:sz="0" w:space="0" w:color="auto"/>
              </w:divBdr>
              <w:divsChild>
                <w:div w:id="1613584598">
                  <w:marLeft w:val="0"/>
                  <w:marRight w:val="0"/>
                  <w:marTop w:val="0"/>
                  <w:marBottom w:val="0"/>
                  <w:divBdr>
                    <w:top w:val="none" w:sz="0" w:space="0" w:color="auto"/>
                    <w:left w:val="none" w:sz="0" w:space="0" w:color="auto"/>
                    <w:bottom w:val="none" w:sz="0" w:space="0" w:color="auto"/>
                    <w:right w:val="none" w:sz="0" w:space="0" w:color="auto"/>
                  </w:divBdr>
                  <w:divsChild>
                    <w:div w:id="770711073">
                      <w:marLeft w:val="0"/>
                      <w:marRight w:val="0"/>
                      <w:marTop w:val="0"/>
                      <w:marBottom w:val="0"/>
                      <w:divBdr>
                        <w:top w:val="none" w:sz="0" w:space="0" w:color="auto"/>
                        <w:left w:val="none" w:sz="0" w:space="0" w:color="auto"/>
                        <w:bottom w:val="none" w:sz="0" w:space="0" w:color="auto"/>
                        <w:right w:val="none" w:sz="0" w:space="0" w:color="auto"/>
                      </w:divBdr>
                      <w:divsChild>
                        <w:div w:id="2124036198">
                          <w:marLeft w:val="0"/>
                          <w:marRight w:val="0"/>
                          <w:marTop w:val="0"/>
                          <w:marBottom w:val="0"/>
                          <w:divBdr>
                            <w:top w:val="none" w:sz="0" w:space="0" w:color="auto"/>
                            <w:left w:val="none" w:sz="0" w:space="0" w:color="auto"/>
                            <w:bottom w:val="none" w:sz="0" w:space="0" w:color="auto"/>
                            <w:right w:val="none" w:sz="0" w:space="0" w:color="auto"/>
                          </w:divBdr>
                          <w:divsChild>
                            <w:div w:id="193967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816748">
      <w:bodyDiv w:val="1"/>
      <w:marLeft w:val="0"/>
      <w:marRight w:val="0"/>
      <w:marTop w:val="0"/>
      <w:marBottom w:val="0"/>
      <w:divBdr>
        <w:top w:val="none" w:sz="0" w:space="0" w:color="auto"/>
        <w:left w:val="none" w:sz="0" w:space="0" w:color="auto"/>
        <w:bottom w:val="none" w:sz="0" w:space="0" w:color="auto"/>
        <w:right w:val="none" w:sz="0" w:space="0" w:color="auto"/>
      </w:divBdr>
      <w:divsChild>
        <w:div w:id="93939562">
          <w:marLeft w:val="0"/>
          <w:marRight w:val="0"/>
          <w:marTop w:val="0"/>
          <w:marBottom w:val="0"/>
          <w:divBdr>
            <w:top w:val="none" w:sz="0" w:space="0" w:color="auto"/>
            <w:left w:val="none" w:sz="0" w:space="0" w:color="auto"/>
            <w:bottom w:val="none" w:sz="0" w:space="0" w:color="auto"/>
            <w:right w:val="none" w:sz="0" w:space="0" w:color="auto"/>
          </w:divBdr>
          <w:divsChild>
            <w:div w:id="1053891553">
              <w:marLeft w:val="0"/>
              <w:marRight w:val="0"/>
              <w:marTop w:val="0"/>
              <w:marBottom w:val="0"/>
              <w:divBdr>
                <w:top w:val="none" w:sz="0" w:space="0" w:color="auto"/>
                <w:left w:val="none" w:sz="0" w:space="0" w:color="auto"/>
                <w:bottom w:val="none" w:sz="0" w:space="0" w:color="auto"/>
                <w:right w:val="none" w:sz="0" w:space="0" w:color="auto"/>
              </w:divBdr>
              <w:divsChild>
                <w:div w:id="135807102">
                  <w:marLeft w:val="0"/>
                  <w:marRight w:val="0"/>
                  <w:marTop w:val="0"/>
                  <w:marBottom w:val="0"/>
                  <w:divBdr>
                    <w:top w:val="none" w:sz="0" w:space="0" w:color="auto"/>
                    <w:left w:val="none" w:sz="0" w:space="0" w:color="auto"/>
                    <w:bottom w:val="none" w:sz="0" w:space="0" w:color="auto"/>
                    <w:right w:val="none" w:sz="0" w:space="0" w:color="auto"/>
                  </w:divBdr>
                  <w:divsChild>
                    <w:div w:id="1926306257">
                      <w:marLeft w:val="0"/>
                      <w:marRight w:val="0"/>
                      <w:marTop w:val="0"/>
                      <w:marBottom w:val="0"/>
                      <w:divBdr>
                        <w:top w:val="none" w:sz="0" w:space="0" w:color="auto"/>
                        <w:left w:val="none" w:sz="0" w:space="0" w:color="auto"/>
                        <w:bottom w:val="none" w:sz="0" w:space="0" w:color="auto"/>
                        <w:right w:val="none" w:sz="0" w:space="0" w:color="auto"/>
                      </w:divBdr>
                      <w:divsChild>
                        <w:div w:id="2122532515">
                          <w:marLeft w:val="0"/>
                          <w:marRight w:val="0"/>
                          <w:marTop w:val="240"/>
                          <w:marBottom w:val="0"/>
                          <w:divBdr>
                            <w:top w:val="none" w:sz="0" w:space="0" w:color="auto"/>
                            <w:left w:val="none" w:sz="0" w:space="0" w:color="auto"/>
                            <w:bottom w:val="none" w:sz="0" w:space="0" w:color="auto"/>
                            <w:right w:val="none" w:sz="0" w:space="0" w:color="auto"/>
                          </w:divBdr>
                          <w:divsChild>
                            <w:div w:id="160002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CD146-6CC8-4A6E-AA87-3A2D8257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3776</Words>
  <Characters>2153</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Edijs Kirsanovs</cp:lastModifiedBy>
  <cp:revision>4</cp:revision>
  <cp:lastPrinted>2014-06-19T10:25:00Z</cp:lastPrinted>
  <dcterms:created xsi:type="dcterms:W3CDTF">2023-06-21T06:26:00Z</dcterms:created>
  <dcterms:modified xsi:type="dcterms:W3CDTF">2023-07-25T12:42:00Z</dcterms:modified>
</cp:coreProperties>
</file>