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30D" w:rsidRPr="00165387" w:rsidRDefault="00F1130D" w:rsidP="00F1130D">
      <w:pPr>
        <w:jc w:val="right"/>
        <w:rPr>
          <w:rFonts w:ascii="Times New Roman" w:eastAsia="Times New Roman" w:hAnsi="Times New Roman" w:cs="Times New Roman"/>
          <w:sz w:val="24"/>
          <w:szCs w:val="24"/>
        </w:rPr>
      </w:pPr>
      <w:bookmarkStart w:id="0" w:name="_GoBack"/>
      <w:bookmarkEnd w:id="0"/>
      <w:r w:rsidRPr="00165387">
        <w:rPr>
          <w:rFonts w:ascii="Times New Roman" w:eastAsia="Times New Roman" w:hAnsi="Times New Roman" w:cs="Times New Roman"/>
          <w:sz w:val="24"/>
          <w:szCs w:val="24"/>
        </w:rPr>
        <w:t>1.pielikums</w:t>
      </w:r>
    </w:p>
    <w:p w:rsidR="00F1130D" w:rsidRPr="00F1130D" w:rsidRDefault="00F1130D" w:rsidP="00F1130D">
      <w:pPr>
        <w:jc w:val="center"/>
        <w:rPr>
          <w:rFonts w:ascii="Times New Roman" w:eastAsia="Times New Roman" w:hAnsi="Times New Roman" w:cs="Times New Roman"/>
          <w:b/>
          <w:sz w:val="28"/>
          <w:szCs w:val="28"/>
        </w:rPr>
      </w:pPr>
      <w:r w:rsidRPr="00F1130D">
        <w:rPr>
          <w:rFonts w:ascii="Times New Roman" w:eastAsia="Times New Roman" w:hAnsi="Times New Roman" w:cs="Times New Roman"/>
          <w:b/>
          <w:sz w:val="28"/>
          <w:szCs w:val="28"/>
        </w:rPr>
        <w:t>ES fondu vadībā iesaistīto institūciju audita struktūrvienības</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3"/>
        <w:gridCol w:w="5338"/>
      </w:tblGrid>
      <w:tr w:rsidR="00F1130D" w:rsidRPr="00F1130D" w:rsidTr="005A52BD">
        <w:trPr>
          <w:trHeight w:val="690"/>
        </w:trPr>
        <w:tc>
          <w:tcPr>
            <w:tcW w:w="3871" w:type="dxa"/>
            <w:shd w:val="clear" w:color="auto" w:fill="B8CCE4"/>
            <w:vAlign w:val="center"/>
          </w:tcPr>
          <w:p w:rsidR="00F1130D" w:rsidRPr="00F1130D" w:rsidRDefault="00F1130D" w:rsidP="00F1130D">
            <w:pPr>
              <w:spacing w:after="0" w:line="240" w:lineRule="auto"/>
              <w:jc w:val="center"/>
              <w:rPr>
                <w:rFonts w:ascii="Times New Roman" w:eastAsia="Times New Roman" w:hAnsi="Times New Roman" w:cs="Times New Roman"/>
                <w:b/>
                <w:sz w:val="26"/>
                <w:szCs w:val="26"/>
              </w:rPr>
            </w:pPr>
            <w:r w:rsidRPr="00F1130D">
              <w:rPr>
                <w:rFonts w:ascii="Times New Roman" w:eastAsia="Times New Roman" w:hAnsi="Times New Roman" w:cs="Times New Roman"/>
                <w:b/>
                <w:sz w:val="26"/>
                <w:szCs w:val="26"/>
              </w:rPr>
              <w:t>Iekšējā audita struktūrvienība</w:t>
            </w:r>
          </w:p>
        </w:tc>
        <w:tc>
          <w:tcPr>
            <w:tcW w:w="5768" w:type="dxa"/>
            <w:shd w:val="clear" w:color="auto" w:fill="B8CCE4"/>
            <w:vAlign w:val="center"/>
          </w:tcPr>
          <w:p w:rsidR="00F1130D" w:rsidRPr="00F1130D" w:rsidRDefault="00F1130D" w:rsidP="00F1130D">
            <w:pPr>
              <w:spacing w:after="0" w:line="240" w:lineRule="auto"/>
              <w:jc w:val="center"/>
              <w:rPr>
                <w:rFonts w:ascii="Times New Roman" w:eastAsia="Times New Roman" w:hAnsi="Times New Roman" w:cs="Times New Roman"/>
                <w:b/>
                <w:sz w:val="24"/>
                <w:szCs w:val="24"/>
              </w:rPr>
            </w:pPr>
            <w:r w:rsidRPr="00F1130D">
              <w:rPr>
                <w:rFonts w:ascii="Times New Roman" w:eastAsia="Times New Roman" w:hAnsi="Times New Roman" w:cs="Times New Roman"/>
                <w:b/>
              </w:rPr>
              <w:t>Auditējamā institūcija</w:t>
            </w:r>
          </w:p>
        </w:tc>
      </w:tr>
      <w:tr w:rsidR="00F1130D" w:rsidRPr="00F1130D" w:rsidTr="005A52BD">
        <w:trPr>
          <w:trHeight w:val="430"/>
        </w:trPr>
        <w:tc>
          <w:tcPr>
            <w:tcW w:w="9639" w:type="dxa"/>
            <w:gridSpan w:val="2"/>
            <w:shd w:val="clear" w:color="auto" w:fill="auto"/>
          </w:tcPr>
          <w:p w:rsidR="00F1130D" w:rsidRPr="00F1130D" w:rsidRDefault="00F1130D" w:rsidP="00F1130D">
            <w:pPr>
              <w:spacing w:after="0" w:line="240" w:lineRule="auto"/>
              <w:rPr>
                <w:rFonts w:ascii="Times New Roman" w:eastAsia="Times New Roman" w:hAnsi="Times New Roman" w:cs="Times New Roman"/>
                <w:b/>
              </w:rPr>
            </w:pPr>
            <w:r w:rsidRPr="00F1130D">
              <w:rPr>
                <w:rFonts w:ascii="Times New Roman" w:eastAsia="Times New Roman" w:hAnsi="Times New Roman" w:cs="Times New Roman"/>
                <w:b/>
              </w:rPr>
              <w:t>Horizontālie vadības un kontroles sistēmas auditi</w:t>
            </w:r>
          </w:p>
        </w:tc>
      </w:tr>
      <w:tr w:rsidR="00F1130D" w:rsidRPr="00F1130D" w:rsidTr="005A52BD">
        <w:trPr>
          <w:trHeight w:val="690"/>
        </w:trPr>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rPr>
            </w:pPr>
            <w:r w:rsidRPr="00F1130D">
              <w:rPr>
                <w:rFonts w:ascii="Times New Roman" w:eastAsia="Times New Roman" w:hAnsi="Times New Roman" w:cs="Times New Roman"/>
              </w:rPr>
              <w:t>Revīzijas iestāde</w:t>
            </w:r>
          </w:p>
        </w:tc>
        <w:tc>
          <w:tcPr>
            <w:tcW w:w="5768" w:type="dxa"/>
            <w:shd w:val="clear" w:color="auto" w:fill="auto"/>
          </w:tcPr>
          <w:p w:rsidR="00F1130D" w:rsidRPr="00F1130D" w:rsidRDefault="00F1130D" w:rsidP="00F1130D">
            <w:pPr>
              <w:spacing w:after="0" w:line="240" w:lineRule="auto"/>
              <w:rPr>
                <w:rFonts w:ascii="Times New Roman" w:eastAsia="Times New Roman" w:hAnsi="Times New Roman" w:cs="Times New Roman"/>
              </w:rPr>
            </w:pPr>
            <w:r w:rsidRPr="00F1130D">
              <w:rPr>
                <w:rFonts w:ascii="Times New Roman" w:eastAsia="Times New Roman" w:hAnsi="Times New Roman" w:cs="Times New Roman"/>
              </w:rPr>
              <w:t>Visās ES fondu vadībā iesaistītajās institūcijās un pie finansējuma saņēmēja</w:t>
            </w:r>
          </w:p>
        </w:tc>
      </w:tr>
      <w:tr w:rsidR="00F1130D" w:rsidRPr="00F1130D" w:rsidTr="005A52BD">
        <w:tc>
          <w:tcPr>
            <w:tcW w:w="9639" w:type="dxa"/>
            <w:gridSpan w:val="2"/>
            <w:shd w:val="clear" w:color="auto" w:fill="auto"/>
          </w:tcPr>
          <w:p w:rsidR="00F1130D" w:rsidRPr="00F1130D" w:rsidRDefault="00F1130D" w:rsidP="00F1130D">
            <w:pPr>
              <w:spacing w:after="0" w:line="240" w:lineRule="auto"/>
              <w:rPr>
                <w:rFonts w:ascii="Times New Roman" w:eastAsia="Times New Roman" w:hAnsi="Times New Roman" w:cs="Times New Roman"/>
                <w:b/>
                <w:sz w:val="24"/>
                <w:szCs w:val="24"/>
              </w:rPr>
            </w:pPr>
            <w:r w:rsidRPr="00F1130D">
              <w:rPr>
                <w:rFonts w:ascii="Times New Roman" w:eastAsia="Times New Roman" w:hAnsi="Times New Roman" w:cs="Times New Roman"/>
                <w:b/>
                <w:sz w:val="24"/>
                <w:szCs w:val="24"/>
              </w:rPr>
              <w:t>Sertifikācijas iestādes un maksājumu iestādes līmenī</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Valsts kases Iekšējā audita departaments</w:t>
            </w:r>
          </w:p>
        </w:tc>
        <w:tc>
          <w:tcPr>
            <w:tcW w:w="5768" w:type="dxa"/>
            <w:shd w:val="clear" w:color="auto" w:fill="auto"/>
          </w:tcPr>
          <w:p w:rsidR="00F1130D" w:rsidRPr="00F1130D" w:rsidRDefault="00F1130D" w:rsidP="00F1130D">
            <w:pPr>
              <w:numPr>
                <w:ilvl w:val="0"/>
                <w:numId w:val="3"/>
              </w:numPr>
              <w:spacing w:after="0" w:line="240" w:lineRule="auto"/>
              <w:ind w:left="459" w:hanging="459"/>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Sertifikācijas iestāde</w:t>
            </w:r>
          </w:p>
          <w:p w:rsidR="00F1130D" w:rsidRPr="00F1130D" w:rsidRDefault="00F1130D" w:rsidP="00F1130D">
            <w:pPr>
              <w:numPr>
                <w:ilvl w:val="0"/>
                <w:numId w:val="3"/>
              </w:numPr>
              <w:spacing w:after="0" w:line="240" w:lineRule="auto"/>
              <w:ind w:left="459" w:hanging="459"/>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Maksājumu iestāde</w:t>
            </w:r>
          </w:p>
        </w:tc>
      </w:tr>
      <w:tr w:rsidR="00F1130D" w:rsidRPr="00F1130D" w:rsidTr="005A52BD">
        <w:trPr>
          <w:trHeight w:val="528"/>
        </w:trPr>
        <w:tc>
          <w:tcPr>
            <w:tcW w:w="9639" w:type="dxa"/>
            <w:gridSpan w:val="2"/>
            <w:shd w:val="clear" w:color="auto" w:fill="auto"/>
          </w:tcPr>
          <w:p w:rsidR="00F1130D" w:rsidRPr="00F1130D" w:rsidRDefault="00F1130D" w:rsidP="00F1130D">
            <w:pPr>
              <w:spacing w:after="0" w:line="240" w:lineRule="auto"/>
              <w:rPr>
                <w:rFonts w:ascii="Times New Roman" w:eastAsia="Times New Roman" w:hAnsi="Times New Roman" w:cs="Times New Roman"/>
                <w:b/>
                <w:sz w:val="24"/>
                <w:szCs w:val="24"/>
              </w:rPr>
            </w:pPr>
            <w:r w:rsidRPr="00F1130D">
              <w:rPr>
                <w:rFonts w:ascii="Times New Roman" w:eastAsia="Times New Roman" w:hAnsi="Times New Roman" w:cs="Times New Roman"/>
                <w:b/>
                <w:sz w:val="24"/>
                <w:szCs w:val="24"/>
              </w:rPr>
              <w:t>Atbildīgo iestāžu līmenī</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Ekonomikas ministrijas Iekšējā audita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Būvniecības, enerģētikas un mājokļu valsts aģentūrā</w:t>
            </w:r>
          </w:p>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bCs/>
                <w:color w:val="000000"/>
                <w:sz w:val="24"/>
                <w:szCs w:val="24"/>
              </w:rPr>
            </w:pPr>
            <w:r w:rsidRPr="00F1130D">
              <w:rPr>
                <w:rFonts w:ascii="Times New Roman" w:eastAsia="Times New Roman" w:hAnsi="Times New Roman" w:cs="Times New Roman"/>
                <w:bCs/>
                <w:color w:val="000000"/>
                <w:sz w:val="24"/>
                <w:szCs w:val="24"/>
              </w:rPr>
              <w:t>Latvijas investīciju un attīstības aģentūra</w:t>
            </w:r>
          </w:p>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bCs/>
                <w:color w:val="000000"/>
                <w:sz w:val="24"/>
                <w:szCs w:val="24"/>
              </w:rPr>
              <w:t>Ekonomikas ministrija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Izglītības un Zinātnes ministrijas Iekšējā audita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Izglītības un Zinātnes ministrija</w:t>
            </w:r>
          </w:p>
        </w:tc>
      </w:tr>
      <w:tr w:rsidR="00F1130D" w:rsidRPr="00F1130D" w:rsidTr="005A52BD">
        <w:trPr>
          <w:trHeight w:val="589"/>
        </w:trPr>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Kultūras ministrijas Iekšējā audita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Kultūras ministrija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Labklājības ministrijas Iekšējā audita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Labklājības ministrija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Reģionālās attīstības un pašvaldības lietu ministrijas Audita departaments</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 xml:space="preserve">Valsts reģionālās attīstības aģentūra </w:t>
            </w:r>
          </w:p>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Reģionālās attīstības un pašvaldības lietu ministrija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Satiksmes ministrijas Iekšējā audita un kvalitātes vadības departaments</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Satiksmes ministrija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Veselības ministrijas Audita un kvalitātes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Veselības ministrija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Valsts kancelejas konsultante</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Valsts kanceleja</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Vides ministrijas Iekšējā audita departaments</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Vides ministrija</w:t>
            </w:r>
          </w:p>
        </w:tc>
      </w:tr>
      <w:tr w:rsidR="00F1130D" w:rsidRPr="00F1130D" w:rsidTr="005A52BD">
        <w:tc>
          <w:tcPr>
            <w:tcW w:w="9639" w:type="dxa"/>
            <w:gridSpan w:val="2"/>
            <w:shd w:val="clear" w:color="auto" w:fill="auto"/>
          </w:tcPr>
          <w:p w:rsidR="00F1130D" w:rsidRPr="00F1130D" w:rsidRDefault="00F1130D" w:rsidP="00F1130D">
            <w:pPr>
              <w:spacing w:after="0" w:line="240" w:lineRule="auto"/>
              <w:rPr>
                <w:rFonts w:ascii="Times New Roman" w:eastAsia="Times New Roman" w:hAnsi="Times New Roman" w:cs="Times New Roman"/>
                <w:b/>
                <w:sz w:val="24"/>
                <w:szCs w:val="24"/>
              </w:rPr>
            </w:pPr>
            <w:r w:rsidRPr="00F1130D">
              <w:rPr>
                <w:rFonts w:ascii="Times New Roman" w:eastAsia="Times New Roman" w:hAnsi="Times New Roman" w:cs="Times New Roman"/>
                <w:b/>
                <w:sz w:val="24"/>
                <w:szCs w:val="24"/>
              </w:rPr>
              <w:t xml:space="preserve">Sadarbības iestāžu līmenī: </w:t>
            </w:r>
          </w:p>
        </w:tc>
      </w:tr>
      <w:tr w:rsidR="00F1130D" w:rsidRPr="00F1130D" w:rsidTr="005A52BD">
        <w:tc>
          <w:tcPr>
            <w:tcW w:w="3871" w:type="dxa"/>
            <w:shd w:val="clear" w:color="auto" w:fill="auto"/>
          </w:tcPr>
          <w:p w:rsidR="00F1130D" w:rsidRPr="00F1130D" w:rsidRDefault="00F1130D" w:rsidP="00F1130D">
            <w:pPr>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Nodarbinātības valsts aģentūras Audita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Nodarbinātības valsts aģentūra</w:t>
            </w:r>
          </w:p>
        </w:tc>
      </w:tr>
      <w:tr w:rsidR="00F1130D" w:rsidRPr="00F1130D" w:rsidTr="005A52BD">
        <w:tc>
          <w:tcPr>
            <w:tcW w:w="3871" w:type="dxa"/>
            <w:shd w:val="clear" w:color="auto" w:fill="auto"/>
          </w:tcPr>
          <w:p w:rsidR="00F1130D" w:rsidRPr="00F1130D" w:rsidRDefault="00F1130D" w:rsidP="00F1130D">
            <w:pPr>
              <w:tabs>
                <w:tab w:val="left" w:pos="709"/>
              </w:tabs>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 xml:space="preserve">Valsts izglītības attīstības aģentūras Iekšējā audita nodaļa  </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Valsts izglītības attīstības aģentūra</w:t>
            </w:r>
          </w:p>
        </w:tc>
      </w:tr>
      <w:tr w:rsidR="00F1130D" w:rsidRPr="00F1130D" w:rsidTr="005A52BD">
        <w:tc>
          <w:tcPr>
            <w:tcW w:w="3871" w:type="dxa"/>
            <w:shd w:val="clear" w:color="auto" w:fill="auto"/>
          </w:tcPr>
          <w:p w:rsidR="00F1130D" w:rsidRPr="00F1130D" w:rsidRDefault="00F1130D" w:rsidP="00F1130D">
            <w:pPr>
              <w:tabs>
                <w:tab w:val="left" w:pos="709"/>
              </w:tabs>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Veselības ekonomikas centra Iekšējā audita 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Veselības ekonomikas centra</w:t>
            </w:r>
          </w:p>
        </w:tc>
      </w:tr>
      <w:tr w:rsidR="00F1130D" w:rsidRPr="00F1130D" w:rsidTr="005A52BD">
        <w:tc>
          <w:tcPr>
            <w:tcW w:w="3871" w:type="dxa"/>
            <w:shd w:val="clear" w:color="auto" w:fill="auto"/>
          </w:tcPr>
          <w:p w:rsidR="00F1130D" w:rsidRPr="00F1130D" w:rsidRDefault="00F1130D" w:rsidP="00F1130D">
            <w:pPr>
              <w:tabs>
                <w:tab w:val="left" w:pos="709"/>
              </w:tabs>
              <w:spacing w:after="0" w:line="240" w:lineRule="auto"/>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Sabiedrības integrācijas fonda Iekšējā audita nodaļa</w:t>
            </w:r>
          </w:p>
        </w:tc>
        <w:tc>
          <w:tcPr>
            <w:tcW w:w="5768" w:type="dxa"/>
            <w:shd w:val="clear" w:color="auto" w:fill="auto"/>
          </w:tcPr>
          <w:p w:rsidR="00F1130D" w:rsidRPr="00F1130D" w:rsidRDefault="00F1130D" w:rsidP="00F1130D">
            <w:pPr>
              <w:numPr>
                <w:ilvl w:val="0"/>
                <w:numId w:val="2"/>
              </w:numPr>
              <w:spacing w:after="0" w:line="240" w:lineRule="auto"/>
              <w:ind w:left="459" w:hanging="425"/>
              <w:jc w:val="both"/>
              <w:rPr>
                <w:rFonts w:ascii="Times New Roman" w:eastAsia="Times New Roman" w:hAnsi="Times New Roman" w:cs="Times New Roman"/>
                <w:sz w:val="24"/>
                <w:szCs w:val="24"/>
              </w:rPr>
            </w:pPr>
            <w:r w:rsidRPr="00F1130D">
              <w:rPr>
                <w:rFonts w:ascii="Times New Roman" w:eastAsia="Times New Roman" w:hAnsi="Times New Roman" w:cs="Times New Roman"/>
                <w:sz w:val="24"/>
                <w:szCs w:val="24"/>
              </w:rPr>
              <w:t>Sabiedrības integrācijas fonds</w:t>
            </w:r>
          </w:p>
        </w:tc>
      </w:tr>
    </w:tbl>
    <w:p w:rsidR="00F1130D" w:rsidRPr="00F1130D" w:rsidRDefault="00F1130D" w:rsidP="00F1130D">
      <w:pPr>
        <w:jc w:val="right"/>
        <w:rPr>
          <w:rFonts w:ascii="Times New Roman" w:eastAsia="Times New Roman" w:hAnsi="Times New Roman" w:cs="Times New Roman"/>
        </w:rPr>
      </w:pPr>
    </w:p>
    <w:p w:rsidR="00F1130D" w:rsidRPr="00165387" w:rsidRDefault="00F1130D" w:rsidP="00F1130D">
      <w:pPr>
        <w:jc w:val="right"/>
        <w:rPr>
          <w:rFonts w:ascii="Times New Roman" w:eastAsia="Times New Roman" w:hAnsi="Times New Roman" w:cs="Times New Roman"/>
          <w:sz w:val="24"/>
          <w:szCs w:val="24"/>
        </w:rPr>
      </w:pPr>
      <w:r w:rsidRPr="00F1130D">
        <w:rPr>
          <w:rFonts w:ascii="Times New Roman" w:eastAsia="Times New Roman" w:hAnsi="Times New Roman" w:cs="Times New Roman"/>
        </w:rPr>
        <w:br w:type="page"/>
      </w:r>
      <w:r w:rsidRPr="00165387">
        <w:rPr>
          <w:rFonts w:ascii="Times New Roman" w:eastAsia="Times New Roman" w:hAnsi="Times New Roman" w:cs="Times New Roman"/>
          <w:sz w:val="24"/>
          <w:szCs w:val="24"/>
        </w:rPr>
        <w:lastRenderedPageBreak/>
        <w:t>2.pielikums</w:t>
      </w:r>
    </w:p>
    <w:p w:rsidR="00F1130D" w:rsidRPr="00F1130D" w:rsidRDefault="00F1130D" w:rsidP="00F1130D">
      <w:pPr>
        <w:spacing w:after="0"/>
        <w:ind w:left="-284"/>
        <w:jc w:val="center"/>
        <w:rPr>
          <w:rFonts w:ascii="Times New Roman" w:eastAsia="Times New Roman" w:hAnsi="Times New Roman" w:cs="Times New Roman"/>
          <w:sz w:val="26"/>
          <w:szCs w:val="26"/>
        </w:rPr>
      </w:pPr>
      <w:r w:rsidRPr="00F1130D">
        <w:rPr>
          <w:rFonts w:ascii="Times New Roman" w:eastAsia="Times New Roman" w:hAnsi="Times New Roman" w:cs="Times New Roman"/>
          <w:b/>
          <w:sz w:val="26"/>
          <w:szCs w:val="26"/>
        </w:rPr>
        <w:t>Vadības un kontroles sistēmas atbilstības pamatprasības un vērtēšanas kritēriji</w:t>
      </w:r>
    </w:p>
    <w:tbl>
      <w:tblPr>
        <w:tblW w:w="985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100"/>
        <w:gridCol w:w="34"/>
        <w:gridCol w:w="4112"/>
        <w:gridCol w:w="1116"/>
        <w:gridCol w:w="1338"/>
        <w:gridCol w:w="701"/>
        <w:gridCol w:w="742"/>
      </w:tblGrid>
      <w:tr w:rsidR="00F1130D" w:rsidRPr="00F1130D" w:rsidTr="00D20609">
        <w:tc>
          <w:tcPr>
            <w:tcW w:w="709"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Nr.</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Audita programma</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 w:val="20"/>
              </w:rPr>
              <w:t>Vērtēšanas kritēriji</w:t>
            </w:r>
          </w:p>
        </w:tc>
        <w:tc>
          <w:tcPr>
            <w:tcW w:w="1116"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Vērtējums</w:t>
            </w:r>
          </w:p>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1-4</w:t>
            </w:r>
          </w:p>
        </w:tc>
        <w:tc>
          <w:tcPr>
            <w:tcW w:w="1338"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Komentārs</w:t>
            </w:r>
          </w:p>
        </w:tc>
        <w:tc>
          <w:tcPr>
            <w:tcW w:w="701"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LV</w:t>
            </w:r>
            <w:r w:rsidRPr="00F1130D">
              <w:rPr>
                <w:rFonts w:ascii="Times New Roman" w:eastAsia="Times New Roman" w:hAnsi="Times New Roman" w:cs="Times New Roman"/>
                <w:b/>
                <w:sz w:val="20"/>
                <w:vertAlign w:val="superscript"/>
              </w:rPr>
              <w:footnoteReference w:id="1"/>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EK</w:t>
            </w:r>
            <w:r w:rsidRPr="00F1130D">
              <w:rPr>
                <w:rFonts w:ascii="Times New Roman" w:eastAsia="Times New Roman" w:hAnsi="Times New Roman" w:cs="Times New Roman"/>
                <w:b/>
                <w:sz w:val="20"/>
                <w:vertAlign w:val="superscript"/>
              </w:rPr>
              <w:footnoteReference w:id="2"/>
            </w:r>
          </w:p>
        </w:tc>
      </w:tr>
      <w:tr w:rsidR="00F1130D" w:rsidRPr="00F1130D" w:rsidTr="00D20609">
        <w:trPr>
          <w:trHeight w:val="221"/>
        </w:trPr>
        <w:tc>
          <w:tcPr>
            <w:tcW w:w="709"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(2)</w:t>
            </w:r>
          </w:p>
        </w:tc>
        <w:tc>
          <w:tcPr>
            <w:tcW w:w="4112"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(3)</w:t>
            </w:r>
          </w:p>
        </w:tc>
        <w:tc>
          <w:tcPr>
            <w:tcW w:w="1116"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(4)</w:t>
            </w:r>
          </w:p>
        </w:tc>
        <w:tc>
          <w:tcPr>
            <w:tcW w:w="1338"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(5)</w:t>
            </w:r>
          </w:p>
        </w:tc>
        <w:tc>
          <w:tcPr>
            <w:tcW w:w="701"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(6)</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b/>
                <w:sz w:val="20"/>
              </w:rPr>
            </w:pPr>
            <w:r w:rsidRPr="00F1130D">
              <w:rPr>
                <w:rFonts w:ascii="Times New Roman" w:eastAsia="Times New Roman" w:hAnsi="Times New Roman" w:cs="Times New Roman"/>
                <w:b/>
                <w:sz w:val="20"/>
              </w:rPr>
              <w:t>(7)</w:t>
            </w: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rPr>
            </w:pPr>
            <w:r w:rsidRPr="00F1130D">
              <w:rPr>
                <w:rFonts w:ascii="Times New Roman" w:eastAsia="Times New Roman" w:hAnsi="Times New Roman" w:cs="Times New Roman"/>
                <w:b/>
              </w:rPr>
              <w:t>Vadošā iestāde</w:t>
            </w:r>
          </w:p>
        </w:tc>
      </w:tr>
      <w:tr w:rsidR="00F1130D" w:rsidRPr="00F1130D" w:rsidTr="00D20609">
        <w:trPr>
          <w:trHeight w:val="771"/>
        </w:trPr>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w:t>
            </w:r>
          </w:p>
        </w:tc>
        <w:tc>
          <w:tcPr>
            <w:tcW w:w="5246" w:type="dxa"/>
            <w:gridSpan w:val="3"/>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sz w:val="20"/>
              </w:rPr>
              <w:t>Pamatprasība Nr.1: Skaidri noteiktas un nodalītas funkcijas vadošajā iestādē, atbildīgajā iestādē un sadarbības iestādē, kā arī starp vadošo iestādi, atbildīgo iestādi un sadarbības iestādi.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VI 5</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Izstrādātas procedūras starpniekinstitūcijām deleģēto funkciju efektīvas izpildes uzraudzībai;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Skaidri nodefinētas un nodalītas funkcijas (organizatoriskā struktūra, indikatīvs amatu skaits, dokumentētas procedūras un rokasgrāmatas), tajā skaitā izstrādāta formāla vienošanās par vadošās iestādes funkcijām, kas deleģētas starpniekinstitūcijām;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w:t>
            </w:r>
          </w:p>
        </w:tc>
        <w:tc>
          <w:tcPr>
            <w:tcW w:w="5246" w:type="dxa"/>
            <w:gridSpan w:val="3"/>
          </w:tcPr>
          <w:p w:rsidR="00F1130D" w:rsidRPr="00F1130D" w:rsidRDefault="00F1130D" w:rsidP="00D20609">
            <w:pPr>
              <w:tabs>
                <w:tab w:val="left" w:pos="29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Nr.3: Skaidra un atbilstoša stratēģija informācijas un vadlīniju sniegšanai Eiropas Savienības fondu finansējuma saņēmējiem.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 xml:space="preserve">VI 2 </w:t>
            </w: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tc>
        <w:tc>
          <w:tcPr>
            <w:tcW w:w="4112" w:type="dxa"/>
          </w:tcPr>
          <w:p w:rsidR="00F1130D" w:rsidRPr="00F1130D" w:rsidRDefault="00F1130D" w:rsidP="00D20609">
            <w:pPr>
              <w:tabs>
                <w:tab w:val="left" w:pos="29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Izstrādātas likumdošanas prasības darbības programmas īstenošanai (t.sk. </w:t>
            </w:r>
            <w:r w:rsidRPr="00F1130D">
              <w:rPr>
                <w:rFonts w:ascii="Times New Roman" w:eastAsia="MS Mincho" w:hAnsi="Times New Roman" w:cs="Arial"/>
                <w:bCs/>
                <w:color w:val="000000"/>
                <w:sz w:val="20"/>
                <w:szCs w:val="20"/>
              </w:rPr>
              <w:t>informācija par valsts līmeņa atbilstības noteikumiem (national eligibility rules) katrai darbības programmai un aktivitātei)</w:t>
            </w:r>
            <w:r w:rsidRPr="00F1130D">
              <w:rPr>
                <w:rFonts w:ascii="Times New Roman" w:eastAsia="MS Mincho" w:hAnsi="Times New Roman" w:cs="Times New Roman"/>
                <w:bCs/>
                <w:color w:val="000000"/>
                <w:sz w:val="20"/>
                <w:szCs w:val="20"/>
              </w:rPr>
              <w:t xml:space="preserve">;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w:t>
            </w:r>
          </w:p>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8</w:t>
            </w:r>
          </w:p>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left" w:pos="29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Izstrādāta stratēģija, lai finansējuma saņēmējiem  tiktu nodrošināta pieeja nepieciešamajai informācijai un sniegtas nepieciešamās konsultācijas (bukleti, semināri, interneta mājas lapas u.c.);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 xml:space="preserve">2.2. </w:t>
            </w: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9</w:t>
            </w: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3.</w:t>
            </w:r>
          </w:p>
        </w:tc>
        <w:tc>
          <w:tcPr>
            <w:tcW w:w="5246" w:type="dxa"/>
            <w:gridSpan w:val="3"/>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color w:val="000000"/>
                <w:sz w:val="20"/>
              </w:rPr>
              <w:t>Pamatprasība Nr.6: Informācijas sistēma finansējuma uzskaitei, uzraudzībai un pārskatu sagatavošanai atbilstoši Eiropas Savienības un Latvijas Republikas normatīvajiem aktiem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3.1.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VI 4</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Ieviestas datorizētas sistēmas, kas nodrošina informācijas sniegšanu par ES fondu projektiem (izstrādātas procedūras par sistēmas uzturēšanu, datu aizsardzību un datu savietojamību, kā arī sistēma nodrošina Regulas Nr. 1828/2006 III pielikumā prasītās informācijas sniegšanu);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4.1.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4.</w:t>
            </w:r>
          </w:p>
        </w:tc>
        <w:tc>
          <w:tcPr>
            <w:tcW w:w="5246" w:type="dxa"/>
            <w:gridSpan w:val="3"/>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Nr.7: Tiek piemēroti nepieciešamie pasākumi sistemātisko problēmu novēršanai un labošanai.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4.1.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VI 3</w:t>
            </w: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Izstrādātas procedūras, kas nodrošina audita struktūrvienību (atbilstoši Regulas Nr.1083/2006 62. pantam) veikto auditu rezultātu izskatīšanu un ieteikumu izpildes termiņu pārbaudi, kā arī to dokumentēšanu;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3.1.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4.2.</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VI 3</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Izstrādātas procedūras, kas nodrošina preventīvo un koriģējošo pasākumu īstenošanu gadījumos, kad konstatētas sistemātiskas kļūdas;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3.2.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23</w:t>
            </w: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Cs w:val="24"/>
              </w:rPr>
              <w:t>Sertifikācijas iestāde</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bCs/>
                <w:sz w:val="20"/>
                <w:lang w:eastAsia="lv-LV"/>
              </w:rPr>
              <w:lastRenderedPageBreak/>
              <w:t>5.</w:t>
            </w:r>
          </w:p>
        </w:tc>
        <w:tc>
          <w:tcPr>
            <w:tcW w:w="5246" w:type="dxa"/>
            <w:gridSpan w:val="3"/>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Nr.1: Skaidri definētas un nodalītas funkcijas sertifikācijas iestādē, kā arī starp sertifikācijas iestādi, maksājumu iestādi, atbildīgo iestādi un sadarbības iestādi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5.1.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SEI 1</w:t>
            </w: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nodalītas funkcijas sertifikācijas iestādē, kā arī starp sertifikācijas iestādi, maksājumu iestādi, atbildīgo iestādi un sadarbības iestādi;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24</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5.2.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Skaidri nodefinētas un nodalītas funkcijas (organizatoriskā struktūra, indikatīvs amatu skaits, dokumentētas procedūras un rokasgrāmatas);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bCs/>
                <w:sz w:val="20"/>
                <w:lang w:eastAsia="lv-LV"/>
              </w:rPr>
              <w:t>6.</w:t>
            </w:r>
          </w:p>
        </w:tc>
        <w:tc>
          <w:tcPr>
            <w:tcW w:w="5246" w:type="dxa"/>
            <w:gridSpan w:val="3"/>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Nr.2: Skaidra un izsekojama dokumentācija un informācijas sistēma pierādījumiem par sertificēto izdevumu uzskaiti atbilstoši Eiropas Savienības un Latvijas Republikas normatīvajiem aktiem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6.1.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SEI 1</w:t>
            </w: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saglabāti datorizēti grāmatvedības ieraksti par Eiropas Komisijai deklarētajiem izdevumiem;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13.1.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27</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6.2.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Revīzijas liecības sertifikācijas iestādē nodrošina Eiropas Komisijai deklarēto izdevumu sakritību ar  izdevumiem, kas norādīti starpniekinstitūciju sagatavotajās izdevumu deklarācijās;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13.2.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28</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bCs/>
                <w:sz w:val="20"/>
                <w:lang w:eastAsia="lv-LV"/>
              </w:rPr>
              <w:t>7.</w:t>
            </w:r>
          </w:p>
        </w:tc>
        <w:tc>
          <w:tcPr>
            <w:tcW w:w="5246" w:type="dxa"/>
            <w:gridSpan w:val="3"/>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Nr.3: Procedūra izdevumu sertificēšanai atbilstoši Eiropas Savienības un Latvijas Republikas normatīvajiem aktiem</w:t>
            </w:r>
            <w:r w:rsidRPr="00F1130D">
              <w:rPr>
                <w:rFonts w:ascii="Times New Roman" w:eastAsia="MS Mincho" w:hAnsi="Times New Roman" w:cs="Times New Roman"/>
                <w:bCs/>
                <w:color w:val="000000"/>
                <w:sz w:val="20"/>
                <w:szCs w:val="20"/>
                <w:vertAlign w:val="superscript"/>
              </w:rPr>
              <w:t xml:space="preserve"> </w:t>
            </w:r>
            <w:r w:rsidRPr="00F1130D">
              <w:rPr>
                <w:rFonts w:ascii="Times New Roman" w:eastAsia="MS Mincho" w:hAnsi="Times New Roman" w:cs="Arial"/>
                <w:bCs/>
                <w:color w:val="000000"/>
                <w:sz w:val="20"/>
                <w:szCs w:val="20"/>
              </w:rPr>
              <w:t>un procedūras ievērošana</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SEI 1</w:t>
            </w: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Sertifikācijas iestāde ir izstrādājusi procedūras, kas nodrošina regulāru informācijas saņemšanu no starpniek-institūcijām par procedūrām un pārbaudēm, kas veiktas saistībā ar izdevumu deklarācijās iekļautajiem izdevumiem;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29</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Veicot izdevumu apstiprināšanu, sertifikācijas iestāde ir izskatījusi no vadošās iestādes/ starpniekinstitūcijām saņemtos ziņojumus par Eiropas Savienības fondu kontroli, kā arī veikusi šī procesa dokumentēšanu;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30</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Ir izskatīti visu auditu rezultāti, kas veikti saskaņā ar Regulas Nr. 1083/2006 62. pantu, un dokumentēts izskatīšanas process;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7.4.</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Apstiprinot izdevumu likumību un pareizību, ir ņemti vērā visu iepriekš minēto pārbaužu rezultāti;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7.5.</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Sertifikācijas iestāde ir veikusi maksājuma pieprasījumu aritmētisko pārbaudi;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14.5.</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33</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bCs/>
                <w:sz w:val="20"/>
                <w:lang w:eastAsia="lv-LV"/>
              </w:rPr>
              <w:t>8.</w:t>
            </w:r>
          </w:p>
        </w:tc>
        <w:tc>
          <w:tcPr>
            <w:tcW w:w="5246" w:type="dxa"/>
            <w:gridSpan w:val="3"/>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Nr.4: Procedūra nepamatoti veikto maksājumu uzskaitei un to atgūšanai atbilstoši Eiropas Savienības un Latvijas Republikas normatīvajiem aktiem</w:t>
            </w:r>
            <w:r w:rsidRPr="00F1130D">
              <w:rPr>
                <w:rFonts w:ascii="Times New Roman" w:eastAsia="MS Mincho" w:hAnsi="Times New Roman" w:cs="Times New Roman"/>
                <w:bCs/>
                <w:color w:val="000000"/>
                <w:sz w:val="20"/>
                <w:szCs w:val="20"/>
                <w:vertAlign w:val="superscript"/>
              </w:rPr>
              <w:t xml:space="preserve"> </w:t>
            </w:r>
            <w:r w:rsidRPr="00F1130D">
              <w:rPr>
                <w:rFonts w:ascii="Times New Roman" w:eastAsia="MS Mincho" w:hAnsi="Times New Roman" w:cs="Arial"/>
                <w:bCs/>
                <w:color w:val="000000"/>
                <w:sz w:val="20"/>
                <w:szCs w:val="20"/>
              </w:rPr>
              <w:t>un procedūras ievērošana</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SEI 2</w:t>
            </w: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nodrošināta atgūstamo summu un summu, kas atsauktas pēc visa darbības atbalsta vai tā daļas atcelšanas, uzskaite; atgūtajām summām jābūt atmaksātām pirms darbības programmas slēgšanas, atņemot tās no nākamās izdevumu deklarācijas;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34</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No 2008. gada reizi gadā līdz 31. martam sertifikācijas iestāde nosūta paziņojumu Eiropas Komisijai, kas sagatavots atbilstoši Regulas Nr. 1828 XI pielikumam;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35</w:t>
            </w: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Cs w:val="24"/>
              </w:rPr>
              <w:t>Maksājumu iestāde</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9.</w:t>
            </w:r>
          </w:p>
        </w:tc>
        <w:tc>
          <w:tcPr>
            <w:tcW w:w="5246" w:type="dxa"/>
            <w:gridSpan w:val="3"/>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Nr.1: Skaidri definētas un nodalītas funkcijas maksājumu iestādē, kā arī starp maksājumu iestādi, sertifikācijas iestādi, atbildīgo iestādi un sadarbības iestādi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lastRenderedPageBreak/>
              <w:t>9.1.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MI 1</w:t>
            </w: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nodalītas funkcijas maksājumu iestādē, kā arī starp maksājumu iestādi, sertifikācijas iestādi, atbildīgo iestādi un sadarbības iestādi;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16.1.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24</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9.2.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Skaidri nodefinētas un nodalītas funkcijas (organizatoriskā struktūra, indikatīvs amatu skaits, dokumentētas procedūras un rokasgrāmatas);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16.2.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10.</w:t>
            </w:r>
          </w:p>
        </w:tc>
        <w:tc>
          <w:tcPr>
            <w:tcW w:w="5246" w:type="dxa"/>
            <w:gridSpan w:val="3"/>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Nr.2: Skaidra un izsekojama dokumentācija un informācijas sistēma pierādījumiem par maksājumu uzskaiti atbilstoši Eiropas Savienības un Latvijas Republikas normatīvajiem aktiem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highlight w:val="yellow"/>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10.1.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MI 1</w:t>
            </w:r>
          </w:p>
        </w:tc>
        <w:tc>
          <w:tcPr>
            <w:tcW w:w="4112" w:type="dxa"/>
          </w:tcPr>
          <w:p w:rsidR="00F1130D" w:rsidRPr="00F1130D" w:rsidRDefault="00F1130D" w:rsidP="00D20609">
            <w:pPr>
              <w:tabs>
                <w:tab w:val="num" w:pos="400"/>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Tiek nodrošināta maksājumu pieprasījumu pārbaudes dokumentācija;</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17.1.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28</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10.2.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color w:val="000000"/>
                <w:sz w:val="20"/>
              </w:rPr>
              <w:t xml:space="preserve">Pastāv datorizēta veikto maksājumu finanšu uzskaite;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17.2.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27</w:t>
            </w: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Cs w:val="24"/>
              </w:rPr>
              <w:t>Starpniekinstitūcijas (Atbildīgās iestādes, Sadarbības iestādes)</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sz w:val="20"/>
                <w:szCs w:val="20"/>
              </w:rPr>
              <w:t>Pamatprasība Nr.1: Skaidri noteiktas un nodalītas funkcijas vadošajā iestādē, atbildīgajā iestādē un sadarbības iestādē, kā arī starp vadošo iestādi, atbildīgo iestādi un sadarbības iestādi.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9</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Arial"/>
                <w:bCs/>
                <w:sz w:val="20"/>
                <w:szCs w:val="20"/>
              </w:rPr>
            </w:pPr>
            <w:r w:rsidRPr="00F1130D">
              <w:rPr>
                <w:rFonts w:ascii="Times New Roman" w:eastAsia="MS Mincho" w:hAnsi="Times New Roman" w:cs="Times New Roman"/>
                <w:bCs/>
                <w:color w:val="000000"/>
                <w:sz w:val="20"/>
                <w:szCs w:val="20"/>
              </w:rPr>
              <w:t xml:space="preserve">Tiek nodalītas funkcijas atbildīgajā iestādē un sadarbības iestādē, kā arī starp atbildīgo iestādi, sadarbības iestādi un vadošo iestādi;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5.1.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Skaidri nodefinētas un nodalītas funkcijas (organizatoriskā struktūra, indikatīvs amatu skaits, dokumentētas procedūras un rokasgrāmatas), tajā skaitā izstrādāta formāla vienošanās par vadošās iestādes funkcijām, kas deleģētas starpniekinstitūcijām;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5.2.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bCs/>
                <w:sz w:val="20"/>
                <w:lang w:eastAsia="lv-LV"/>
              </w:rPr>
              <w:t>12.</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sz w:val="20"/>
                <w:szCs w:val="20"/>
              </w:rPr>
              <w:t>Pamatprasība Nr.2: Izstrādāta procedūra projektu pieteikumu atlasei atbilstoši Eiropas Savienības un Latvijas Republikas normatīvajiem aktiem Eiropas Savienības fondu vadības jomā un procedūras ievērošana;</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1</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Pieteikumu uzaicinājumi ir publicēti (saskaņā ar darbības programmas mērķiem pieteikumu uzaicinājumos jānorāda skaidrs atlases procesa apraksts un finansējuma saņēmēju tiesības un pienākumi);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6.1.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Visi saņemtie projektu iesniegumi ir dokumentēti (projektu iesniegumi jāreģistrē to saņemšanas brīdī, sniedzot pieteikumu pieņemšanas apliecinājumu iesniedzējiem, un jādokumentē katra pieteikuma apstiprināšanas statuss); </w:t>
            </w:r>
          </w:p>
          <w:p w:rsidR="00F1130D" w:rsidRPr="00F1130D" w:rsidRDefault="00F1130D" w:rsidP="00D20609">
            <w:pPr>
              <w:spacing w:after="0" w:line="240" w:lineRule="auto"/>
              <w:jc w:val="both"/>
              <w:rPr>
                <w:rFonts w:ascii="Times New Roman" w:eastAsia="Times New Roman" w:hAnsi="Times New Roman" w:cs="Times New Roman"/>
                <w:sz w:val="20"/>
              </w:rPr>
            </w:pP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6.2.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12.3.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Arial"/>
                <w:bCs/>
                <w:sz w:val="20"/>
                <w:szCs w:val="20"/>
              </w:rPr>
            </w:pPr>
            <w:r w:rsidRPr="00F1130D">
              <w:rPr>
                <w:rFonts w:ascii="Times New Roman" w:eastAsia="MS Mincho" w:hAnsi="Times New Roman" w:cs="Times New Roman"/>
                <w:bCs/>
                <w:color w:val="000000"/>
                <w:sz w:val="20"/>
                <w:szCs w:val="20"/>
              </w:rPr>
              <w:t xml:space="preserve">Visi pieteikumi ir vērtēti pēc atbilstošiem vērtēšanas kritērijiem (vērtēšanas procesam jābūt nemainīgam, vērtēšanas kritērijiem jābūt apstiprinātiem Uzraudzības komitejā un jāatbilst pieteikumu uzaicinājumos norādītajiem kritērijiem, rezultātiem jābūt dokumentētiem, jābūt izvērtētai pieteikumu būtībai, kā arī finansējuma saņēmēju finansiālajām, administratīvajām un operatīvajām spējām, lai izpildītu finansējuma saņemšanas prasības);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6.3.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5</w:t>
            </w:r>
          </w:p>
        </w:tc>
      </w:tr>
      <w:tr w:rsidR="00F1130D" w:rsidRPr="00F1130D" w:rsidTr="00D20609">
        <w:trPr>
          <w:trHeight w:val="2331"/>
        </w:trPr>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lastRenderedPageBreak/>
              <w:t>12.4.</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Lēmumi par projektu iesniegumu apstiprināšanu vai noraidīšanu ir paziņoti pieteikumu iesniedzējiem (lēmums jāpieņem pilnvarotai personai/ struktūrvienībai, rezultāti jāpaziņo rakstiski, skaidri norādot projekta iesniegumu pieņemšanas vai noraidīšanas iemeslus, kā arī pieņemtie lēmumi jāpublicē);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6.4.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13.</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Nr.3: Skaidra un atbilstoša stratēģija informācijas un vadlīniju sniegšanai Eiropas Savienības fondu finansējuma saņēmējiem.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13.1.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10, SI 1</w:t>
            </w: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VI/SI 6</w:t>
            </w:r>
          </w:p>
          <w:p w:rsidR="00F1130D" w:rsidRPr="00F1130D" w:rsidRDefault="00F1130D" w:rsidP="00D20609">
            <w:pPr>
              <w:spacing w:after="0" w:line="240" w:lineRule="auto"/>
              <w:ind w:left="-108"/>
              <w:jc w:val="center"/>
              <w:rPr>
                <w:rFonts w:ascii="Times New Roman" w:eastAsia="Times New Roman" w:hAnsi="Times New Roman" w:cs="Times New Roman"/>
                <w:sz w:val="20"/>
              </w:rPr>
            </w:pPr>
            <w:r w:rsidRPr="00F1130D">
              <w:rPr>
                <w:rFonts w:ascii="Times New Roman" w:eastAsia="Times New Roman" w:hAnsi="Times New Roman" w:cs="Times New Roman"/>
                <w:sz w:val="20"/>
              </w:rPr>
              <w:t>(iepirkums)</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Pastāv efektīva komunikācija ar finansējuma saņēmējiem par to tiesībām un pienākumiem, darbības programmai atbilstošajām Latvijas Republikas un Eiropas Savienības likumdošanas prasībām, specifiskajiem nosacījumiem attiecībā uz projektā paredzamajiem produktiem vai pakalpojumiem, finansēšanas plānu, projekta īstenošanas laika ierobežojumiem, atsevišķas grāmatvedības sistēmas vai atbilstoša grāmatvedības koda uzturēšanas nepieciešamību un nepieciešamās informācijas uzglabāšanu un komunikāciju; finansējuma saņēmējiem skaidri noteiktas informācijas un publicitātes prasības.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7.1.</w:t>
            </w: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7.1. (daļa)</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7</w:t>
            </w: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 xml:space="preserve">7. </w:t>
            </w:r>
          </w:p>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(daļa)</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13.2.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Izstrādāta stratēģija, lai finansējuma saņēmējiem  tiktu nodrošināta pieeja nepieciešamajai informācijai un sniegtas nepieciešamās konsultācijas (bukleti, semināri, interneta mājas lapas u.c.);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7.2.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9</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Nr.4: Procedūras projektu vadības uzraudzībai atbilstoši Eiropas Savienības un Latvijas Republikas normatīvajiem aktiem</w:t>
            </w:r>
            <w:r w:rsidRPr="00F1130D">
              <w:rPr>
                <w:rFonts w:ascii="Times New Roman" w:eastAsia="MS Mincho" w:hAnsi="Times New Roman" w:cs="Times New Roman"/>
                <w:bCs/>
                <w:color w:val="000000"/>
                <w:sz w:val="20"/>
                <w:szCs w:val="20"/>
                <w:vertAlign w:val="superscript"/>
              </w:rPr>
              <w:t xml:space="preserve"> </w:t>
            </w:r>
            <w:r w:rsidRPr="00F1130D">
              <w:rPr>
                <w:rFonts w:ascii="Times New Roman" w:eastAsia="MS Mincho" w:hAnsi="Times New Roman" w:cs="Arial"/>
                <w:bCs/>
                <w:color w:val="000000"/>
                <w:sz w:val="20"/>
                <w:szCs w:val="20"/>
              </w:rPr>
              <w:t xml:space="preserve"> un procedūru ievērošana</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14.1.</w:t>
            </w:r>
          </w:p>
        </w:tc>
        <w:tc>
          <w:tcPr>
            <w:tcW w:w="1100"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6</w:t>
            </w: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VI/SI 6</w:t>
            </w:r>
          </w:p>
          <w:p w:rsidR="00F1130D" w:rsidRPr="00F1130D" w:rsidRDefault="00F1130D" w:rsidP="00D20609">
            <w:pPr>
              <w:spacing w:after="0" w:line="240" w:lineRule="auto"/>
              <w:ind w:right="-108"/>
              <w:jc w:val="center"/>
              <w:rPr>
                <w:rFonts w:ascii="Times New Roman" w:eastAsia="Times New Roman" w:hAnsi="Times New Roman" w:cs="Times New Roman"/>
                <w:sz w:val="20"/>
              </w:rPr>
            </w:pPr>
            <w:r w:rsidRPr="00F1130D">
              <w:rPr>
                <w:rFonts w:ascii="Times New Roman" w:eastAsia="Times New Roman" w:hAnsi="Times New Roman" w:cs="Times New Roman"/>
                <w:sz w:val="20"/>
              </w:rPr>
              <w:t>(iepirkums)</w:t>
            </w:r>
          </w:p>
          <w:p w:rsidR="00F1130D" w:rsidRPr="00F1130D" w:rsidRDefault="00F1130D" w:rsidP="00D20609">
            <w:pPr>
              <w:spacing w:after="0" w:line="240" w:lineRule="auto"/>
              <w:jc w:val="center"/>
              <w:rPr>
                <w:rFonts w:ascii="Times New Roman" w:eastAsia="Times New Roman" w:hAnsi="Times New Roman" w:cs="Times New Roman"/>
                <w:sz w:val="20"/>
              </w:rPr>
            </w:pPr>
          </w:p>
        </w:tc>
        <w:tc>
          <w:tcPr>
            <w:tcW w:w="4146" w:type="dxa"/>
            <w:gridSpan w:val="2"/>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Izstrādātas rakstiskas procedūras un visaptverošas pārbaudes lapas neatbilstību identificēšanai, ietverot šādus pārbaudes aspektus:</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maksājuma pieprasījuma pareizība;</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izdevumu attiecināšanas periods;</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atbilstība apstiprinātajam projektam;</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atbilstība apstiprinātajai finansēšanas likmei (kur nepieciešams);</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atbilstība attiecīgām Latvijas Republikas un Eiropas Savienības likumdošanas normām par publisko iepirkumu, valsts palīdzību, vidi, publicitāti un līdztiesību;</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projekta īstenošanas process, tajā skaitā projekta īstenošanas atbilstība līguma par finansējuma piešķiršanu  nosacījumiem;</w:t>
            </w:r>
          </w:p>
          <w:p w:rsidR="00F1130D" w:rsidRPr="00F1130D" w:rsidRDefault="00F1130D" w:rsidP="00D20609">
            <w:pPr>
              <w:numPr>
                <w:ilvl w:val="0"/>
                <w:numId w:val="1"/>
              </w:numPr>
              <w:tabs>
                <w:tab w:val="clear" w:pos="1800"/>
              </w:tabs>
              <w:overflowPunct w:val="0"/>
              <w:autoSpaceDE w:val="0"/>
              <w:autoSpaceDN w:val="0"/>
              <w:adjustRightInd w:val="0"/>
              <w:spacing w:after="0" w:line="240" w:lineRule="auto"/>
              <w:ind w:left="352" w:hanging="142"/>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deklarētie izdevumi un tos pamatojošie dokumenti;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8.1.</w:t>
            </w: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p>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8.1. (daļa)</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10</w:t>
            </w: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p>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10 (daļa)</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14.2.</w:t>
            </w:r>
          </w:p>
        </w:tc>
        <w:tc>
          <w:tcPr>
            <w:tcW w:w="1100"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5</w:t>
            </w:r>
          </w:p>
        </w:tc>
        <w:tc>
          <w:tcPr>
            <w:tcW w:w="4146" w:type="dxa"/>
            <w:gridSpan w:val="2"/>
          </w:tcPr>
          <w:p w:rsidR="00F1130D" w:rsidRPr="00F1130D" w:rsidRDefault="00F1130D" w:rsidP="00D20609">
            <w:pPr>
              <w:tabs>
                <w:tab w:val="num" w:pos="290"/>
                <w:tab w:val="num" w:pos="1080"/>
                <w:tab w:val="num" w:pos="180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Izdevumu deklarācijas administratīvās pārbaudes ir veiktas pirms izdevumu sertificēšanas;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14.3.</w:t>
            </w:r>
          </w:p>
        </w:tc>
        <w:tc>
          <w:tcPr>
            <w:tcW w:w="1100"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4</w:t>
            </w:r>
          </w:p>
        </w:tc>
        <w:tc>
          <w:tcPr>
            <w:tcW w:w="4146" w:type="dxa"/>
            <w:gridSpan w:val="2"/>
          </w:tcPr>
          <w:p w:rsidR="00F1130D" w:rsidRPr="00F1130D" w:rsidRDefault="00F1130D" w:rsidP="00D20609">
            <w:pPr>
              <w:tabs>
                <w:tab w:val="num" w:pos="290"/>
                <w:tab w:val="num" w:pos="1080"/>
                <w:tab w:val="num" w:pos="180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Ir veiktas visu finansējuma saņēmēju iesniegto maksājuma pieprasījumu un tos pamatojošo dokumentu administratīvās pārbaudes;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14.4.</w:t>
            </w:r>
          </w:p>
        </w:tc>
        <w:tc>
          <w:tcPr>
            <w:tcW w:w="1100"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2, SI 3, SI 4, SI 7</w:t>
            </w:r>
          </w:p>
        </w:tc>
        <w:tc>
          <w:tcPr>
            <w:tcW w:w="4146" w:type="dxa"/>
            <w:gridSpan w:val="2"/>
          </w:tcPr>
          <w:p w:rsidR="00F1130D" w:rsidRPr="00F1130D" w:rsidRDefault="00F1130D" w:rsidP="00D20609">
            <w:pPr>
              <w:tabs>
                <w:tab w:val="num" w:pos="290"/>
                <w:tab w:val="num" w:pos="1080"/>
                <w:tab w:val="num" w:pos="180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Dati par veiktajām administratīvajām pārbaudēm un pārbaudēm projektu īstenošanas vietās, to rezultātiem un atklāto nepilnību novēršanu tiek dokumentēti un uzglabāti;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8.5.</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14</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lastRenderedPageBreak/>
              <w:t>14.5.</w:t>
            </w:r>
          </w:p>
        </w:tc>
        <w:tc>
          <w:tcPr>
            <w:tcW w:w="1100" w:type="dxa"/>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3</w:t>
            </w:r>
          </w:p>
          <w:p w:rsidR="00F1130D" w:rsidRPr="00F1130D" w:rsidRDefault="00F1130D" w:rsidP="00D20609">
            <w:pPr>
              <w:spacing w:after="0" w:line="240" w:lineRule="auto"/>
              <w:jc w:val="center"/>
              <w:rPr>
                <w:rFonts w:ascii="Times New Roman" w:eastAsia="Times New Roman" w:hAnsi="Times New Roman" w:cs="Times New Roman"/>
                <w:sz w:val="20"/>
              </w:rPr>
            </w:pPr>
          </w:p>
        </w:tc>
        <w:tc>
          <w:tcPr>
            <w:tcW w:w="4146" w:type="dxa"/>
            <w:gridSpan w:val="2"/>
          </w:tcPr>
          <w:p w:rsidR="00F1130D" w:rsidRPr="00F1130D" w:rsidRDefault="00F1130D" w:rsidP="00D20609">
            <w:pPr>
              <w:tabs>
                <w:tab w:val="num" w:pos="290"/>
                <w:tab w:val="num" w:pos="1080"/>
                <w:tab w:val="num" w:pos="180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Pārbaudes projektu īstenošanas vietās veiktas projektu īstenošanas laikā, kad konstatējams projekta īstenošanas fiziskais un finansiālais progress;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13</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14.6.</w:t>
            </w:r>
          </w:p>
        </w:tc>
        <w:tc>
          <w:tcPr>
            <w:tcW w:w="1100" w:type="dxa"/>
            <w:vMerge/>
          </w:tcPr>
          <w:p w:rsidR="00F1130D" w:rsidRPr="00F1130D" w:rsidRDefault="00F1130D" w:rsidP="00D20609">
            <w:pPr>
              <w:spacing w:after="0" w:line="240" w:lineRule="auto"/>
              <w:jc w:val="center"/>
              <w:rPr>
                <w:rFonts w:ascii="Times New Roman" w:eastAsia="Times New Roman" w:hAnsi="Times New Roman" w:cs="Times New Roman"/>
                <w:sz w:val="20"/>
              </w:rPr>
            </w:pPr>
          </w:p>
        </w:tc>
        <w:tc>
          <w:tcPr>
            <w:tcW w:w="4146" w:type="dxa"/>
            <w:gridSpan w:val="2"/>
          </w:tcPr>
          <w:p w:rsidR="00F1130D" w:rsidRPr="00F1130D" w:rsidRDefault="00F1130D" w:rsidP="00D20609">
            <w:pPr>
              <w:tabs>
                <w:tab w:val="num" w:pos="290"/>
                <w:tab w:val="num" w:pos="1080"/>
                <w:tab w:val="num" w:pos="180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Gadījumos, kad pārbaudes projektu īstenošanas vietās netiek veiktas 100% visiem projektiem, ir pamatota izlases metodes lietošana pārbaudēs, kas balstīta uz atbilstošu projektu risku novērtējumu; ir dokumentēti secinājumi par veiktajām pārbaudēm un pārbaužu laikā atklātajām neatbilstībām;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8.6.</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15</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14.7.</w:t>
            </w:r>
          </w:p>
        </w:tc>
        <w:tc>
          <w:tcPr>
            <w:tcW w:w="1100"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9</w:t>
            </w:r>
          </w:p>
        </w:tc>
        <w:tc>
          <w:tcPr>
            <w:tcW w:w="4146" w:type="dxa"/>
            <w:gridSpan w:val="2"/>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Izstrādātas procedūras, kas nodrošina, ka dati par veiktajām pārbaudēm tiek nodoti sertifikācijas iestādei izdevumu sertificēšanai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8.7.</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Nr.5: Skaidra un izsekojama dokumentācija pierādījumiem par Eiropas Savienības fondu vadību atbilstoši Eiropas Savienības un Latvijas Republikas normatīvajiem aktiem.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9</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uzkrāti detalizēti grāmatvedības dati par visām izmaksām, kas radušās finansējuma saņēmējiem, īstenojot projektu; grāmatvedības sistēma nodrošina maksājumu attaisnojošo dokumentu sasaisti ar finansējuma saņēmēju un iesaistītajām institūcijām;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9.1.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17</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15.2.</w:t>
            </w:r>
          </w:p>
        </w:tc>
        <w:tc>
          <w:tcPr>
            <w:tcW w:w="1134" w:type="dxa"/>
            <w:gridSpan w:val="2"/>
            <w:vMerge/>
          </w:tcPr>
          <w:p w:rsidR="00F1130D" w:rsidRPr="00F1130D" w:rsidRDefault="00F1130D" w:rsidP="00D20609">
            <w:pPr>
              <w:spacing w:after="0" w:line="240" w:lineRule="auto"/>
              <w:jc w:val="center"/>
              <w:rPr>
                <w:rFonts w:ascii="Times New Roman" w:eastAsia="Times New Roman" w:hAnsi="Times New Roman" w:cs="Times New Roman"/>
                <w:sz w:val="20"/>
              </w:rPr>
            </w:pP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nodrošināta visas ar projektiem saistošās dokumentācijas uzkrāšana: projekta tehniskā specifikācija un finansēšanas plāns, progresa pārskati, uzraudzības ziņojumi, konkursu izsludināšanas, projektu iesniegumu pieņemšanas, vērtēšanas, atlases, lēmuma pieņemšanas un līgumu slēgšanas dokumentācija, kā arī ziņojumi par veiktajām pārbaudēm projektu īstenošanas vietās;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9.2.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18</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15.3.</w:t>
            </w:r>
          </w:p>
        </w:tc>
        <w:tc>
          <w:tcPr>
            <w:tcW w:w="1134" w:type="dxa"/>
            <w:gridSpan w:val="2"/>
            <w:vMerge/>
          </w:tcPr>
          <w:p w:rsidR="00F1130D" w:rsidRPr="00F1130D" w:rsidRDefault="00F1130D" w:rsidP="00D20609">
            <w:pPr>
              <w:spacing w:after="0" w:line="240" w:lineRule="auto"/>
              <w:jc w:val="center"/>
              <w:rPr>
                <w:rFonts w:ascii="Times New Roman" w:eastAsia="Times New Roman" w:hAnsi="Times New Roman" w:cs="Times New Roman"/>
                <w:sz w:val="20"/>
                <w:highlight w:val="yellow"/>
              </w:rPr>
            </w:pP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Calibri" w:hAnsi="Times New Roman" w:cs="Times New Roman"/>
                <w:bCs/>
                <w:sz w:val="20"/>
                <w:szCs w:val="20"/>
                <w:highlight w:val="yellow"/>
              </w:rPr>
            </w:pPr>
            <w:r w:rsidRPr="00F1130D">
              <w:rPr>
                <w:rFonts w:ascii="Times New Roman" w:eastAsia="MS Mincho" w:hAnsi="Times New Roman" w:cs="Times New Roman"/>
                <w:bCs/>
                <w:color w:val="000000"/>
                <w:sz w:val="20"/>
                <w:szCs w:val="20"/>
              </w:rPr>
              <w:t xml:space="preserve">Izstrādātas procedūras, kas nodrošina visu dokumentu uzkrāšanu atbilstoši Regulas Nr.1083/2006 90. pantam, kas nepieciešami pietiekamu revīzijas liecību sniegšanai;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9.4.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20</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15.4.</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SI3</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nodrošināts, ka finansējuma saņēmēji uztur vai nu atsevišķu grāmatvedības sistēmu, vai arī atsevišķu grāmatvedības kodu visiem darījumiem, kas attiecas uz ES fondu atbalstu, lai nodrošinātu atbilstošu to izdevumu grupēšanu, kas tikai daļēji attiecas uz līdzfinansētajām darbībām, un kas uzskatāmi par attiecināmiem noteiktās robežās vai proporcionāli pret citām izmaksām;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9.3.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19</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16.</w:t>
            </w:r>
          </w:p>
        </w:tc>
        <w:tc>
          <w:tcPr>
            <w:tcW w:w="5246" w:type="dxa"/>
            <w:gridSpan w:val="3"/>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color w:val="000000"/>
                <w:sz w:val="20"/>
              </w:rPr>
              <w:t>Pamatprasība Nr.6: Informācijas sistēma finansējuma uzskaitei, uzraudzībai un pārskatu sagatavošanai atbilstoši Eiropas Savienības un Latvijas Republikas normatīvajiem aktiem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16.1.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8</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Ieviestas datorizētas sistēmas, kas nodrošina informācijas sniegšanu (izstrādātas procedūras par sistēmas uzturēšanu, datu aizsardzību un datu savietojamību, kā arī sistēma nodrošina Regulas Nr.1828/2006 III pielikumā prasītās informācijas sniegšanu);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10.1.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17.</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Nr.7: Tiek piemēroti nepieciešamie pasākumi sistemātisko problēmu novēršanai un labošanai.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17.1.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SI 9</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Izstrādātas procedūras, kas nodrošina atbilstošu audita struktūrvienību (atbilstoši Regulas Nr.1083/2006 62. pantam) veikto auditu rezultātu izskatīšanu un ieteikumu izpildes </w:t>
            </w:r>
            <w:r w:rsidRPr="00F1130D">
              <w:rPr>
                <w:rFonts w:ascii="Times New Roman" w:eastAsia="MS Mincho" w:hAnsi="Times New Roman" w:cs="Times New Roman"/>
                <w:bCs/>
                <w:color w:val="000000"/>
                <w:sz w:val="20"/>
                <w:szCs w:val="20"/>
              </w:rPr>
              <w:lastRenderedPageBreak/>
              <w:t>termiņu pārbaudi, kā arī to dokumentēšanu;</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lastRenderedPageBreak/>
              <w:t>17.2.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Izstrādātas procedūras, kas nodrošina preventīvo un koriģējošo pasākumu īstenošanu gadījumos, kad konstatētas sistemātiskas kļūdas;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11.2.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23</w:t>
            </w: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Cs w:val="24"/>
              </w:rPr>
              <w:t>Iepirkumu uzraudzības birojs</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18.</w:t>
            </w:r>
          </w:p>
        </w:tc>
        <w:tc>
          <w:tcPr>
            <w:tcW w:w="5246" w:type="dxa"/>
            <w:gridSpan w:val="3"/>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sz w:val="20"/>
              </w:rPr>
              <w:t>Pamatprasība Nr.1: Skaidri definētas un nodalītas funkcijas Iepirkumu uzraudzības birojā</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18.1.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IUB 2</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Skaidri nodefinētas un nodalītas funkcijas Iepirkumu uzraudzības birojā (organizatoriskā struktūra, indikatīvs amatu skaits, dokumentētas procedūras un rokasgrāmatas);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18.1.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Nr.4: Procedūra iepirkuma dokumentācijas un iepirkuma procedūras norises izlases veida pirmspārbaudei atbilstoši Eiropas Savienības un Latvijas Republikas normatīvajiem aktiem un procedūras ievērošana</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IUB 1</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Pamatota un skaidra izlases kopa;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Definēts pārbaudes rezultāta juridiskais statuss;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Izstrādāta detalizēta procedūra pārbaužu veikšanai;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19.3.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20.</w:t>
            </w:r>
          </w:p>
        </w:tc>
        <w:tc>
          <w:tcPr>
            <w:tcW w:w="5246" w:type="dxa"/>
            <w:gridSpan w:val="3"/>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Nr.5: Skaidra un izsekojama dokumentācija pierādījumiem par Eiropas Savienības fondu vadību atbilstoši Eiropas Savienības un Latvijas Republikas normatīvajiem aktiem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20.1.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IUB 1</w:t>
            </w:r>
          </w:p>
        </w:tc>
        <w:tc>
          <w:tcPr>
            <w:tcW w:w="4112" w:type="dxa"/>
          </w:tcPr>
          <w:p w:rsidR="00F1130D" w:rsidRPr="00F1130D" w:rsidRDefault="00F1130D" w:rsidP="00D20609">
            <w:pPr>
              <w:tabs>
                <w:tab w:val="num" w:pos="2220"/>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Tiek nodrošināta saņemto iepirkuma plānu un iepirkuma dokumentācijas lietvedība;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20.1.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20.2.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color w:val="000000"/>
                <w:sz w:val="20"/>
              </w:rPr>
              <w:t xml:space="preserve">Pastāv datorizēta veikto pārbaužu un sniegto atzinumu uzskaite;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20.2.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Cs w:val="24"/>
              </w:rPr>
              <w:t>Iekšējā audita struktūrvienības</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w:t>
            </w:r>
          </w:p>
        </w:tc>
        <w:tc>
          <w:tcPr>
            <w:tcW w:w="5246" w:type="dxa"/>
            <w:gridSpan w:val="3"/>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1: Skaidra funkciju definīcija un nodalījums</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IAS 1</w:t>
            </w: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Funkcijas ir skaidri definētas un nodalītas (organizācijas shēmā, indikatīvs amatu skaits, nepieciešamās kvalifikācijas un/vai pieredzes apraksts, rakstiskās procedūras un rokasgrāmatas);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Funkciju nodalījums starp Revīzijas iestādi, Vadošo iestādi, Maksājumu iestādi un starpniekinstitūcijām atbilst Revīzijas iestādes un Iekšējā audita struktūrvienību neatkarības principam;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37</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Izstrādātās procedūras, tai skaitā Revīzijas iestādes uzraudzības procedūra pār Revīzijas iestādes deleģēto funkciju veicošās struktūrvienības darbu;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21.3.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38</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w:t>
            </w:r>
          </w:p>
        </w:tc>
        <w:tc>
          <w:tcPr>
            <w:tcW w:w="5246" w:type="dxa"/>
            <w:gridSpan w:val="3"/>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Pamatprasību Nr.2: Atbilstošs sistēmu audits</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IAS 1</w:t>
            </w: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Calibri" w:hAnsi="Times New Roman" w:cs="Times New Roman"/>
                <w:bCs/>
                <w:sz w:val="20"/>
                <w:szCs w:val="20"/>
              </w:rPr>
            </w:pPr>
            <w:r w:rsidRPr="00F1130D">
              <w:rPr>
                <w:rFonts w:ascii="Times New Roman" w:eastAsia="MS Mincho" w:hAnsi="Times New Roman" w:cs="Arial"/>
                <w:bCs/>
                <w:color w:val="000000"/>
                <w:sz w:val="20"/>
                <w:szCs w:val="20"/>
              </w:rPr>
              <w:t xml:space="preserve">Audita apjoms atbilst Vienotājai revīzijas stratēģijai un ietver pamatprasības vadības un kontroles sistēmai attiecīgajās iestādēs (Vadošā iestāde, Maksājumu iestāde un starpniekinstitūcijas);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39</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Visi sistēmu auditu posmi ir atbilstoši dokumentēti. Ir pilnīgi un atbilstoši aizpildīta pārbaudes lapa par pamatprasībām vadības un kontroles sistēmai;</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40</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 xml:space="preserve">Efektīva ieteikumu ieviešanas uzraudzības procedūra, kas sniedz Komisijai pārliecību, ka audita ziņojumos konstatētie trūkumi ir savlaicīgi novērsti;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22.4.</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Kvalitatīvie un/vai kvantitatīvie pierādījumi atbilstoši sistēmas noteiktajam pārliecības līmenim;</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w:t>
            </w:r>
          </w:p>
        </w:tc>
        <w:tc>
          <w:tcPr>
            <w:tcW w:w="5246" w:type="dxa"/>
            <w:gridSpan w:val="3"/>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color w:val="000000"/>
                <w:sz w:val="20"/>
              </w:rPr>
              <w:t xml:space="preserve">Pamatprasība Nr.4: Atbilstošs Gada kontroles ziņojums un </w:t>
            </w:r>
            <w:r w:rsidRPr="00F1130D">
              <w:rPr>
                <w:rFonts w:ascii="Times New Roman" w:eastAsia="Times New Roman" w:hAnsi="Times New Roman" w:cs="Times New Roman"/>
                <w:color w:val="000000"/>
                <w:sz w:val="20"/>
              </w:rPr>
              <w:lastRenderedPageBreak/>
              <w:t>audita viedoklis.</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lastRenderedPageBreak/>
              <w:t>25.1.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IAS 1</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Revīzijas iestādei sniegtā informācija iekļaušanai Gada kontroles ziņojumā atbilst Vienotās revīzijas stratēģijas prasībām un sistēmu auditu rezultātiem;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23.1.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49</w:t>
            </w:r>
          </w:p>
        </w:tc>
      </w:tr>
      <w:tr w:rsidR="00F1130D" w:rsidRPr="00F1130D" w:rsidTr="00D20609">
        <w:tc>
          <w:tcPr>
            <w:tcW w:w="9852" w:type="dxa"/>
            <w:gridSpan w:val="8"/>
            <w:shd w:val="clear" w:color="auto" w:fill="D9D9D9"/>
          </w:tcPr>
          <w:p w:rsidR="00F1130D" w:rsidRPr="00F1130D" w:rsidRDefault="00F1130D" w:rsidP="00D20609">
            <w:pPr>
              <w:spacing w:after="0" w:line="240" w:lineRule="auto"/>
              <w:jc w:val="both"/>
              <w:rPr>
                <w:rFonts w:ascii="Times New Roman" w:eastAsia="Times New Roman" w:hAnsi="Times New Roman" w:cs="Times New Roman"/>
                <w:b/>
                <w:sz w:val="20"/>
              </w:rPr>
            </w:pPr>
            <w:r w:rsidRPr="00F1130D">
              <w:rPr>
                <w:rFonts w:ascii="Times New Roman" w:eastAsia="Times New Roman" w:hAnsi="Times New Roman" w:cs="Times New Roman"/>
                <w:b/>
                <w:szCs w:val="24"/>
              </w:rPr>
              <w:t>Revīzijas iestāde</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26.</w:t>
            </w:r>
          </w:p>
        </w:tc>
        <w:tc>
          <w:tcPr>
            <w:tcW w:w="5246" w:type="dxa"/>
            <w:gridSpan w:val="3"/>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Nr.1: Skaidra funkciju definīcija un nodalījums</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26.1.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ARD-4</w:t>
            </w: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Calibri" w:hAnsi="Times New Roman" w:cs="Times New Roman"/>
                <w:bCs/>
                <w:sz w:val="20"/>
                <w:szCs w:val="20"/>
              </w:rPr>
            </w:pPr>
            <w:r w:rsidRPr="00F1130D">
              <w:rPr>
                <w:rFonts w:ascii="Times New Roman" w:eastAsia="MS Mincho" w:hAnsi="Times New Roman" w:cs="Times New Roman"/>
                <w:bCs/>
                <w:color w:val="000000"/>
                <w:sz w:val="20"/>
                <w:szCs w:val="20"/>
              </w:rPr>
              <w:t xml:space="preserve">Funkcijas ir skaidri definētas un nodalītas (organizācijas shēmā, indikatīvs amatu skaits, nepieciešamās kvalifikācijas un/vai pieredzes apraksts, rakstiskās procedūras un rokasgrāmatas);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24.1.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26.2.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Funkciju nodalījums starp Revīzijas iestādi, Vadošo iestādi, Maksājumu iestādi un starpniekinstitūcijām atbilst Revīzijas iestādes un Iekšējā audita struktūrvienību neatkarības principam;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24.2.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37</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26.3.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Izstrādātās procedūras, tai skaitā Revīzijas iestādes uzraudzības procedūra pār Revīzijas iestādes deleģēto funkciju veicošās struktūrvienības darbu;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24.3.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38</w:t>
            </w:r>
          </w:p>
        </w:tc>
      </w:tr>
      <w:tr w:rsidR="00F1130D" w:rsidRPr="00F1130D" w:rsidTr="00D20609">
        <w:trPr>
          <w:trHeight w:val="327"/>
        </w:trPr>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27.</w:t>
            </w:r>
          </w:p>
        </w:tc>
        <w:tc>
          <w:tcPr>
            <w:tcW w:w="5246" w:type="dxa"/>
            <w:gridSpan w:val="3"/>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 xml:space="preserve">Pamatprasība Nr.2: Atbilstošs sistēmu audits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27.1.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IAS 1</w:t>
            </w: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Calibri" w:hAnsi="Times New Roman" w:cs="Times New Roman"/>
                <w:bCs/>
                <w:sz w:val="20"/>
                <w:szCs w:val="20"/>
              </w:rPr>
            </w:pPr>
            <w:r w:rsidRPr="00F1130D">
              <w:rPr>
                <w:rFonts w:ascii="Times New Roman" w:eastAsia="MS Mincho" w:hAnsi="Times New Roman" w:cs="Arial"/>
                <w:bCs/>
                <w:color w:val="000000"/>
                <w:sz w:val="20"/>
                <w:szCs w:val="20"/>
              </w:rPr>
              <w:t xml:space="preserve">Audita apjoms atbilst Vienotājai revīzijas stratēģijai un ietver pamatprasības vadības un kontroles sistēmai attiecīgajās iestādēs (Vadošā iestāde, Maksājumu iestāde un starpniekinstitūcijas);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39</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27.2.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 xml:space="preserve">Visi sistēmu auditu posmi ir atbilstoši dokumentēti. Ir pilnīgi un atbilstoši aizpildīta pārbaudes lapa par pamatprasībām vadības un kontroles sistēmai;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40</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27.3.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 xml:space="preserve">Efektīva ieteikumu ieviešanas uzraudzības procedūra, kas sniedz Komisijai pārliecību, ka audita ziņojumos konstatētie trūkumi ir savlaicīgi novērsti;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41</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27.4.</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tabs>
                <w:tab w:val="num" w:pos="459"/>
              </w:tabs>
              <w:overflowPunct w:val="0"/>
              <w:autoSpaceDE w:val="0"/>
              <w:autoSpaceDN w:val="0"/>
              <w:adjustRightInd w:val="0"/>
              <w:spacing w:after="0" w:line="240" w:lineRule="auto"/>
              <w:jc w:val="both"/>
              <w:textAlignment w:val="baseline"/>
              <w:rPr>
                <w:rFonts w:ascii="Times New Roman" w:eastAsia="MS Mincho" w:hAnsi="Times New Roman" w:cs="Arial"/>
                <w:bCs/>
                <w:color w:val="000000"/>
                <w:sz w:val="20"/>
                <w:szCs w:val="20"/>
              </w:rPr>
            </w:pPr>
            <w:r w:rsidRPr="00F1130D">
              <w:rPr>
                <w:rFonts w:ascii="Times New Roman" w:eastAsia="MS Mincho" w:hAnsi="Times New Roman" w:cs="Arial"/>
                <w:bCs/>
                <w:color w:val="000000"/>
                <w:sz w:val="20"/>
                <w:szCs w:val="20"/>
              </w:rPr>
              <w:t xml:space="preserve">Kvalitatīvie un/vai kvantitatīvie pierādījumi atbilstoši sistēmas noteiktajam pārliecības līmenim;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22.4.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42</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w:t>
            </w:r>
          </w:p>
        </w:tc>
        <w:tc>
          <w:tcPr>
            <w:tcW w:w="5246" w:type="dxa"/>
            <w:gridSpan w:val="3"/>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Arial"/>
                <w:bCs/>
                <w:color w:val="000000"/>
                <w:sz w:val="20"/>
                <w:szCs w:val="20"/>
              </w:rPr>
              <w:t>Pamatprasība Nr.3: Atbilstošas sertificēto izdevumu revīzijas</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28.1.</w:t>
            </w:r>
          </w:p>
        </w:tc>
        <w:tc>
          <w:tcPr>
            <w:tcW w:w="1134" w:type="dxa"/>
            <w:gridSpan w:val="2"/>
            <w:vMerge w:val="restart"/>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ARD-4</w:t>
            </w: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Calibri" w:hAnsi="Times New Roman" w:cs="Times New Roman"/>
                <w:bCs/>
                <w:sz w:val="20"/>
                <w:szCs w:val="20"/>
              </w:rPr>
            </w:pPr>
            <w:r w:rsidRPr="00F1130D">
              <w:rPr>
                <w:rFonts w:ascii="Times New Roman" w:eastAsia="MS Mincho" w:hAnsi="Times New Roman" w:cs="Times New Roman"/>
                <w:bCs/>
                <w:color w:val="000000"/>
                <w:sz w:val="20"/>
                <w:szCs w:val="20"/>
              </w:rPr>
              <w:t xml:space="preserve">Apstiprinātās metodoloģijas apraksts, tai skaitā izlases kopas atlases parametri saskaņā ar regulas Nr.1828 IV pielikuma prasībām – izlases metode, rezultāti un sistēmas audita pārliecības līmenis, ņemot vērā plānoto būtiskuma līmeni;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43</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28.2.</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Sertificēto izdevumu revīzijas ir veiktas atbilstoši Komisijas apstiprinātai Vienotajai revīzijas stratēģijai, ko precizē katru gadu.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25.2.</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44</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28.3.</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Izdevumu likumības un savlaicīguma pārbaudes tiek veiktas izmantojot atbilstošas un pilnīgas pārbaudes lapas;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25.3.</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45</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28.4.</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Ja tiek konstatēti sistemātiskie trūkumi, Revīzijas iestāde pārliecinās, ka tiek veiktas papildus pārbaudes, lai noteiktu trūkumu līmeni.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25.4.</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46</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28.5.</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overflowPunct w:val="0"/>
              <w:autoSpaceDE w:val="0"/>
              <w:autoSpaceDN w:val="0"/>
              <w:adjustRightInd w:val="0"/>
              <w:spacing w:after="0" w:line="240" w:lineRule="auto"/>
              <w:jc w:val="both"/>
              <w:textAlignment w:val="baseline"/>
              <w:rPr>
                <w:rFonts w:ascii="Times New Roman" w:eastAsia="MS Mincho" w:hAnsi="Times New Roman" w:cs="Times New Roman"/>
                <w:bCs/>
                <w:color w:val="000000"/>
                <w:sz w:val="20"/>
                <w:szCs w:val="20"/>
              </w:rPr>
            </w:pPr>
            <w:r w:rsidRPr="00F1130D">
              <w:rPr>
                <w:rFonts w:ascii="Times New Roman" w:eastAsia="MS Mincho" w:hAnsi="Times New Roman" w:cs="Times New Roman"/>
                <w:bCs/>
                <w:color w:val="000000"/>
                <w:sz w:val="20"/>
                <w:szCs w:val="20"/>
              </w:rPr>
              <w:t xml:space="preserve">Efektīva ieteikumu ieviešanas uzraudzības procedūra, kas sniedz Komisijai pārliecību, ka audita ziņojumos konstatētie trūkumi ir savlaicīgi novērsti;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25.5.</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47</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28.6.</w:t>
            </w:r>
          </w:p>
        </w:tc>
        <w:tc>
          <w:tcPr>
            <w:tcW w:w="1134" w:type="dxa"/>
            <w:gridSpan w:val="2"/>
            <w:vMerge/>
          </w:tcPr>
          <w:p w:rsidR="00F1130D" w:rsidRPr="00F1130D" w:rsidRDefault="00F1130D" w:rsidP="00D20609">
            <w:pPr>
              <w:spacing w:after="0" w:line="240" w:lineRule="auto"/>
              <w:rPr>
                <w:rFonts w:ascii="Times New Roman" w:eastAsia="Times New Roman" w:hAnsi="Times New Roman" w:cs="Times New Roman"/>
                <w:sz w:val="20"/>
              </w:rPr>
            </w:pP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Ja kļūdas koeficients ir augstāks nekā darbības programmas būtiskuma līmenis, Revīzijas iestāde analizē kļūdas nozīmīgumu un veic </w:t>
            </w:r>
            <w:r w:rsidRPr="00F1130D">
              <w:rPr>
                <w:rFonts w:ascii="Times New Roman" w:eastAsia="Times New Roman" w:hAnsi="Times New Roman" w:cs="Times New Roman"/>
                <w:color w:val="000000"/>
                <w:sz w:val="20"/>
              </w:rPr>
              <w:lastRenderedPageBreak/>
              <w:t xml:space="preserve">nepieciešamās darbības.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25.6.</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48</w:t>
            </w: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lastRenderedPageBreak/>
              <w:t>29.</w:t>
            </w:r>
          </w:p>
        </w:tc>
        <w:tc>
          <w:tcPr>
            <w:tcW w:w="5246" w:type="dxa"/>
            <w:gridSpan w:val="3"/>
          </w:tcPr>
          <w:p w:rsidR="00F1130D" w:rsidRPr="00F1130D" w:rsidRDefault="00F1130D" w:rsidP="00D20609">
            <w:pPr>
              <w:spacing w:after="0" w:line="240" w:lineRule="auto"/>
              <w:jc w:val="both"/>
              <w:rPr>
                <w:rFonts w:ascii="Times New Roman" w:eastAsia="Times New Roman" w:hAnsi="Times New Roman" w:cs="Times New Roman"/>
                <w:color w:val="000000"/>
                <w:sz w:val="20"/>
              </w:rPr>
            </w:pPr>
            <w:r w:rsidRPr="00F1130D">
              <w:rPr>
                <w:rFonts w:ascii="Times New Roman" w:eastAsia="Times New Roman" w:hAnsi="Times New Roman" w:cs="Times New Roman"/>
                <w:color w:val="000000"/>
                <w:sz w:val="20"/>
              </w:rPr>
              <w:t>Pamatprasības Nr.4: Atbilstošs Gada kontroles ziņojums un audita viedoklis.</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p>
        </w:tc>
      </w:tr>
      <w:tr w:rsidR="00F1130D" w:rsidRPr="00F1130D" w:rsidTr="00D20609">
        <w:tc>
          <w:tcPr>
            <w:tcW w:w="709"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29.1.</w:t>
            </w:r>
          </w:p>
        </w:tc>
        <w:tc>
          <w:tcPr>
            <w:tcW w:w="1134" w:type="dxa"/>
            <w:gridSpan w:val="2"/>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ARD-4</w:t>
            </w:r>
          </w:p>
        </w:tc>
        <w:tc>
          <w:tcPr>
            <w:tcW w:w="4112" w:type="dxa"/>
          </w:tcPr>
          <w:p w:rsidR="00F1130D" w:rsidRPr="00F1130D" w:rsidRDefault="00F1130D" w:rsidP="00D20609">
            <w:pPr>
              <w:spacing w:after="0" w:line="240" w:lineRule="auto"/>
              <w:jc w:val="both"/>
              <w:rPr>
                <w:rFonts w:ascii="Times New Roman" w:eastAsia="Times New Roman" w:hAnsi="Times New Roman" w:cs="Times New Roman"/>
                <w:sz w:val="20"/>
              </w:rPr>
            </w:pPr>
            <w:r w:rsidRPr="00F1130D">
              <w:rPr>
                <w:rFonts w:ascii="Times New Roman" w:eastAsia="Times New Roman" w:hAnsi="Times New Roman" w:cs="Times New Roman"/>
                <w:color w:val="000000"/>
                <w:sz w:val="20"/>
              </w:rPr>
              <w:t xml:space="preserve">Revīzijas iestādei sniegtā informācija iekļaušanai Gada kontroles ziņojumā atbilst Vienotās revīzijas stratēģijas prasībām un sistēmu auditu rezultātiem; </w:t>
            </w:r>
          </w:p>
        </w:tc>
        <w:tc>
          <w:tcPr>
            <w:tcW w:w="1116" w:type="dxa"/>
          </w:tcPr>
          <w:p w:rsidR="00F1130D" w:rsidRPr="00F1130D" w:rsidRDefault="00F1130D" w:rsidP="00D20609">
            <w:pPr>
              <w:spacing w:after="0" w:line="240" w:lineRule="auto"/>
              <w:rPr>
                <w:rFonts w:ascii="Times New Roman" w:eastAsia="Times New Roman" w:hAnsi="Times New Roman" w:cs="Times New Roman"/>
                <w:sz w:val="20"/>
              </w:rPr>
            </w:pPr>
          </w:p>
        </w:tc>
        <w:tc>
          <w:tcPr>
            <w:tcW w:w="1338" w:type="dxa"/>
          </w:tcPr>
          <w:p w:rsidR="00F1130D" w:rsidRPr="00F1130D" w:rsidRDefault="00F1130D" w:rsidP="00D20609">
            <w:pPr>
              <w:spacing w:after="0" w:line="240" w:lineRule="auto"/>
              <w:rPr>
                <w:rFonts w:ascii="Times New Roman" w:eastAsia="Times New Roman" w:hAnsi="Times New Roman" w:cs="Times New Roman"/>
                <w:sz w:val="20"/>
              </w:rPr>
            </w:pPr>
          </w:p>
        </w:tc>
        <w:tc>
          <w:tcPr>
            <w:tcW w:w="701" w:type="dxa"/>
          </w:tcPr>
          <w:p w:rsidR="00F1130D" w:rsidRPr="00F1130D" w:rsidRDefault="00F1130D" w:rsidP="00D20609">
            <w:pPr>
              <w:spacing w:after="0" w:line="240" w:lineRule="auto"/>
              <w:rPr>
                <w:rFonts w:ascii="Times New Roman" w:eastAsia="Times New Roman" w:hAnsi="Times New Roman" w:cs="Times New Roman"/>
                <w:sz w:val="20"/>
              </w:rPr>
            </w:pPr>
            <w:r w:rsidRPr="00F1130D">
              <w:rPr>
                <w:rFonts w:ascii="Times New Roman" w:eastAsia="Times New Roman" w:hAnsi="Times New Roman" w:cs="Times New Roman"/>
                <w:sz w:val="20"/>
              </w:rPr>
              <w:t>26.1.</w:t>
            </w:r>
          </w:p>
        </w:tc>
        <w:tc>
          <w:tcPr>
            <w:tcW w:w="742" w:type="dxa"/>
          </w:tcPr>
          <w:p w:rsidR="00F1130D" w:rsidRPr="00F1130D" w:rsidRDefault="00F1130D" w:rsidP="00D20609">
            <w:pPr>
              <w:spacing w:after="0" w:line="240" w:lineRule="auto"/>
              <w:jc w:val="center"/>
              <w:rPr>
                <w:rFonts w:ascii="Times New Roman" w:eastAsia="Times New Roman" w:hAnsi="Times New Roman" w:cs="Times New Roman"/>
                <w:sz w:val="20"/>
              </w:rPr>
            </w:pPr>
            <w:r w:rsidRPr="00F1130D">
              <w:rPr>
                <w:rFonts w:ascii="Times New Roman" w:eastAsia="Times New Roman" w:hAnsi="Times New Roman" w:cs="Times New Roman"/>
                <w:sz w:val="20"/>
              </w:rPr>
              <w:t>49</w:t>
            </w:r>
          </w:p>
        </w:tc>
      </w:tr>
    </w:tbl>
    <w:p w:rsidR="00E26E83" w:rsidRDefault="00047FFE"/>
    <w:sectPr w:rsidR="00E26E83" w:rsidSect="00165387">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FFE" w:rsidRDefault="00047FFE" w:rsidP="00F1130D">
      <w:pPr>
        <w:spacing w:after="0" w:line="240" w:lineRule="auto"/>
      </w:pPr>
      <w:r>
        <w:separator/>
      </w:r>
    </w:p>
  </w:endnote>
  <w:endnote w:type="continuationSeparator" w:id="0">
    <w:p w:rsidR="00047FFE" w:rsidRDefault="00047FFE" w:rsidP="00F11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FFE" w:rsidRDefault="00047FFE" w:rsidP="00F1130D">
      <w:pPr>
        <w:spacing w:after="0" w:line="240" w:lineRule="auto"/>
      </w:pPr>
      <w:r>
        <w:separator/>
      </w:r>
    </w:p>
  </w:footnote>
  <w:footnote w:type="continuationSeparator" w:id="0">
    <w:p w:rsidR="00047FFE" w:rsidRDefault="00047FFE" w:rsidP="00F1130D">
      <w:pPr>
        <w:spacing w:after="0" w:line="240" w:lineRule="auto"/>
      </w:pPr>
      <w:r>
        <w:continuationSeparator/>
      </w:r>
    </w:p>
  </w:footnote>
  <w:footnote w:id="1">
    <w:p w:rsidR="00F1130D" w:rsidRDefault="00F1130D" w:rsidP="00F1130D">
      <w:pPr>
        <w:pStyle w:val="FootnoteText"/>
      </w:pPr>
      <w:r>
        <w:rPr>
          <w:rStyle w:val="FootnoteReference"/>
        </w:rPr>
        <w:footnoteRef/>
      </w:r>
      <w:r>
        <w:t xml:space="preserve"> Kritēriju numerācija atbilstoši </w:t>
      </w:r>
      <w:r>
        <w:rPr>
          <w:lang w:val="lv-LV"/>
        </w:rPr>
        <w:t xml:space="preserve">revīzijas iestādes izstrādātajām </w:t>
      </w:r>
      <w:r>
        <w:t>audita programmām</w:t>
      </w:r>
    </w:p>
  </w:footnote>
  <w:footnote w:id="2">
    <w:p w:rsidR="00F1130D" w:rsidRDefault="00F1130D" w:rsidP="00F1130D">
      <w:pPr>
        <w:pStyle w:val="FootnoteText"/>
      </w:pPr>
      <w:r>
        <w:rPr>
          <w:rStyle w:val="FootnoteReference"/>
        </w:rPr>
        <w:footnoteRef/>
      </w:r>
      <w:r>
        <w:t xml:space="preserve"> Kritēriju numerācija atbilstoši COCOF 08/0019/00-EN vadlīnijām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5636C"/>
    <w:multiLevelType w:val="hybridMultilevel"/>
    <w:tmpl w:val="ED846F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56CB7E7E"/>
    <w:multiLevelType w:val="hybridMultilevel"/>
    <w:tmpl w:val="005281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586C647C"/>
    <w:multiLevelType w:val="hybridMultilevel"/>
    <w:tmpl w:val="7F28A240"/>
    <w:lvl w:ilvl="0" w:tplc="CE9E06E4">
      <w:start w:val="1"/>
      <w:numFmt w:val="bullet"/>
      <w:lvlText w:val="-"/>
      <w:lvlJc w:val="left"/>
      <w:pPr>
        <w:tabs>
          <w:tab w:val="num" w:pos="1800"/>
        </w:tabs>
        <w:ind w:left="1800"/>
      </w:pPr>
      <w:rPr>
        <w:rFonts w:ascii="Arial Narrow" w:eastAsia="Times New Roman" w:hAnsi="Arial Narrow" w:hint="default"/>
        <w:color w:val="4367C5"/>
        <w:sz w:val="18"/>
      </w:rPr>
    </w:lvl>
    <w:lvl w:ilvl="1" w:tplc="94F4E266" w:tentative="1">
      <w:start w:val="1"/>
      <w:numFmt w:val="bullet"/>
      <w:lvlText w:val="o"/>
      <w:lvlJc w:val="left"/>
      <w:pPr>
        <w:tabs>
          <w:tab w:val="num" w:pos="1440"/>
        </w:tabs>
        <w:ind w:left="1440" w:hanging="360"/>
      </w:pPr>
      <w:rPr>
        <w:rFonts w:ascii="Courier New" w:hAnsi="Courier New" w:hint="default"/>
      </w:rPr>
    </w:lvl>
    <w:lvl w:ilvl="2" w:tplc="0472F1E6" w:tentative="1">
      <w:start w:val="1"/>
      <w:numFmt w:val="bullet"/>
      <w:lvlText w:val=""/>
      <w:lvlJc w:val="left"/>
      <w:pPr>
        <w:tabs>
          <w:tab w:val="num" w:pos="2160"/>
        </w:tabs>
        <w:ind w:left="2160" w:hanging="360"/>
      </w:pPr>
      <w:rPr>
        <w:rFonts w:ascii="Wingdings" w:hAnsi="Wingdings" w:hint="default"/>
      </w:rPr>
    </w:lvl>
    <w:lvl w:ilvl="3" w:tplc="B828870E" w:tentative="1">
      <w:start w:val="1"/>
      <w:numFmt w:val="bullet"/>
      <w:lvlText w:val=""/>
      <w:lvlJc w:val="left"/>
      <w:pPr>
        <w:tabs>
          <w:tab w:val="num" w:pos="2880"/>
        </w:tabs>
        <w:ind w:left="2880" w:hanging="360"/>
      </w:pPr>
      <w:rPr>
        <w:rFonts w:ascii="Symbol" w:hAnsi="Symbol" w:hint="default"/>
      </w:rPr>
    </w:lvl>
    <w:lvl w:ilvl="4" w:tplc="A1F0DC50" w:tentative="1">
      <w:start w:val="1"/>
      <w:numFmt w:val="bullet"/>
      <w:lvlText w:val="o"/>
      <w:lvlJc w:val="left"/>
      <w:pPr>
        <w:tabs>
          <w:tab w:val="num" w:pos="3600"/>
        </w:tabs>
        <w:ind w:left="3600" w:hanging="360"/>
      </w:pPr>
      <w:rPr>
        <w:rFonts w:ascii="Courier New" w:hAnsi="Courier New" w:hint="default"/>
      </w:rPr>
    </w:lvl>
    <w:lvl w:ilvl="5" w:tplc="97B8F88C" w:tentative="1">
      <w:start w:val="1"/>
      <w:numFmt w:val="bullet"/>
      <w:lvlText w:val=""/>
      <w:lvlJc w:val="left"/>
      <w:pPr>
        <w:tabs>
          <w:tab w:val="num" w:pos="4320"/>
        </w:tabs>
        <w:ind w:left="4320" w:hanging="360"/>
      </w:pPr>
      <w:rPr>
        <w:rFonts w:ascii="Wingdings" w:hAnsi="Wingdings" w:hint="default"/>
      </w:rPr>
    </w:lvl>
    <w:lvl w:ilvl="6" w:tplc="A8ECF41E" w:tentative="1">
      <w:start w:val="1"/>
      <w:numFmt w:val="bullet"/>
      <w:lvlText w:val=""/>
      <w:lvlJc w:val="left"/>
      <w:pPr>
        <w:tabs>
          <w:tab w:val="num" w:pos="5040"/>
        </w:tabs>
        <w:ind w:left="5040" w:hanging="360"/>
      </w:pPr>
      <w:rPr>
        <w:rFonts w:ascii="Symbol" w:hAnsi="Symbol" w:hint="default"/>
      </w:rPr>
    </w:lvl>
    <w:lvl w:ilvl="7" w:tplc="C0B6B1CC" w:tentative="1">
      <w:start w:val="1"/>
      <w:numFmt w:val="bullet"/>
      <w:lvlText w:val="o"/>
      <w:lvlJc w:val="left"/>
      <w:pPr>
        <w:tabs>
          <w:tab w:val="num" w:pos="5760"/>
        </w:tabs>
        <w:ind w:left="5760" w:hanging="360"/>
      </w:pPr>
      <w:rPr>
        <w:rFonts w:ascii="Courier New" w:hAnsi="Courier New" w:hint="default"/>
      </w:rPr>
    </w:lvl>
    <w:lvl w:ilvl="8" w:tplc="625AA4DC"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20"/>
    <w:rsid w:val="00047FFE"/>
    <w:rsid w:val="00165387"/>
    <w:rsid w:val="004E57E2"/>
    <w:rsid w:val="00AD1EF0"/>
    <w:rsid w:val="00D20609"/>
    <w:rsid w:val="00D71E20"/>
    <w:rsid w:val="00DD1729"/>
    <w:rsid w:val="00F1130D"/>
    <w:rsid w:val="00F24D3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w:basedOn w:val="Normal"/>
    <w:link w:val="FootnoteTextChar"/>
    <w:uiPriority w:val="99"/>
    <w:unhideWhenUsed/>
    <w:rsid w:val="00F1130D"/>
    <w:rPr>
      <w:rFonts w:ascii="Times New Roman" w:eastAsia="Times New Roman" w:hAnsi="Times New Roman" w:cs="Times New Roman"/>
      <w:sz w:val="20"/>
      <w:szCs w:val="20"/>
      <w:lang w:val="x-none"/>
    </w:rPr>
  </w:style>
  <w:style w:type="character" w:customStyle="1" w:styleId="FootnoteTextChar">
    <w:name w:val="Footnote Text Char"/>
    <w:aliases w:val="Footnote Char"/>
    <w:basedOn w:val="DefaultParagraphFont"/>
    <w:link w:val="FootnoteText"/>
    <w:uiPriority w:val="99"/>
    <w:rsid w:val="00F1130D"/>
    <w:rPr>
      <w:rFonts w:ascii="Times New Roman" w:eastAsia="Times New Roman" w:hAnsi="Times New Roman" w:cs="Times New Roman"/>
      <w:sz w:val="20"/>
      <w:szCs w:val="20"/>
      <w:lang w:val="x-none"/>
    </w:rPr>
  </w:style>
  <w:style w:type="character" w:styleId="FootnoteReference">
    <w:name w:val="footnote reference"/>
    <w:semiHidden/>
    <w:unhideWhenUsed/>
    <w:rsid w:val="00F1130D"/>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w:basedOn w:val="Normal"/>
    <w:link w:val="FootnoteTextChar"/>
    <w:uiPriority w:val="99"/>
    <w:unhideWhenUsed/>
    <w:rsid w:val="00F1130D"/>
    <w:rPr>
      <w:rFonts w:ascii="Times New Roman" w:eastAsia="Times New Roman" w:hAnsi="Times New Roman" w:cs="Times New Roman"/>
      <w:sz w:val="20"/>
      <w:szCs w:val="20"/>
      <w:lang w:val="x-none"/>
    </w:rPr>
  </w:style>
  <w:style w:type="character" w:customStyle="1" w:styleId="FootnoteTextChar">
    <w:name w:val="Footnote Text Char"/>
    <w:aliases w:val="Footnote Char"/>
    <w:basedOn w:val="DefaultParagraphFont"/>
    <w:link w:val="FootnoteText"/>
    <w:uiPriority w:val="99"/>
    <w:rsid w:val="00F1130D"/>
    <w:rPr>
      <w:rFonts w:ascii="Times New Roman" w:eastAsia="Times New Roman" w:hAnsi="Times New Roman" w:cs="Times New Roman"/>
      <w:sz w:val="20"/>
      <w:szCs w:val="20"/>
      <w:lang w:val="x-none"/>
    </w:rPr>
  </w:style>
  <w:style w:type="character" w:styleId="FootnoteReference">
    <w:name w:val="footnote reference"/>
    <w:semiHidden/>
    <w:unhideWhenUsed/>
    <w:rsid w:val="00F1130D"/>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13204</Words>
  <Characters>7527</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Graudina</dc:creator>
  <cp:keywords/>
  <dc:description/>
  <cp:lastModifiedBy>changeme</cp:lastModifiedBy>
  <cp:revision>2</cp:revision>
  <dcterms:created xsi:type="dcterms:W3CDTF">2010-12-30T06:57:00Z</dcterms:created>
  <dcterms:modified xsi:type="dcterms:W3CDTF">2010-12-30T06:57:00Z</dcterms:modified>
</cp:coreProperties>
</file>