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4F451" w14:textId="77777777" w:rsidR="00684ADB" w:rsidRPr="008F2668" w:rsidRDefault="00684ADB" w:rsidP="00684ADB">
      <w:pPr>
        <w:jc w:val="center"/>
        <w:rPr>
          <w:b/>
        </w:rPr>
      </w:pPr>
      <w:r w:rsidRPr="008F2668">
        <w:rPr>
          <w:b/>
        </w:rPr>
        <w:t>INFORMATĪVAIS ZIŅOJUMS PAR EIROPAS SAVIENĪBAS STRUKTŪRFONDU UN KOHĒZIJAS FONDA</w:t>
      </w:r>
      <w:r w:rsidRPr="008F2668">
        <w:rPr>
          <w:b/>
          <w:caps/>
        </w:rPr>
        <w:t xml:space="preserve"> </w:t>
      </w:r>
      <w:r w:rsidRPr="008F2668">
        <w:rPr>
          <w:b/>
        </w:rPr>
        <w:t>INVESTĪCIJU IEVIEŠANAS STATUSU</w:t>
      </w:r>
      <w:r w:rsidRPr="008F2668">
        <w:rPr>
          <w:rStyle w:val="FootnoteReference"/>
          <w:b/>
        </w:rPr>
        <w:footnoteReference w:id="1"/>
      </w:r>
      <w:r w:rsidRPr="008F2668">
        <w:rPr>
          <w:b/>
        </w:rPr>
        <w:t xml:space="preserve"> </w:t>
      </w:r>
    </w:p>
    <w:p w14:paraId="063DA8FC" w14:textId="77777777" w:rsidR="00684ADB" w:rsidRPr="008F2668" w:rsidRDefault="00684ADB" w:rsidP="00684ADB"/>
    <w:p w14:paraId="4CC3CBB2" w14:textId="32D5CBCF" w:rsidR="00405972" w:rsidRPr="00E26270" w:rsidRDefault="00684ADB" w:rsidP="00326786">
      <w:pPr>
        <w:pStyle w:val="BodyText"/>
        <w:numPr>
          <w:ilvl w:val="0"/>
          <w:numId w:val="22"/>
        </w:numPr>
        <w:spacing w:line="240" w:lineRule="auto"/>
        <w:ind w:left="0" w:firstLine="0"/>
        <w:jc w:val="both"/>
        <w:rPr>
          <w:rFonts w:eastAsia="Calibri"/>
          <w:b w:val="0"/>
          <w:lang w:val="lv-LV" w:eastAsia="ar-SA"/>
        </w:rPr>
      </w:pPr>
      <w:r w:rsidRPr="00E26270">
        <w:rPr>
          <w:rFonts w:eastAsia="Calibri"/>
          <w:b w:val="0"/>
          <w:lang w:val="lv-LV" w:eastAsia="ar-SA"/>
        </w:rPr>
        <w:t>Atbilstoši Ministru kabineta (turpmāk – MK) 2015.gada 10.marta sēdes protokola Nr.14 27.§ 11.punktam Finanšu ministrijai (turpmāk - FM) ir uzdots, sākot ar 2015.gada maiju</w:t>
      </w:r>
      <w:r w:rsidR="00832912" w:rsidRPr="00E26270">
        <w:rPr>
          <w:rFonts w:eastAsia="Calibri"/>
          <w:b w:val="0"/>
          <w:lang w:val="lv-LV" w:eastAsia="ar-SA"/>
        </w:rPr>
        <w:t>,</w:t>
      </w:r>
      <w:r w:rsidRPr="00E26270">
        <w:rPr>
          <w:rFonts w:eastAsia="Calibri"/>
          <w:b w:val="0"/>
          <w:lang w:val="lv-LV" w:eastAsia="ar-SA"/>
        </w:rPr>
        <w:t xml:space="preserve"> reizi mēnesī (līdz nākamā mēneša beigām) iesniegt MK bez saskaņošanas ar citām iestādēm operatīvo informāciju par Eiropas Savienības struktūrfondu un Kohēzijas fondu (turpmāk – ES fondi) ieviešanas plānu izpildi (turpmāk – </w:t>
      </w:r>
      <w:r w:rsidRPr="00E26270">
        <w:rPr>
          <w:rFonts w:eastAsia="Calibri"/>
          <w:b w:val="0"/>
          <w:lang w:val="lv-LV"/>
        </w:rPr>
        <w:t xml:space="preserve">ikmēneša ziņojums </w:t>
      </w:r>
      <w:r w:rsidRPr="00E26270">
        <w:rPr>
          <w:rFonts w:eastAsia="Calibri"/>
          <w:b w:val="0"/>
          <w:lang w:val="lv-LV" w:eastAsia="ar-SA"/>
        </w:rPr>
        <w:t>MK), tai skaitā informāciju atbildīgo iestāžu dalījumā par noteiktiem finanšu mērķiem un citiem pr</w:t>
      </w:r>
      <w:r w:rsidR="00326786" w:rsidRPr="00E26270">
        <w:rPr>
          <w:rFonts w:eastAsia="Calibri"/>
          <w:b w:val="0"/>
          <w:lang w:val="lv-LV" w:eastAsia="ar-SA"/>
        </w:rPr>
        <w:t xml:space="preserve">iekšnosacījumiem un uzdevumiem. </w:t>
      </w:r>
      <w:r w:rsidR="00C23DD6" w:rsidRPr="00E26270">
        <w:rPr>
          <w:rFonts w:eastAsia="Calibri"/>
          <w:b w:val="0"/>
          <w:lang w:val="lv-LV" w:eastAsia="ar-SA"/>
        </w:rPr>
        <w:t>Attiecīgi FM sniedz operatīvo informāciju par</w:t>
      </w:r>
      <w:r w:rsidR="00AC60AD" w:rsidRPr="00E26270">
        <w:rPr>
          <w:rFonts w:eastAsia="Calibri"/>
          <w:b w:val="0"/>
          <w:lang w:val="lv-LV" w:eastAsia="ar-SA"/>
        </w:rPr>
        <w:t xml:space="preserve"> </w:t>
      </w:r>
      <w:r w:rsidR="00C23DD6" w:rsidRPr="00E26270">
        <w:rPr>
          <w:rFonts w:eastAsia="Calibri"/>
          <w:b w:val="0"/>
          <w:lang w:val="lv-LV" w:eastAsia="ar-SA"/>
        </w:rPr>
        <w:t xml:space="preserve">galvenajiem </w:t>
      </w:r>
      <w:r w:rsidR="00723899" w:rsidRPr="00E26270">
        <w:rPr>
          <w:rFonts w:eastAsia="Calibri"/>
          <w:b w:val="0"/>
          <w:lang w:val="lv-LV" w:eastAsia="ar-SA"/>
        </w:rPr>
        <w:t>aspekti</w:t>
      </w:r>
      <w:r w:rsidR="00C23DD6" w:rsidRPr="00E26270">
        <w:rPr>
          <w:rFonts w:eastAsia="Calibri"/>
          <w:b w:val="0"/>
          <w:lang w:val="lv-LV" w:eastAsia="ar-SA"/>
        </w:rPr>
        <w:t>em</w:t>
      </w:r>
      <w:r w:rsidR="00723899" w:rsidRPr="00E26270">
        <w:rPr>
          <w:rFonts w:eastAsia="Calibri"/>
          <w:b w:val="0"/>
          <w:lang w:val="lv-LV" w:eastAsia="ar-SA"/>
        </w:rPr>
        <w:t xml:space="preserve"> </w:t>
      </w:r>
      <w:r w:rsidR="00C23DD6" w:rsidRPr="00E26270">
        <w:rPr>
          <w:rFonts w:eastAsia="Calibri"/>
          <w:b w:val="0"/>
          <w:lang w:val="lv-LV" w:eastAsia="ar-SA"/>
        </w:rPr>
        <w:t xml:space="preserve">un </w:t>
      </w:r>
      <w:r w:rsidR="004D3A6C" w:rsidRPr="00E26270">
        <w:rPr>
          <w:rFonts w:eastAsia="Calibri"/>
          <w:b w:val="0"/>
          <w:lang w:val="lv-LV" w:eastAsia="ar-SA"/>
        </w:rPr>
        <w:t>aktu</w:t>
      </w:r>
      <w:r w:rsidR="00D203D0" w:rsidRPr="00E26270">
        <w:rPr>
          <w:rFonts w:eastAsia="Calibri"/>
          <w:b w:val="0"/>
          <w:lang w:val="lv-LV" w:eastAsia="ar-SA"/>
        </w:rPr>
        <w:t>alitātēm</w:t>
      </w:r>
      <w:r w:rsidR="00405972" w:rsidRPr="00E26270">
        <w:rPr>
          <w:rFonts w:eastAsia="Calibri"/>
          <w:b w:val="0"/>
          <w:lang w:val="lv-LV" w:eastAsia="ar-SA"/>
        </w:rPr>
        <w:t xml:space="preserve"> </w:t>
      </w:r>
      <w:r w:rsidR="004F5936" w:rsidRPr="00E26270">
        <w:rPr>
          <w:rFonts w:eastAsia="Calibri"/>
          <w:b w:val="0"/>
          <w:lang w:val="lv-LV" w:eastAsia="ar-SA"/>
        </w:rPr>
        <w:t xml:space="preserve">ES fondu </w:t>
      </w:r>
      <w:r w:rsidR="00405972" w:rsidRPr="00E26270">
        <w:rPr>
          <w:rFonts w:eastAsia="Calibri"/>
          <w:b w:val="0"/>
          <w:lang w:val="lv-LV" w:eastAsia="ar-SA"/>
        </w:rPr>
        <w:t>2014.–2020.gada plānošanas period</w:t>
      </w:r>
      <w:r w:rsidR="00723899" w:rsidRPr="00E26270">
        <w:rPr>
          <w:rFonts w:eastAsia="Calibri"/>
          <w:b w:val="0"/>
          <w:lang w:val="lv-LV" w:eastAsia="ar-SA"/>
        </w:rPr>
        <w:t>ā</w:t>
      </w:r>
      <w:r w:rsidR="00405972" w:rsidRPr="00E26270">
        <w:rPr>
          <w:rFonts w:eastAsia="Calibri"/>
          <w:b w:val="0"/>
          <w:lang w:val="lv-LV" w:eastAsia="ar-SA"/>
        </w:rPr>
        <w:t xml:space="preserve">.  </w:t>
      </w:r>
    </w:p>
    <w:p w14:paraId="51BF3E65" w14:textId="41D2D968" w:rsidR="001C220D" w:rsidRPr="00B93310" w:rsidRDefault="00684ADB" w:rsidP="00210951">
      <w:pPr>
        <w:pStyle w:val="ListParagraph"/>
        <w:numPr>
          <w:ilvl w:val="0"/>
          <w:numId w:val="22"/>
        </w:numPr>
        <w:suppressAutoHyphens/>
        <w:spacing w:before="120" w:after="120"/>
        <w:ind w:left="0" w:firstLine="0"/>
        <w:contextualSpacing w:val="0"/>
        <w:jc w:val="both"/>
        <w:rPr>
          <w:szCs w:val="24"/>
        </w:rPr>
      </w:pPr>
      <w:r w:rsidRPr="00B93310">
        <w:t>Informācij</w:t>
      </w:r>
      <w:r w:rsidR="00A564B5">
        <w:t>u</w:t>
      </w:r>
      <w:r w:rsidRPr="00B93310">
        <w:t xml:space="preserve"> par investīciju ieviešanas laika grafika</w:t>
      </w:r>
      <w:r w:rsidRPr="00B93310">
        <w:rPr>
          <w:rStyle w:val="FootnoteReference"/>
        </w:rPr>
        <w:footnoteReference w:id="2"/>
      </w:r>
      <w:r w:rsidRPr="00B93310">
        <w:t xml:space="preserve"> un finanšu progresa izpildes statusu uz </w:t>
      </w:r>
      <w:r w:rsidRPr="00B93310">
        <w:rPr>
          <w:b/>
        </w:rPr>
        <w:t>2016.gada 1.</w:t>
      </w:r>
      <w:r w:rsidR="00C133C7" w:rsidRPr="00B93310">
        <w:rPr>
          <w:b/>
        </w:rPr>
        <w:t>decembri</w:t>
      </w:r>
      <w:r w:rsidR="00C133C7" w:rsidRPr="00B93310">
        <w:t xml:space="preserve"> </w:t>
      </w:r>
      <w:r w:rsidR="00A564B5">
        <w:t>s</w:t>
      </w:r>
      <w:r w:rsidR="00207285" w:rsidRPr="00B93310">
        <w:rPr>
          <w:szCs w:val="24"/>
        </w:rPr>
        <w:t>kat</w:t>
      </w:r>
      <w:r w:rsidR="00962AFF">
        <w:rPr>
          <w:szCs w:val="24"/>
        </w:rPr>
        <w:t>īt</w:t>
      </w:r>
      <w:r w:rsidR="00AC60AD">
        <w:rPr>
          <w:szCs w:val="24"/>
        </w:rPr>
        <w:t xml:space="preserve"> kopsavilkumu grafikā Nr.1</w:t>
      </w:r>
      <w:r w:rsidR="00207285" w:rsidRPr="00B93310">
        <w:rPr>
          <w:szCs w:val="24"/>
        </w:rPr>
        <w:t xml:space="preserve"> un plašāku informāciju par </w:t>
      </w:r>
      <w:r w:rsidR="00207285" w:rsidRPr="00B93310">
        <w:rPr>
          <w:rFonts w:eastAsia="Calibri" w:cs="Times New Roman"/>
          <w:szCs w:val="24"/>
          <w:lang w:eastAsia="ar-SA"/>
        </w:rPr>
        <w:t>projektiem un tajos veikt</w:t>
      </w:r>
      <w:r w:rsidR="00962AFF">
        <w:rPr>
          <w:rFonts w:eastAsia="Calibri" w:cs="Times New Roman"/>
          <w:szCs w:val="24"/>
          <w:lang w:eastAsia="ar-SA"/>
        </w:rPr>
        <w:t>aj</w:t>
      </w:r>
      <w:r w:rsidR="00207285" w:rsidRPr="00B93310">
        <w:rPr>
          <w:rFonts w:eastAsia="Calibri" w:cs="Times New Roman"/>
          <w:szCs w:val="24"/>
          <w:lang w:eastAsia="ar-SA"/>
        </w:rPr>
        <w:t>iem maksājumiem ES fondu tīmekļa vietnē</w:t>
      </w:r>
      <w:r w:rsidR="00207285" w:rsidRPr="00B93310">
        <w:rPr>
          <w:rStyle w:val="FootnoteReference"/>
          <w:rFonts w:eastAsia="Calibri" w:cs="Times New Roman"/>
          <w:szCs w:val="24"/>
          <w:lang w:eastAsia="ar-SA"/>
        </w:rPr>
        <w:footnoteReference w:id="3"/>
      </w:r>
      <w:r w:rsidR="00207285" w:rsidRPr="00B93310">
        <w:rPr>
          <w:szCs w:val="24"/>
        </w:rPr>
        <w:t>.</w:t>
      </w:r>
    </w:p>
    <w:p w14:paraId="58390C74" w14:textId="7EDC98FC" w:rsidR="00B7100B" w:rsidRPr="008F2668" w:rsidRDefault="00AC60AD" w:rsidP="000A302E">
      <w:pPr>
        <w:pStyle w:val="ListParagraph"/>
        <w:suppressAutoHyphens/>
        <w:spacing w:before="120" w:after="120"/>
        <w:ind w:left="0"/>
        <w:contextualSpacing w:val="0"/>
        <w:jc w:val="both"/>
        <w:rPr>
          <w:rFonts w:eastAsia="Times New Roman" w:cs="Times New Roman"/>
          <w:bCs/>
          <w:i/>
          <w:color w:val="000000"/>
          <w:sz w:val="22"/>
          <w:szCs w:val="24"/>
        </w:rPr>
      </w:pPr>
      <w:r>
        <w:rPr>
          <w:rFonts w:eastAsia="Times New Roman" w:cs="Times New Roman"/>
          <w:b/>
          <w:i/>
          <w:color w:val="000000"/>
          <w:sz w:val="22"/>
          <w:szCs w:val="24"/>
        </w:rPr>
        <w:t>Grafiks Nr.1</w:t>
      </w:r>
      <w:r w:rsidR="00B7100B" w:rsidRPr="00B93310">
        <w:rPr>
          <w:rFonts w:eastAsia="Times New Roman" w:cs="Times New Roman"/>
          <w:i/>
          <w:color w:val="000000"/>
          <w:sz w:val="22"/>
          <w:szCs w:val="24"/>
        </w:rPr>
        <w:t xml:space="preserve"> “</w:t>
      </w:r>
      <w:r w:rsidR="00B7100B" w:rsidRPr="00B93310">
        <w:rPr>
          <w:rFonts w:eastAsia="Times New Roman" w:cs="Times New Roman"/>
          <w:bCs/>
          <w:i/>
          <w:color w:val="000000"/>
          <w:sz w:val="22"/>
          <w:szCs w:val="24"/>
        </w:rPr>
        <w:t>ES fondu investīciju uzsākšanas un ieviešanas statuss līdz 2016.gada 1.</w:t>
      </w:r>
      <w:r w:rsidR="00C133C7" w:rsidRPr="00B93310">
        <w:rPr>
          <w:rFonts w:eastAsia="Times New Roman" w:cs="Times New Roman"/>
          <w:bCs/>
          <w:i/>
          <w:color w:val="000000"/>
          <w:sz w:val="22"/>
          <w:szCs w:val="24"/>
        </w:rPr>
        <w:t xml:space="preserve">decembrim </w:t>
      </w:r>
      <w:r w:rsidR="00B7100B" w:rsidRPr="00B93310">
        <w:rPr>
          <w:rFonts w:eastAsia="Times New Roman" w:cs="Times New Roman"/>
          <w:bCs/>
          <w:i/>
          <w:color w:val="000000"/>
          <w:sz w:val="22"/>
          <w:szCs w:val="24"/>
        </w:rPr>
        <w:t>milj. euro, % no ES fondu finansējuma, progress pret datiem līdz 2016.gada 1.</w:t>
      </w:r>
      <w:r w:rsidR="00C133C7" w:rsidRPr="00B93310">
        <w:rPr>
          <w:rFonts w:eastAsia="Times New Roman" w:cs="Times New Roman"/>
          <w:bCs/>
          <w:i/>
          <w:color w:val="000000"/>
          <w:sz w:val="22"/>
          <w:szCs w:val="24"/>
        </w:rPr>
        <w:t>novembrim</w:t>
      </w:r>
      <w:r w:rsidR="00B7100B" w:rsidRPr="00B93310">
        <w:rPr>
          <w:rFonts w:eastAsia="Times New Roman" w:cs="Times New Roman"/>
          <w:bCs/>
          <w:i/>
          <w:color w:val="000000"/>
          <w:sz w:val="22"/>
          <w:szCs w:val="24"/>
        </w:rPr>
        <w:t>”</w:t>
      </w:r>
    </w:p>
    <w:p w14:paraId="7F1B5FD9" w14:textId="6DC0C0D3" w:rsidR="00B7100B" w:rsidRPr="007C3C22" w:rsidRDefault="00797B8A" w:rsidP="007C3C22">
      <w:pPr>
        <w:pStyle w:val="ListParagraph"/>
        <w:suppressAutoHyphens/>
        <w:spacing w:before="120" w:after="120" w:line="276" w:lineRule="auto"/>
        <w:ind w:left="0"/>
        <w:contextualSpacing w:val="0"/>
        <w:jc w:val="both"/>
        <w:rPr>
          <w:rFonts w:eastAsia="Times New Roman" w:cs="Times New Roman"/>
          <w:bCs/>
          <w:i/>
          <w:color w:val="000000"/>
          <w:sz w:val="22"/>
          <w:szCs w:val="24"/>
        </w:rPr>
      </w:pPr>
      <w:r>
        <w:rPr>
          <w:noProof/>
          <w:lang w:eastAsia="lv-LV"/>
        </w:rPr>
        <w:drawing>
          <wp:inline distT="0" distB="0" distL="0" distR="0" wp14:anchorId="7BE768C8" wp14:editId="6391FCBF">
            <wp:extent cx="6038850" cy="41243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947CAF" w14:textId="510C4F09" w:rsidR="00B7100B" w:rsidRPr="00B12C2D" w:rsidRDefault="00B7100B" w:rsidP="00B7100B">
      <w:pPr>
        <w:pStyle w:val="ListParagraph"/>
        <w:numPr>
          <w:ilvl w:val="0"/>
          <w:numId w:val="22"/>
        </w:numPr>
        <w:suppressAutoHyphens/>
        <w:spacing w:before="120" w:after="120"/>
        <w:ind w:left="0" w:firstLine="0"/>
        <w:contextualSpacing w:val="0"/>
        <w:jc w:val="both"/>
        <w:rPr>
          <w:color w:val="000000" w:themeColor="text1"/>
        </w:rPr>
      </w:pPr>
      <w:r w:rsidRPr="00B93310">
        <w:rPr>
          <w:b/>
          <w:szCs w:val="24"/>
        </w:rPr>
        <w:t xml:space="preserve">Progress projektu ieviešanas posmā ir dinamisks. Piemēram, </w:t>
      </w:r>
      <w:r w:rsidR="00B9731F" w:rsidRPr="00B93310">
        <w:rPr>
          <w:b/>
          <w:szCs w:val="24"/>
        </w:rPr>
        <w:t xml:space="preserve">nepilnu </w:t>
      </w:r>
      <w:r w:rsidR="007A25AE">
        <w:rPr>
          <w:b/>
          <w:szCs w:val="24"/>
        </w:rPr>
        <w:t>3</w:t>
      </w:r>
      <w:r w:rsidRPr="00B93310">
        <w:rPr>
          <w:b/>
          <w:szCs w:val="24"/>
        </w:rPr>
        <w:t xml:space="preserve"> nedēļu laikā</w:t>
      </w:r>
      <w:r w:rsidRPr="00B93310">
        <w:rPr>
          <w:szCs w:val="24"/>
        </w:rPr>
        <w:t xml:space="preserve"> līdz 2016.gada </w:t>
      </w:r>
      <w:r w:rsidR="007A25AE">
        <w:rPr>
          <w:szCs w:val="24"/>
        </w:rPr>
        <w:t>20</w:t>
      </w:r>
      <w:r w:rsidRPr="00B93310">
        <w:rPr>
          <w:szCs w:val="24"/>
        </w:rPr>
        <w:t>.</w:t>
      </w:r>
      <w:r w:rsidR="00B9731F" w:rsidRPr="00B93310">
        <w:rPr>
          <w:szCs w:val="24"/>
        </w:rPr>
        <w:t>decembrim</w:t>
      </w:r>
      <w:r w:rsidRPr="00B93310">
        <w:rPr>
          <w:szCs w:val="24"/>
        </w:rPr>
        <w:t xml:space="preserve"> </w:t>
      </w:r>
      <w:r w:rsidR="00B12C2D">
        <w:rPr>
          <w:szCs w:val="24"/>
        </w:rPr>
        <w:t>apstiprināti projekti par papildus 56,8 milj. e</w:t>
      </w:r>
      <w:r w:rsidR="00B12C2D" w:rsidRPr="00B12C2D">
        <w:rPr>
          <w:i/>
          <w:szCs w:val="24"/>
        </w:rPr>
        <w:t>uro</w:t>
      </w:r>
      <w:r w:rsidR="00B12C2D">
        <w:rPr>
          <w:szCs w:val="24"/>
        </w:rPr>
        <w:t xml:space="preserve">, </w:t>
      </w:r>
      <w:r w:rsidRPr="00B93310">
        <w:rPr>
          <w:szCs w:val="24"/>
        </w:rPr>
        <w:t xml:space="preserve">noslēgti līgumi par </w:t>
      </w:r>
      <w:r w:rsidRPr="00B12C2D">
        <w:rPr>
          <w:szCs w:val="24"/>
        </w:rPr>
        <w:t xml:space="preserve">papildus </w:t>
      </w:r>
      <w:r w:rsidR="00B12C2D" w:rsidRPr="00B12C2D">
        <w:rPr>
          <w:szCs w:val="24"/>
        </w:rPr>
        <w:t>46,1</w:t>
      </w:r>
      <w:r w:rsidRPr="00B12C2D">
        <w:rPr>
          <w:szCs w:val="24"/>
        </w:rPr>
        <w:t xml:space="preserve"> milj</w:t>
      </w:r>
      <w:r w:rsidR="00A64EBA" w:rsidRPr="00B12C2D">
        <w:rPr>
          <w:szCs w:val="24"/>
        </w:rPr>
        <w:t>.</w:t>
      </w:r>
      <w:r w:rsidRPr="00B12C2D">
        <w:rPr>
          <w:szCs w:val="24"/>
        </w:rPr>
        <w:t xml:space="preserve"> </w:t>
      </w:r>
      <w:r w:rsidRPr="00B12C2D">
        <w:rPr>
          <w:i/>
          <w:szCs w:val="24"/>
        </w:rPr>
        <w:t>euro</w:t>
      </w:r>
      <w:r w:rsidR="0047271D">
        <w:rPr>
          <w:szCs w:val="24"/>
        </w:rPr>
        <w:t xml:space="preserve"> un</w:t>
      </w:r>
      <w:r w:rsidRPr="00B12C2D">
        <w:rPr>
          <w:szCs w:val="24"/>
        </w:rPr>
        <w:t xml:space="preserve"> veikti maksājumi par </w:t>
      </w:r>
      <w:r w:rsidR="00962AFF" w:rsidRPr="00B12C2D">
        <w:rPr>
          <w:szCs w:val="24"/>
        </w:rPr>
        <w:t xml:space="preserve">vēl </w:t>
      </w:r>
      <w:r w:rsidR="00501F87" w:rsidRPr="00B12C2D">
        <w:rPr>
          <w:szCs w:val="24"/>
        </w:rPr>
        <w:t>8,8</w:t>
      </w:r>
      <w:r w:rsidRPr="00B12C2D">
        <w:rPr>
          <w:szCs w:val="24"/>
        </w:rPr>
        <w:t xml:space="preserve"> milj</w:t>
      </w:r>
      <w:r w:rsidR="00A64EBA" w:rsidRPr="00B12C2D">
        <w:rPr>
          <w:szCs w:val="24"/>
        </w:rPr>
        <w:t>.</w:t>
      </w:r>
      <w:r w:rsidRPr="00B12C2D">
        <w:rPr>
          <w:szCs w:val="24"/>
        </w:rPr>
        <w:t xml:space="preserve"> </w:t>
      </w:r>
      <w:r w:rsidRPr="00B12C2D">
        <w:rPr>
          <w:i/>
          <w:szCs w:val="24"/>
        </w:rPr>
        <w:t>euro</w:t>
      </w:r>
      <w:r w:rsidRPr="00B12C2D">
        <w:rPr>
          <w:szCs w:val="24"/>
        </w:rPr>
        <w:t>. Progress, galvenokārt, transporta</w:t>
      </w:r>
      <w:r w:rsidR="00B12C2D" w:rsidRPr="00B12C2D">
        <w:rPr>
          <w:szCs w:val="24"/>
        </w:rPr>
        <w:t xml:space="preserve"> un uzņēmējdarbības</w:t>
      </w:r>
      <w:r w:rsidRPr="00B12C2D">
        <w:rPr>
          <w:szCs w:val="24"/>
        </w:rPr>
        <w:t xml:space="preserve">  nozarē. </w:t>
      </w:r>
    </w:p>
    <w:p w14:paraId="65EDC538" w14:textId="5E58B61E" w:rsidR="006E225E" w:rsidRPr="006E225E" w:rsidRDefault="00A564B5" w:rsidP="00BF0B4C">
      <w:pPr>
        <w:pStyle w:val="ListParagraph"/>
        <w:numPr>
          <w:ilvl w:val="0"/>
          <w:numId w:val="22"/>
        </w:numPr>
        <w:suppressAutoHyphens/>
        <w:spacing w:before="120" w:after="120"/>
        <w:ind w:left="0" w:firstLine="0"/>
        <w:contextualSpacing w:val="0"/>
        <w:jc w:val="both"/>
        <w:rPr>
          <w:color w:val="000000" w:themeColor="text1"/>
        </w:rPr>
      </w:pPr>
      <w:r w:rsidRPr="006E225E">
        <w:rPr>
          <w:szCs w:val="24"/>
        </w:rPr>
        <w:lastRenderedPageBreak/>
        <w:t>P</w:t>
      </w:r>
      <w:r w:rsidR="00AE709D" w:rsidRPr="006E225E">
        <w:rPr>
          <w:szCs w:val="24"/>
        </w:rPr>
        <w:t>rojektu uzsākšanas nosacījumu izstrādē (primāri MK noteikumi</w:t>
      </w:r>
      <w:r w:rsidR="004F5936" w:rsidRPr="006E225E">
        <w:rPr>
          <w:szCs w:val="24"/>
        </w:rPr>
        <w:t xml:space="preserve"> par specifiskā atbalsta mērķa īstenošanu (turpmāk – MK noteikumi)</w:t>
      </w:r>
      <w:r w:rsidR="00AE709D" w:rsidRPr="006E225E">
        <w:rPr>
          <w:szCs w:val="24"/>
        </w:rPr>
        <w:t xml:space="preserve">) </w:t>
      </w:r>
      <w:r w:rsidR="00E26270" w:rsidRPr="006E225E">
        <w:rPr>
          <w:szCs w:val="24"/>
        </w:rPr>
        <w:t>sasniegts ļoti labs rezultāts. L</w:t>
      </w:r>
      <w:r w:rsidR="00D96336" w:rsidRPr="006E225E">
        <w:rPr>
          <w:szCs w:val="24"/>
        </w:rPr>
        <w:t xml:space="preserve">īdz 2016.gada beigām </w:t>
      </w:r>
      <w:r w:rsidR="004601AF" w:rsidRPr="006E225E">
        <w:rPr>
          <w:szCs w:val="24"/>
        </w:rPr>
        <w:t xml:space="preserve">no 4 miljardu </w:t>
      </w:r>
      <w:r w:rsidR="004601AF" w:rsidRPr="006E225E">
        <w:rPr>
          <w:i/>
          <w:szCs w:val="24"/>
        </w:rPr>
        <w:t>euro</w:t>
      </w:r>
      <w:r w:rsidR="004601AF" w:rsidRPr="006E225E">
        <w:rPr>
          <w:szCs w:val="24"/>
        </w:rPr>
        <w:t xml:space="preserve"> valdības mērķa</w:t>
      </w:r>
      <w:r w:rsidR="00E26270">
        <w:rPr>
          <w:rStyle w:val="FootnoteReference"/>
          <w:szCs w:val="24"/>
        </w:rPr>
        <w:footnoteReference w:id="4"/>
      </w:r>
      <w:r w:rsidR="004601AF" w:rsidRPr="006E225E">
        <w:rPr>
          <w:szCs w:val="24"/>
        </w:rPr>
        <w:t xml:space="preserve"> ir izdevies </w:t>
      </w:r>
      <w:r w:rsidR="007A25AE" w:rsidRPr="006E225E">
        <w:rPr>
          <w:szCs w:val="24"/>
        </w:rPr>
        <w:t xml:space="preserve">apstiprināt </w:t>
      </w:r>
      <w:r w:rsidR="00B854C0" w:rsidRPr="006E225E">
        <w:rPr>
          <w:szCs w:val="24"/>
        </w:rPr>
        <w:t xml:space="preserve">investīciju </w:t>
      </w:r>
      <w:r w:rsidR="007A25AE" w:rsidRPr="006E225E">
        <w:rPr>
          <w:szCs w:val="24"/>
        </w:rPr>
        <w:t xml:space="preserve">MK noteikumus par </w:t>
      </w:r>
      <w:r w:rsidR="001764D2" w:rsidRPr="006E225E">
        <w:rPr>
          <w:szCs w:val="24"/>
        </w:rPr>
        <w:t>3,</w:t>
      </w:r>
      <w:r w:rsidR="00F41503" w:rsidRPr="006E225E">
        <w:rPr>
          <w:szCs w:val="24"/>
        </w:rPr>
        <w:t>8</w:t>
      </w:r>
      <w:r w:rsidR="001764D2" w:rsidRPr="006E225E">
        <w:rPr>
          <w:szCs w:val="24"/>
        </w:rPr>
        <w:t xml:space="preserve"> miljardiem </w:t>
      </w:r>
      <w:r w:rsidR="001764D2" w:rsidRPr="006E225E">
        <w:rPr>
          <w:i/>
          <w:szCs w:val="24"/>
        </w:rPr>
        <w:t>euro</w:t>
      </w:r>
      <w:r w:rsidR="001764D2" w:rsidRPr="006E225E">
        <w:rPr>
          <w:szCs w:val="24"/>
        </w:rPr>
        <w:t xml:space="preserve"> </w:t>
      </w:r>
      <w:r w:rsidR="00F41503" w:rsidRPr="006E225E">
        <w:rPr>
          <w:szCs w:val="24"/>
        </w:rPr>
        <w:t>jeb 95,0%</w:t>
      </w:r>
      <w:r w:rsidR="00B854C0" w:rsidRPr="006E225E">
        <w:rPr>
          <w:szCs w:val="24"/>
        </w:rPr>
        <w:t xml:space="preserve">. Līdz 2016.gada beigām investīciju noteikumi spēkā ir jau </w:t>
      </w:r>
      <w:r w:rsidR="00F41503" w:rsidRPr="006E225E">
        <w:rPr>
          <w:szCs w:val="24"/>
        </w:rPr>
        <w:t>85,0</w:t>
      </w:r>
      <w:r w:rsidR="001764D2" w:rsidRPr="006E225E">
        <w:rPr>
          <w:szCs w:val="24"/>
        </w:rPr>
        <w:t>% no kopējā pieejamā ES fondu finansējuma</w:t>
      </w:r>
      <w:r w:rsidR="00B854C0" w:rsidRPr="006E225E">
        <w:rPr>
          <w:szCs w:val="24"/>
        </w:rPr>
        <w:t xml:space="preserve"> investīijām līdz 2023.gadam</w:t>
      </w:r>
      <w:r w:rsidR="004601AF" w:rsidRPr="006E225E">
        <w:rPr>
          <w:szCs w:val="24"/>
        </w:rPr>
        <w:t>.</w:t>
      </w:r>
      <w:r w:rsidR="009B2776" w:rsidRPr="006E225E">
        <w:rPr>
          <w:szCs w:val="24"/>
        </w:rPr>
        <w:t xml:space="preserve"> </w:t>
      </w:r>
      <w:r w:rsidR="00B854C0" w:rsidRPr="006E225E">
        <w:rPr>
          <w:szCs w:val="24"/>
        </w:rPr>
        <w:t xml:space="preserve">No 2016.gadā neizpildītā sagaidāms, ka 2017.gada sākumā tiks lemts par </w:t>
      </w:r>
      <w:r w:rsidR="0096398C" w:rsidRPr="006E225E">
        <w:rPr>
          <w:szCs w:val="24"/>
        </w:rPr>
        <w:t xml:space="preserve">investīcijām dzelzceļa elektrifikācijas projektā (346,6 milj. </w:t>
      </w:r>
      <w:r w:rsidR="0096398C" w:rsidRPr="006E225E">
        <w:rPr>
          <w:i/>
          <w:szCs w:val="24"/>
        </w:rPr>
        <w:t>euro</w:t>
      </w:r>
      <w:r w:rsidR="00B854C0" w:rsidRPr="006E225E">
        <w:rPr>
          <w:szCs w:val="24"/>
        </w:rPr>
        <w:t xml:space="preserve"> Kohēzijas fonds</w:t>
      </w:r>
      <w:r w:rsidR="0096398C" w:rsidRPr="006E225E">
        <w:rPr>
          <w:szCs w:val="24"/>
        </w:rPr>
        <w:t xml:space="preserve">). </w:t>
      </w:r>
      <w:r w:rsidR="00C00937" w:rsidRPr="006E225E">
        <w:rPr>
          <w:szCs w:val="24"/>
        </w:rPr>
        <w:t>Pozitīvi, ka</w:t>
      </w:r>
      <w:r w:rsidR="004601AF" w:rsidRPr="006E225E">
        <w:rPr>
          <w:szCs w:val="24"/>
        </w:rPr>
        <w:t xml:space="preserve"> </w:t>
      </w:r>
      <w:r w:rsidR="0096398C" w:rsidRPr="006E225E">
        <w:rPr>
          <w:szCs w:val="24"/>
        </w:rPr>
        <w:t xml:space="preserve">2016.gada 20.decembrī </w:t>
      </w:r>
      <w:r w:rsidR="00C00937" w:rsidRPr="006E225E">
        <w:rPr>
          <w:szCs w:val="24"/>
        </w:rPr>
        <w:t xml:space="preserve">ir </w:t>
      </w:r>
      <w:r w:rsidR="004601AF" w:rsidRPr="006E225E">
        <w:rPr>
          <w:szCs w:val="24"/>
        </w:rPr>
        <w:t>pieņemts valdības lēmums par ieguldījumi</w:t>
      </w:r>
      <w:r w:rsidR="00796D7B" w:rsidRPr="006E225E">
        <w:rPr>
          <w:szCs w:val="24"/>
        </w:rPr>
        <w:t>e</w:t>
      </w:r>
      <w:r w:rsidR="004601AF" w:rsidRPr="006E225E">
        <w:rPr>
          <w:szCs w:val="24"/>
        </w:rPr>
        <w:t xml:space="preserve">m veselības aprūpes infrastruktūrā. </w:t>
      </w:r>
      <w:r w:rsidR="006E225E" w:rsidRPr="006E225E">
        <w:rPr>
          <w:iCs/>
          <w:color w:val="000000" w:themeColor="text1"/>
        </w:rPr>
        <w:t xml:space="preserve">2016.gadā panākts ievērojams temps. 2016.gadā vien padarītais ir par vismaz divām ar pusi reizēm vairāk nekā iepriekšējos divos gados kopā. </w:t>
      </w:r>
    </w:p>
    <w:p w14:paraId="701B205F" w14:textId="557F3C13" w:rsidR="00966F47" w:rsidRPr="006E225E" w:rsidRDefault="00966F47" w:rsidP="00940FD7">
      <w:pPr>
        <w:pStyle w:val="ListParagraph"/>
        <w:numPr>
          <w:ilvl w:val="0"/>
          <w:numId w:val="22"/>
        </w:numPr>
        <w:suppressAutoHyphens/>
        <w:spacing w:before="120" w:after="120"/>
        <w:ind w:left="0" w:firstLine="0"/>
        <w:contextualSpacing w:val="0"/>
        <w:jc w:val="both"/>
        <w:rPr>
          <w:color w:val="000000" w:themeColor="text1"/>
        </w:rPr>
      </w:pPr>
      <w:r w:rsidRPr="006E225E">
        <w:rPr>
          <w:rFonts w:cs="Times New Roman"/>
          <w:szCs w:val="24"/>
        </w:rPr>
        <w:t>Kopsavilkumu par MK noteikumu ikmēneša p</w:t>
      </w:r>
      <w:r w:rsidR="00AC60AD" w:rsidRPr="006E225E">
        <w:rPr>
          <w:rFonts w:cs="Times New Roman"/>
          <w:szCs w:val="24"/>
        </w:rPr>
        <w:t>lānu izpildi skatīt grafikā Nr.2</w:t>
      </w:r>
      <w:r w:rsidRPr="006E225E">
        <w:rPr>
          <w:rFonts w:cs="Times New Roman"/>
          <w:szCs w:val="24"/>
        </w:rPr>
        <w:t xml:space="preserve">. </w:t>
      </w:r>
      <w:r w:rsidRPr="006E225E">
        <w:rPr>
          <w:szCs w:val="24"/>
        </w:rPr>
        <w:t xml:space="preserve">Detalizēta statusa informācija ir </w:t>
      </w:r>
      <w:r w:rsidRPr="00C814E3">
        <w:t xml:space="preserve">pieejama </w:t>
      </w:r>
      <w:r w:rsidR="00796D7B">
        <w:t>ES fondu tīmekļa vietnē</w:t>
      </w:r>
      <w:r w:rsidRPr="00C814E3">
        <w:rPr>
          <w:rStyle w:val="FootnoteReference"/>
          <w:szCs w:val="24"/>
        </w:rPr>
        <w:footnoteReference w:id="5"/>
      </w:r>
      <w:r w:rsidR="00796D7B">
        <w:t>, savukārt</w:t>
      </w:r>
      <w:r w:rsidRPr="006E225E">
        <w:rPr>
          <w:szCs w:val="24"/>
        </w:rPr>
        <w:t xml:space="preserve"> kavēto MK noteikumu statuss detalizēti uzskaitīts šī ziņojuma </w:t>
      </w:r>
      <w:r w:rsidR="00796D7B" w:rsidRPr="006E225E">
        <w:rPr>
          <w:szCs w:val="24"/>
        </w:rPr>
        <w:t>1</w:t>
      </w:r>
      <w:r w:rsidRPr="006E225E">
        <w:rPr>
          <w:szCs w:val="24"/>
        </w:rPr>
        <w:t xml:space="preserve">.un </w:t>
      </w:r>
      <w:r w:rsidR="00796D7B" w:rsidRPr="006E225E">
        <w:rPr>
          <w:szCs w:val="24"/>
        </w:rPr>
        <w:t>2</w:t>
      </w:r>
      <w:r w:rsidRPr="006E225E">
        <w:rPr>
          <w:szCs w:val="24"/>
        </w:rPr>
        <w:t>.pielikum</w:t>
      </w:r>
      <w:r w:rsidR="000C39BB" w:rsidRPr="006E225E">
        <w:rPr>
          <w:szCs w:val="24"/>
        </w:rPr>
        <w:t>ā</w:t>
      </w:r>
      <w:r w:rsidRPr="006E225E">
        <w:rPr>
          <w:szCs w:val="24"/>
        </w:rPr>
        <w:t>.</w:t>
      </w:r>
      <w:r w:rsidR="00796D7B" w:rsidRPr="006E225E">
        <w:rPr>
          <w:szCs w:val="24"/>
        </w:rPr>
        <w:t xml:space="preserve"> Ziņojuma 3.pielikumā pieejama informācija par 2017. un 2018.gadā apstiprināmajiem MK noteikumiem. </w:t>
      </w:r>
    </w:p>
    <w:p w14:paraId="5BB5C70F" w14:textId="49C1E5C7" w:rsidR="00966F47" w:rsidRPr="008F2668" w:rsidRDefault="00AC60AD" w:rsidP="00966F47">
      <w:pPr>
        <w:rPr>
          <w:rFonts w:eastAsia="Times New Roman" w:cs="Times New Roman"/>
          <w:bCs/>
          <w:i/>
          <w:color w:val="000000"/>
          <w:sz w:val="22"/>
        </w:rPr>
      </w:pPr>
      <w:r>
        <w:rPr>
          <w:rFonts w:cs="Times New Roman"/>
          <w:b/>
          <w:i/>
          <w:sz w:val="22"/>
        </w:rPr>
        <w:t>Grafiks Nr.2</w:t>
      </w:r>
      <w:r w:rsidR="00966F47" w:rsidRPr="008622BE">
        <w:rPr>
          <w:rFonts w:cs="Times New Roman"/>
          <w:i/>
          <w:sz w:val="22"/>
        </w:rPr>
        <w:t xml:space="preserve"> “</w:t>
      </w:r>
      <w:r w:rsidR="00966F47" w:rsidRPr="008622BE">
        <w:rPr>
          <w:rFonts w:eastAsia="Times New Roman" w:cs="Times New Roman"/>
          <w:bCs/>
          <w:i/>
          <w:color w:val="000000"/>
          <w:sz w:val="22"/>
        </w:rPr>
        <w:t xml:space="preserve">ES fondu investīciju uzsākšanas gatavība – MK noteikumi 2016.gads.(faktiskie dati līdz 2016.gada </w:t>
      </w:r>
      <w:r w:rsidR="00C974A3">
        <w:rPr>
          <w:rFonts w:eastAsia="Times New Roman" w:cs="Times New Roman"/>
          <w:bCs/>
          <w:i/>
          <w:color w:val="000000"/>
          <w:sz w:val="22"/>
        </w:rPr>
        <w:t>20</w:t>
      </w:r>
      <w:r w:rsidR="00966F47" w:rsidRPr="008622BE">
        <w:rPr>
          <w:rFonts w:eastAsia="Times New Roman" w:cs="Times New Roman"/>
          <w:bCs/>
          <w:i/>
          <w:color w:val="000000"/>
          <w:sz w:val="22"/>
        </w:rPr>
        <w:t>.</w:t>
      </w:r>
      <w:r w:rsidR="00B93310" w:rsidRPr="008622BE">
        <w:rPr>
          <w:rFonts w:eastAsia="Times New Roman" w:cs="Times New Roman"/>
          <w:bCs/>
          <w:i/>
          <w:color w:val="000000"/>
          <w:sz w:val="22"/>
        </w:rPr>
        <w:t>decembrim</w:t>
      </w:r>
      <w:r w:rsidR="00966F47" w:rsidRPr="008622BE">
        <w:rPr>
          <w:rFonts w:eastAsia="Times New Roman" w:cs="Times New Roman"/>
          <w:bCs/>
          <w:i/>
          <w:color w:val="000000"/>
          <w:sz w:val="22"/>
        </w:rPr>
        <w:t>. milj. euro)</w:t>
      </w:r>
      <w:r w:rsidR="00966F47" w:rsidRPr="008622BE">
        <w:rPr>
          <w:rStyle w:val="FootnoteReference"/>
          <w:rFonts w:eastAsia="Times New Roman" w:cs="Times New Roman"/>
          <w:bCs/>
          <w:i/>
          <w:color w:val="000000"/>
          <w:sz w:val="22"/>
        </w:rPr>
        <w:footnoteReference w:id="6"/>
      </w:r>
      <w:r w:rsidR="00966F47" w:rsidRPr="008622BE">
        <w:rPr>
          <w:rFonts w:eastAsia="Times New Roman" w:cs="Times New Roman"/>
          <w:bCs/>
          <w:i/>
          <w:color w:val="000000"/>
          <w:sz w:val="22"/>
        </w:rPr>
        <w:t>”</w:t>
      </w:r>
      <w:r w:rsidR="00966F47" w:rsidRPr="008F2668">
        <w:rPr>
          <w:rStyle w:val="FootnoteReference"/>
          <w:rFonts w:eastAsia="Times New Roman" w:cs="Times New Roman"/>
          <w:bCs/>
          <w:i/>
          <w:color w:val="000000"/>
          <w:sz w:val="22"/>
        </w:rPr>
        <w:t xml:space="preserve"> </w:t>
      </w:r>
    </w:p>
    <w:p w14:paraId="7F6749E2" w14:textId="3E691C0A" w:rsidR="00000113" w:rsidRPr="004B0E64" w:rsidRDefault="00966F47" w:rsidP="004B0E64">
      <w:pPr>
        <w:rPr>
          <w:rFonts w:cs="Times New Roman"/>
          <w:b/>
          <w:i/>
          <w:sz w:val="22"/>
        </w:rPr>
      </w:pPr>
      <w:r w:rsidRPr="008F2668">
        <w:rPr>
          <w:rFonts w:cs="Times New Roman"/>
          <w:b/>
          <w:i/>
          <w:noProof/>
          <w:sz w:val="22"/>
          <w:lang w:eastAsia="lv-LV"/>
        </w:rPr>
        <w:drawing>
          <wp:inline distT="0" distB="0" distL="0" distR="0" wp14:anchorId="5DA328E5" wp14:editId="6F55B18C">
            <wp:extent cx="6010275" cy="34385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63F7FB" w14:textId="77777777" w:rsidR="00EC09E0" w:rsidRPr="00EC09E0" w:rsidRDefault="003F0369" w:rsidP="006257B3">
      <w:pPr>
        <w:pStyle w:val="ListParagraph"/>
        <w:numPr>
          <w:ilvl w:val="0"/>
          <w:numId w:val="22"/>
        </w:numPr>
        <w:suppressAutoHyphens/>
        <w:spacing w:before="120" w:after="120"/>
        <w:ind w:left="0" w:firstLine="0"/>
        <w:contextualSpacing w:val="0"/>
        <w:jc w:val="both"/>
        <w:rPr>
          <w:rFonts w:cs="Times New Roman"/>
          <w:szCs w:val="24"/>
        </w:rPr>
      </w:pPr>
      <w:r w:rsidRPr="00EC09E0">
        <w:rPr>
          <w:rFonts w:cs="Times New Roman"/>
          <w:szCs w:val="24"/>
        </w:rPr>
        <w:t>Kā minēts iepriekš, p</w:t>
      </w:r>
      <w:r w:rsidR="00684ADB" w:rsidRPr="00EC09E0">
        <w:rPr>
          <w:rFonts w:cs="Times New Roman"/>
          <w:szCs w:val="24"/>
        </w:rPr>
        <w:t xml:space="preserve">rojektu iesniegumu </w:t>
      </w:r>
      <w:r w:rsidR="00684ADB" w:rsidRPr="00EC09E0">
        <w:rPr>
          <w:rFonts w:cs="Times New Roman"/>
          <w:b/>
          <w:szCs w:val="24"/>
        </w:rPr>
        <w:t>atlašu izsludināšana</w:t>
      </w:r>
      <w:r w:rsidR="00A441A2" w:rsidRPr="00EC09E0">
        <w:rPr>
          <w:rFonts w:cs="Times New Roman"/>
          <w:b/>
          <w:szCs w:val="24"/>
        </w:rPr>
        <w:t xml:space="preserve"> arvien progresē</w:t>
      </w:r>
      <w:r w:rsidRPr="00EC09E0">
        <w:rPr>
          <w:rFonts w:cs="Times New Roman"/>
          <w:b/>
          <w:szCs w:val="24"/>
        </w:rPr>
        <w:t xml:space="preserve">. </w:t>
      </w:r>
      <w:r w:rsidR="004F5936" w:rsidRPr="00EC09E0">
        <w:rPr>
          <w:rFonts w:cs="Times New Roman"/>
          <w:szCs w:val="24"/>
        </w:rPr>
        <w:t>Atsevišķos gadījumos</w:t>
      </w:r>
      <w:r w:rsidR="00684ADB" w:rsidRPr="00EC09E0">
        <w:rPr>
          <w:rFonts w:cs="Times New Roman"/>
          <w:szCs w:val="24"/>
        </w:rPr>
        <w:t xml:space="preserve"> </w:t>
      </w:r>
      <w:r w:rsidR="00253006" w:rsidRPr="00EC09E0">
        <w:rPr>
          <w:rFonts w:cs="Times New Roman"/>
          <w:szCs w:val="24"/>
        </w:rPr>
        <w:t>projektu atlašu uzsākšana</w:t>
      </w:r>
      <w:r w:rsidR="00C2310D" w:rsidRPr="00EC09E0">
        <w:rPr>
          <w:rFonts w:cs="Times New Roman"/>
          <w:szCs w:val="24"/>
        </w:rPr>
        <w:t xml:space="preserve">s termiņi </w:t>
      </w:r>
      <w:r w:rsidR="006528A8" w:rsidRPr="00EC09E0">
        <w:rPr>
          <w:rFonts w:cs="Times New Roman"/>
          <w:szCs w:val="24"/>
        </w:rPr>
        <w:t xml:space="preserve">vai projektu apstiprināšana </w:t>
      </w:r>
      <w:r w:rsidR="00253006" w:rsidRPr="00EC09E0">
        <w:rPr>
          <w:rFonts w:cs="Times New Roman"/>
          <w:szCs w:val="24"/>
        </w:rPr>
        <w:t>ir atkarīg</w:t>
      </w:r>
      <w:r w:rsidR="00C2310D" w:rsidRPr="00EC09E0">
        <w:rPr>
          <w:rFonts w:cs="Times New Roman"/>
          <w:szCs w:val="24"/>
        </w:rPr>
        <w:t>i</w:t>
      </w:r>
      <w:r w:rsidR="00253006" w:rsidRPr="00EC09E0">
        <w:rPr>
          <w:rFonts w:cs="Times New Roman"/>
          <w:szCs w:val="24"/>
        </w:rPr>
        <w:t xml:space="preserve"> no </w:t>
      </w:r>
      <w:r w:rsidR="00E72755" w:rsidRPr="00EC09E0">
        <w:rPr>
          <w:rFonts w:cs="Times New Roman"/>
          <w:szCs w:val="24"/>
        </w:rPr>
        <w:t xml:space="preserve">citu </w:t>
      </w:r>
      <w:r w:rsidR="00684ADB" w:rsidRPr="00EC09E0">
        <w:rPr>
          <w:rFonts w:cs="Times New Roman"/>
          <w:szCs w:val="24"/>
        </w:rPr>
        <w:t>specifisk</w:t>
      </w:r>
      <w:r w:rsidR="00C2310D" w:rsidRPr="00EC09E0">
        <w:rPr>
          <w:rFonts w:cs="Times New Roman"/>
          <w:szCs w:val="24"/>
        </w:rPr>
        <w:t>u</w:t>
      </w:r>
      <w:r w:rsidR="00684ADB" w:rsidRPr="00EC09E0">
        <w:rPr>
          <w:rFonts w:cs="Times New Roman"/>
          <w:szCs w:val="24"/>
        </w:rPr>
        <w:t xml:space="preserve"> priekšnosacījumu izpild</w:t>
      </w:r>
      <w:r w:rsidR="00253006" w:rsidRPr="00EC09E0">
        <w:rPr>
          <w:rFonts w:cs="Times New Roman"/>
          <w:szCs w:val="24"/>
        </w:rPr>
        <w:t>es</w:t>
      </w:r>
      <w:r w:rsidR="00820FBF" w:rsidRPr="00EC09E0">
        <w:rPr>
          <w:rFonts w:cs="Times New Roman"/>
          <w:szCs w:val="24"/>
        </w:rPr>
        <w:t xml:space="preserve">, </w:t>
      </w:r>
      <w:r w:rsidR="00684ADB" w:rsidRPr="00EC09E0">
        <w:rPr>
          <w:rFonts w:cs="Times New Roman"/>
          <w:szCs w:val="24"/>
        </w:rPr>
        <w:t>piemēram, projektu ideju priekšatlase</w:t>
      </w:r>
      <w:r w:rsidR="006528A8" w:rsidRPr="00EC09E0">
        <w:rPr>
          <w:rFonts w:cs="Times New Roman"/>
          <w:szCs w:val="24"/>
        </w:rPr>
        <w:t>s</w:t>
      </w:r>
      <w:r w:rsidR="00684ADB" w:rsidRPr="00C814E3">
        <w:rPr>
          <w:rStyle w:val="FootnoteReference"/>
          <w:rFonts w:cs="Times New Roman"/>
          <w:szCs w:val="24"/>
        </w:rPr>
        <w:footnoteReference w:id="7"/>
      </w:r>
      <w:r w:rsidR="004F5936" w:rsidRPr="00EC09E0">
        <w:rPr>
          <w:rFonts w:cs="Times New Roman"/>
          <w:szCs w:val="24"/>
        </w:rPr>
        <w:t xml:space="preserve">, kuras </w:t>
      </w:r>
      <w:r w:rsidR="004F5936" w:rsidRPr="00EC09E0">
        <w:rPr>
          <w:rFonts w:eastAsia="Calibri" w:cs="Times New Roman"/>
          <w:szCs w:val="24"/>
          <w:lang w:eastAsia="ar-SA"/>
        </w:rPr>
        <w:t>mērķis ir nodrošināt kvalitatīvāku, mērķtiecīgāku un koordinētu projektu īstenošanu.</w:t>
      </w:r>
      <w:r w:rsidR="00E72755" w:rsidRPr="00EC09E0">
        <w:rPr>
          <w:rFonts w:cs="Times New Roman"/>
          <w:szCs w:val="24"/>
        </w:rPr>
        <w:t xml:space="preserve"> </w:t>
      </w:r>
      <w:r w:rsidR="000C2AA0" w:rsidRPr="00EC09E0">
        <w:rPr>
          <w:rFonts w:cs="Times New Roman"/>
          <w:szCs w:val="24"/>
        </w:rPr>
        <w:t xml:space="preserve">Būtiskākie </w:t>
      </w:r>
      <w:r w:rsidR="00685C64" w:rsidRPr="00EC09E0">
        <w:rPr>
          <w:rFonts w:cs="Times New Roman"/>
          <w:szCs w:val="24"/>
        </w:rPr>
        <w:t xml:space="preserve">riski </w:t>
      </w:r>
      <w:r w:rsidR="000C2AA0" w:rsidRPr="00EC09E0">
        <w:rPr>
          <w:rFonts w:cs="Times New Roman"/>
          <w:szCs w:val="24"/>
        </w:rPr>
        <w:t>ar lielāko finanšu ietekmi</w:t>
      </w:r>
      <w:r w:rsidR="00265C0B" w:rsidRPr="00EC09E0">
        <w:rPr>
          <w:rFonts w:cs="Times New Roman"/>
          <w:szCs w:val="24"/>
        </w:rPr>
        <w:t xml:space="preserve"> saglabājas</w:t>
      </w:r>
      <w:r w:rsidR="00156756" w:rsidRPr="00EC09E0">
        <w:rPr>
          <w:rFonts w:cs="Times New Roman"/>
          <w:szCs w:val="24"/>
        </w:rPr>
        <w:t>, kā</w:t>
      </w:r>
      <w:r w:rsidR="00265C0B" w:rsidRPr="00EC09E0">
        <w:rPr>
          <w:rFonts w:cs="Times New Roman"/>
          <w:szCs w:val="24"/>
        </w:rPr>
        <w:t xml:space="preserve"> jau iepriekš ziņot</w:t>
      </w:r>
      <w:r w:rsidR="00156756" w:rsidRPr="00EC09E0">
        <w:rPr>
          <w:rFonts w:cs="Times New Roman"/>
          <w:szCs w:val="24"/>
        </w:rPr>
        <w:t>s</w:t>
      </w:r>
      <w:r w:rsidR="00B4703B" w:rsidRPr="00B854C0">
        <w:rPr>
          <w:rStyle w:val="FootnoteReference"/>
          <w:rFonts w:cs="Times New Roman"/>
          <w:szCs w:val="24"/>
        </w:rPr>
        <w:footnoteReference w:id="8"/>
      </w:r>
      <w:r w:rsidR="00685C64" w:rsidRPr="00EC09E0">
        <w:rPr>
          <w:rFonts w:cs="Times New Roman"/>
          <w:szCs w:val="24"/>
        </w:rPr>
        <w:t>.</w:t>
      </w:r>
      <w:r w:rsidR="005A29CA" w:rsidRPr="00EC09E0">
        <w:rPr>
          <w:rFonts w:eastAsia="Calibri" w:cs="Times New Roman"/>
          <w:szCs w:val="24"/>
          <w:lang w:eastAsia="ar-SA"/>
        </w:rPr>
        <w:t xml:space="preserve"> </w:t>
      </w:r>
    </w:p>
    <w:p w14:paraId="43AA678E" w14:textId="222D6307" w:rsidR="004A3A91" w:rsidRPr="00EC09E0" w:rsidRDefault="006B3FFE" w:rsidP="006257B3">
      <w:pPr>
        <w:pStyle w:val="ListParagraph"/>
        <w:numPr>
          <w:ilvl w:val="0"/>
          <w:numId w:val="22"/>
        </w:numPr>
        <w:suppressAutoHyphens/>
        <w:spacing w:before="120" w:after="120"/>
        <w:ind w:left="0" w:firstLine="0"/>
        <w:contextualSpacing w:val="0"/>
        <w:jc w:val="both"/>
        <w:rPr>
          <w:rFonts w:cs="Times New Roman"/>
          <w:szCs w:val="24"/>
        </w:rPr>
      </w:pPr>
      <w:r w:rsidRPr="00EC09E0">
        <w:rPr>
          <w:rFonts w:cs="Times New Roman"/>
          <w:szCs w:val="24"/>
        </w:rPr>
        <w:lastRenderedPageBreak/>
        <w:t xml:space="preserve">Ņemot vērā </w:t>
      </w:r>
      <w:r w:rsidR="00214522" w:rsidRPr="00EC09E0">
        <w:rPr>
          <w:rFonts w:cs="Times New Roman"/>
          <w:szCs w:val="24"/>
        </w:rPr>
        <w:t xml:space="preserve">arvien intensīvāku </w:t>
      </w:r>
      <w:r w:rsidRPr="00EC09E0">
        <w:rPr>
          <w:rFonts w:cs="Times New Roman"/>
          <w:szCs w:val="24"/>
        </w:rPr>
        <w:t>projektu ieviešanas posm</w:t>
      </w:r>
      <w:r w:rsidR="00214522" w:rsidRPr="00EC09E0">
        <w:rPr>
          <w:rFonts w:cs="Times New Roman"/>
          <w:szCs w:val="24"/>
        </w:rPr>
        <w:t>u</w:t>
      </w:r>
      <w:r w:rsidR="004A3A91" w:rsidRPr="00EC09E0">
        <w:rPr>
          <w:rFonts w:cs="Times New Roman"/>
          <w:szCs w:val="24"/>
        </w:rPr>
        <w:t>, CFLA palielinā</w:t>
      </w:r>
      <w:r w:rsidR="00214522" w:rsidRPr="00EC09E0">
        <w:rPr>
          <w:rFonts w:cs="Times New Roman"/>
          <w:szCs w:val="24"/>
        </w:rPr>
        <w:t xml:space="preserve">s pārbaužu apjoms gan maksājumu dokumentācijas kontrolēs, gan </w:t>
      </w:r>
      <w:r w:rsidR="004A3A91" w:rsidRPr="00EC09E0">
        <w:rPr>
          <w:rFonts w:cs="Times New Roman"/>
          <w:szCs w:val="24"/>
        </w:rPr>
        <w:t xml:space="preserve"> projektu īstenošanas vietās. </w:t>
      </w:r>
      <w:r w:rsidR="00214522" w:rsidRPr="00EC09E0">
        <w:rPr>
          <w:rFonts w:cs="Times New Roman"/>
          <w:szCs w:val="24"/>
        </w:rPr>
        <w:t xml:space="preserve">Tāpat CFLA aktīvi veic </w:t>
      </w:r>
      <w:r w:rsidR="004A3A91" w:rsidRPr="00EC09E0">
        <w:rPr>
          <w:rFonts w:cs="Times New Roman"/>
          <w:szCs w:val="24"/>
        </w:rPr>
        <w:t>iepirkumu pirmspārbaudes</w:t>
      </w:r>
      <w:r w:rsidR="00105813" w:rsidRPr="00EC09E0">
        <w:rPr>
          <w:rFonts w:cs="Times New Roman"/>
          <w:szCs w:val="24"/>
        </w:rPr>
        <w:t xml:space="preserve">, </w:t>
      </w:r>
      <w:r w:rsidR="00214522" w:rsidRPr="00EC09E0">
        <w:rPr>
          <w:rFonts w:cs="Times New Roman"/>
          <w:szCs w:val="24"/>
        </w:rPr>
        <w:t xml:space="preserve">konsultē projektu īstenotājus. Tas dod iespēju ievērojami samazināt kādu kļūdu vai neatbilstību riskus </w:t>
      </w:r>
      <w:r w:rsidR="004A3A91" w:rsidRPr="00EC09E0">
        <w:rPr>
          <w:rFonts w:cs="Times New Roman"/>
          <w:szCs w:val="24"/>
        </w:rPr>
        <w:t>finansējuma saņēmēji</w:t>
      </w:r>
      <w:r w:rsidR="00214522" w:rsidRPr="00EC09E0">
        <w:rPr>
          <w:rFonts w:cs="Times New Roman"/>
          <w:szCs w:val="24"/>
        </w:rPr>
        <w:t xml:space="preserve">em. </w:t>
      </w:r>
      <w:r w:rsidR="004A3A91" w:rsidRPr="00EC09E0">
        <w:rPr>
          <w:rFonts w:cs="Times New Roman"/>
          <w:szCs w:val="24"/>
        </w:rPr>
        <w:t xml:space="preserve"> Pozitīvi, ka tuvākajā laikā uzsāksies I</w:t>
      </w:r>
      <w:r w:rsidR="00214522" w:rsidRPr="00EC09E0">
        <w:rPr>
          <w:rFonts w:cs="Times New Roman"/>
          <w:szCs w:val="24"/>
        </w:rPr>
        <w:t>ntegrēto teritoriālo investīciju</w:t>
      </w:r>
      <w:r w:rsidR="00214522">
        <w:rPr>
          <w:rStyle w:val="FootnoteReference"/>
          <w:rFonts w:cs="Times New Roman"/>
          <w:szCs w:val="24"/>
        </w:rPr>
        <w:footnoteReference w:id="9"/>
      </w:r>
      <w:r w:rsidR="00214522" w:rsidRPr="00EC09E0">
        <w:rPr>
          <w:rFonts w:cs="Times New Roman"/>
          <w:szCs w:val="24"/>
        </w:rPr>
        <w:t xml:space="preserve"> </w:t>
      </w:r>
      <w:r w:rsidR="004A3A91" w:rsidRPr="00EC09E0">
        <w:rPr>
          <w:rFonts w:cs="Times New Roman"/>
          <w:szCs w:val="24"/>
        </w:rPr>
        <w:t>līgumu slēgšana, līdz ar to sagaidāms progress šajos specifiskajos atbalsta mērķos.</w:t>
      </w:r>
    </w:p>
    <w:p w14:paraId="5D5640CE" w14:textId="75AC097C" w:rsidR="004E60A3" w:rsidRPr="00B93310" w:rsidRDefault="004E60A3" w:rsidP="004E60A3">
      <w:pPr>
        <w:pStyle w:val="BodyText"/>
        <w:numPr>
          <w:ilvl w:val="0"/>
          <w:numId w:val="22"/>
        </w:numPr>
        <w:spacing w:line="240" w:lineRule="auto"/>
        <w:ind w:left="0" w:firstLine="0"/>
        <w:jc w:val="both"/>
        <w:rPr>
          <w:rFonts w:eastAsia="Calibri"/>
          <w:b w:val="0"/>
          <w:lang w:val="lv-LV" w:eastAsia="ar-SA"/>
        </w:rPr>
      </w:pPr>
      <w:r w:rsidRPr="00B93310">
        <w:rPr>
          <w:b w:val="0"/>
          <w:szCs w:val="28"/>
          <w:lang w:val="lv-LV" w:eastAsia="ar-SA"/>
        </w:rPr>
        <w:t>Latvija</w:t>
      </w:r>
      <w:r>
        <w:rPr>
          <w:b w:val="0"/>
          <w:szCs w:val="28"/>
          <w:lang w:val="lv-LV" w:eastAsia="ar-SA"/>
        </w:rPr>
        <w:t>i joprojām</w:t>
      </w:r>
      <w:r w:rsidRPr="00B93310">
        <w:rPr>
          <w:b w:val="0"/>
          <w:szCs w:val="28"/>
          <w:lang w:val="lv-LV" w:eastAsia="ar-SA"/>
        </w:rPr>
        <w:t xml:space="preserve"> </w:t>
      </w:r>
      <w:r>
        <w:rPr>
          <w:b w:val="0"/>
          <w:szCs w:val="28"/>
          <w:lang w:val="lv-LV" w:eastAsia="ar-SA"/>
        </w:rPr>
        <w:t>ir viens no labāk</w:t>
      </w:r>
      <w:r w:rsidR="00B32030">
        <w:rPr>
          <w:b w:val="0"/>
          <w:szCs w:val="28"/>
          <w:lang w:val="lv-LV" w:eastAsia="ar-SA"/>
        </w:rPr>
        <w:t>aj</w:t>
      </w:r>
      <w:r>
        <w:rPr>
          <w:b w:val="0"/>
          <w:szCs w:val="28"/>
          <w:lang w:val="lv-LV" w:eastAsia="ar-SA"/>
        </w:rPr>
        <w:t xml:space="preserve">iem tempiem </w:t>
      </w:r>
      <w:r w:rsidRPr="00B93310">
        <w:rPr>
          <w:b w:val="0"/>
          <w:szCs w:val="28"/>
          <w:lang w:val="lv-LV" w:eastAsia="ar-SA"/>
        </w:rPr>
        <w:t xml:space="preserve">ES dalībvalstu vidū. </w:t>
      </w:r>
      <w:r w:rsidRPr="00B93310">
        <w:rPr>
          <w:b w:val="0"/>
          <w:color w:val="000000" w:themeColor="text1"/>
          <w:lang w:val="lv-LV"/>
        </w:rPr>
        <w:t xml:space="preserve">Detalizētu informāciju skatīt </w:t>
      </w:r>
      <w:hyperlink r:id="rId10" w:history="1">
        <w:r w:rsidRPr="00B93310">
          <w:rPr>
            <w:rStyle w:val="Hyperlink"/>
            <w:b w:val="0"/>
            <w:color w:val="000000" w:themeColor="text1"/>
            <w:lang w:val="lv-LV"/>
          </w:rPr>
          <w:t>ES fondu tīmekļa vietnē</w:t>
        </w:r>
      </w:hyperlink>
      <w:r w:rsidRPr="00B93310">
        <w:rPr>
          <w:rStyle w:val="FootnoteReference"/>
          <w:b w:val="0"/>
          <w:color w:val="000000" w:themeColor="text1"/>
          <w:lang w:val="lv-LV"/>
        </w:rPr>
        <w:footnoteReference w:id="10"/>
      </w:r>
      <w:r w:rsidRPr="00B93310">
        <w:rPr>
          <w:rStyle w:val="Hyperlink"/>
          <w:b w:val="0"/>
          <w:color w:val="000000" w:themeColor="text1"/>
          <w:u w:val="none"/>
          <w:lang w:val="lv-LV"/>
        </w:rPr>
        <w:t xml:space="preserve"> un zemāk esošajā grafikā.</w:t>
      </w:r>
    </w:p>
    <w:p w14:paraId="510113CC" w14:textId="0AAF3F5C" w:rsidR="004E60A3" w:rsidRPr="008F2668" w:rsidRDefault="00B32030" w:rsidP="004E60A3">
      <w:pPr>
        <w:pStyle w:val="ListParagraph"/>
        <w:suppressAutoHyphens/>
        <w:spacing w:before="120" w:after="120"/>
        <w:ind w:left="0"/>
        <w:contextualSpacing w:val="0"/>
        <w:jc w:val="both"/>
        <w:rPr>
          <w:rFonts w:eastAsia="Times New Roman" w:cs="Times New Roman"/>
          <w:bCs/>
          <w:i/>
          <w:color w:val="000000"/>
          <w:sz w:val="22"/>
          <w:szCs w:val="24"/>
        </w:rPr>
      </w:pPr>
      <w:r>
        <w:rPr>
          <w:rFonts w:eastAsia="Times New Roman" w:cs="Times New Roman"/>
          <w:b/>
          <w:i/>
          <w:color w:val="000000"/>
          <w:sz w:val="22"/>
          <w:szCs w:val="24"/>
        </w:rPr>
        <w:t>Grafiks Nr.3</w:t>
      </w:r>
      <w:r w:rsidR="004E60A3" w:rsidRPr="00B93310">
        <w:rPr>
          <w:rFonts w:eastAsia="Times New Roman" w:cs="Times New Roman"/>
          <w:i/>
          <w:color w:val="000000"/>
          <w:sz w:val="22"/>
          <w:szCs w:val="24"/>
        </w:rPr>
        <w:t xml:space="preserve"> “</w:t>
      </w:r>
      <w:r w:rsidR="004E60A3" w:rsidRPr="00B93310">
        <w:rPr>
          <w:rFonts w:eastAsia="Times New Roman" w:cs="Times New Roman"/>
          <w:bCs/>
          <w:i/>
          <w:color w:val="000000"/>
          <w:sz w:val="22"/>
          <w:szCs w:val="24"/>
        </w:rPr>
        <w:t xml:space="preserve">ES fondu kopējie EK veiktie sākotnējie, ikgadējie avansi un starpposma maksājumi dalībvalstīm, % no pieejamā ES fondu finansējuma, dati uz 2016.gada </w:t>
      </w:r>
      <w:r w:rsidR="004E60A3" w:rsidRPr="00C133C7">
        <w:rPr>
          <w:rFonts w:eastAsia="Times New Roman" w:cs="Times New Roman"/>
          <w:bCs/>
          <w:i/>
          <w:color w:val="000000"/>
          <w:sz w:val="22"/>
          <w:szCs w:val="24"/>
        </w:rPr>
        <w:t>8.decembri</w:t>
      </w:r>
      <w:r w:rsidR="004E60A3">
        <w:rPr>
          <w:rFonts w:eastAsia="Times New Roman" w:cs="Times New Roman"/>
          <w:bCs/>
          <w:i/>
          <w:color w:val="000000"/>
          <w:sz w:val="22"/>
          <w:szCs w:val="24"/>
        </w:rPr>
        <w:t>”</w:t>
      </w:r>
    </w:p>
    <w:p w14:paraId="713A1C22" w14:textId="42ECC3D0" w:rsidR="004E60A3" w:rsidRPr="008F2668" w:rsidRDefault="004E60A3" w:rsidP="00847E10">
      <w:pPr>
        <w:pStyle w:val="ListParagraph"/>
        <w:suppressAutoHyphens/>
        <w:spacing w:before="120" w:after="120"/>
        <w:ind w:left="0"/>
        <w:contextualSpacing w:val="0"/>
        <w:jc w:val="center"/>
      </w:pPr>
      <w:r>
        <w:rPr>
          <w:noProof/>
          <w:lang w:eastAsia="lv-LV"/>
        </w:rPr>
        <w:drawing>
          <wp:inline distT="0" distB="0" distL="0" distR="0" wp14:anchorId="00D44221" wp14:editId="0F7FA685">
            <wp:extent cx="5267960" cy="4944139"/>
            <wp:effectExtent l="0" t="0" r="889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2D6020" w14:textId="77777777" w:rsidR="00B32030" w:rsidRPr="00B32030" w:rsidRDefault="0098250D" w:rsidP="00B32030">
      <w:pPr>
        <w:pStyle w:val="ListParagraph"/>
        <w:numPr>
          <w:ilvl w:val="0"/>
          <w:numId w:val="22"/>
        </w:numPr>
        <w:spacing w:before="120" w:after="120"/>
        <w:ind w:left="0" w:firstLine="0"/>
        <w:contextualSpacing w:val="0"/>
        <w:jc w:val="both"/>
        <w:rPr>
          <w:color w:val="000000" w:themeColor="text1"/>
        </w:rPr>
      </w:pPr>
      <w:r w:rsidRPr="007468B3">
        <w:rPr>
          <w:rFonts w:eastAsia="Calibri" w:cs="Times New Roman"/>
          <w:szCs w:val="24"/>
          <w:lang w:eastAsia="ar-SA"/>
        </w:rPr>
        <w:t xml:space="preserve">Attiecībā uz 2016.gada </w:t>
      </w:r>
      <w:r w:rsidRPr="007468B3">
        <w:rPr>
          <w:rFonts w:eastAsia="Calibri" w:cs="Times New Roman"/>
          <w:szCs w:val="24"/>
          <w:u w:val="single"/>
          <w:lang w:eastAsia="ar-SA"/>
        </w:rPr>
        <w:t>finanšu plāna</w:t>
      </w:r>
      <w:r w:rsidRPr="007468B3">
        <w:rPr>
          <w:rFonts w:eastAsia="Calibri" w:cs="Times New Roman"/>
          <w:szCs w:val="24"/>
          <w:lang w:eastAsia="ar-SA"/>
        </w:rPr>
        <w:t xml:space="preserve"> </w:t>
      </w:r>
      <w:r w:rsidR="00F5184A" w:rsidRPr="007468B3">
        <w:rPr>
          <w:rFonts w:eastAsia="Calibri" w:cs="Times New Roman"/>
          <w:szCs w:val="24"/>
          <w:lang w:eastAsia="ar-SA"/>
        </w:rPr>
        <w:t xml:space="preserve">izpildi </w:t>
      </w:r>
      <w:r w:rsidRPr="007468B3">
        <w:rPr>
          <w:rFonts w:eastAsia="Calibri" w:cs="Times New Roman"/>
          <w:szCs w:val="24"/>
          <w:lang w:eastAsia="ar-SA"/>
        </w:rPr>
        <w:t>–</w:t>
      </w:r>
      <w:r w:rsidR="000A734C" w:rsidRPr="007468B3">
        <w:rPr>
          <w:rFonts w:eastAsia="Calibri" w:cs="Times New Roman"/>
          <w:szCs w:val="24"/>
          <w:lang w:eastAsia="ar-SA"/>
        </w:rPr>
        <w:t xml:space="preserve"> </w:t>
      </w:r>
      <w:r w:rsidR="004F2A7B" w:rsidRPr="007468B3">
        <w:rPr>
          <w:rFonts w:eastAsia="Calibri" w:cs="Times New Roman"/>
          <w:szCs w:val="24"/>
          <w:lang w:eastAsia="ar-SA"/>
        </w:rPr>
        <w:t xml:space="preserve">ES finanšu </w:t>
      </w:r>
      <w:r w:rsidR="00443E64" w:rsidRPr="007468B3">
        <w:rPr>
          <w:rFonts w:eastAsia="Calibri" w:cs="Times New Roman"/>
          <w:szCs w:val="24"/>
          <w:lang w:eastAsia="ar-SA"/>
        </w:rPr>
        <w:t>atbalsta maksājumiem projektu īstenotājiem</w:t>
      </w:r>
      <w:r w:rsidR="004F2A7B" w:rsidRPr="007468B3">
        <w:rPr>
          <w:rFonts w:eastAsia="Calibri" w:cs="Times New Roman"/>
          <w:szCs w:val="24"/>
          <w:lang w:eastAsia="ar-SA"/>
        </w:rPr>
        <w:t xml:space="preserve"> (avansi, maksājumi par </w:t>
      </w:r>
      <w:r w:rsidR="00BC24CF">
        <w:rPr>
          <w:rFonts w:eastAsia="Calibri" w:cs="Times New Roman"/>
          <w:szCs w:val="24"/>
          <w:lang w:eastAsia="ar-SA"/>
        </w:rPr>
        <w:t>faktiski veiktām darbībām</w:t>
      </w:r>
      <w:r w:rsidR="004F2A7B" w:rsidRPr="007468B3">
        <w:rPr>
          <w:rFonts w:eastAsia="Calibri" w:cs="Times New Roman"/>
          <w:szCs w:val="24"/>
          <w:lang w:eastAsia="ar-SA"/>
        </w:rPr>
        <w:t>)</w:t>
      </w:r>
      <w:r w:rsidR="00443E64" w:rsidRPr="007468B3">
        <w:rPr>
          <w:rFonts w:eastAsia="Calibri" w:cs="Times New Roman"/>
          <w:szCs w:val="24"/>
          <w:lang w:eastAsia="ar-SA"/>
        </w:rPr>
        <w:t xml:space="preserve"> –</w:t>
      </w:r>
      <w:r w:rsidR="00C02C8A">
        <w:rPr>
          <w:rFonts w:eastAsia="Calibri" w:cs="Times New Roman"/>
          <w:szCs w:val="24"/>
          <w:lang w:eastAsia="ar-SA"/>
        </w:rPr>
        <w:t xml:space="preserve"> </w:t>
      </w:r>
      <w:r w:rsidR="00443E64" w:rsidRPr="007468B3">
        <w:rPr>
          <w:rFonts w:eastAsia="Calibri" w:cs="Times New Roman"/>
          <w:szCs w:val="24"/>
          <w:lang w:eastAsia="ar-SA"/>
        </w:rPr>
        <w:t xml:space="preserve">pārskata periodā kopumā ir </w:t>
      </w:r>
      <w:r w:rsidR="00BC24CF">
        <w:rPr>
          <w:rFonts w:eastAsia="Calibri" w:cs="Times New Roman"/>
          <w:szCs w:val="24"/>
          <w:lang w:eastAsia="ar-SA"/>
        </w:rPr>
        <w:t>neliels</w:t>
      </w:r>
      <w:r w:rsidR="00051948" w:rsidRPr="007468B3">
        <w:rPr>
          <w:rFonts w:eastAsia="Calibri" w:cs="Times New Roman"/>
          <w:szCs w:val="24"/>
          <w:lang w:eastAsia="ar-SA"/>
        </w:rPr>
        <w:t xml:space="preserve"> </w:t>
      </w:r>
      <w:r w:rsidR="00265C0B" w:rsidRPr="007468B3">
        <w:rPr>
          <w:rFonts w:eastAsia="Calibri" w:cs="Times New Roman"/>
          <w:szCs w:val="24"/>
          <w:lang w:eastAsia="ar-SA"/>
        </w:rPr>
        <w:t>progress</w:t>
      </w:r>
      <w:r w:rsidR="00443E64" w:rsidRPr="007468B3">
        <w:rPr>
          <w:rFonts w:eastAsia="Calibri" w:cs="Times New Roman"/>
          <w:szCs w:val="24"/>
          <w:lang w:eastAsia="ar-SA"/>
        </w:rPr>
        <w:t>.</w:t>
      </w:r>
      <w:r w:rsidR="0048442F" w:rsidRPr="007468B3">
        <w:rPr>
          <w:rFonts w:eastAsia="Calibri" w:cs="Times New Roman"/>
          <w:szCs w:val="24"/>
          <w:lang w:eastAsia="ar-SA"/>
        </w:rPr>
        <w:t xml:space="preserve"> </w:t>
      </w:r>
      <w:r w:rsidR="0048442F" w:rsidRPr="007468B3">
        <w:rPr>
          <w:rFonts w:eastAsia="Times New Roman" w:cs="Times New Roman"/>
          <w:color w:val="000000"/>
          <w:szCs w:val="24"/>
          <w:lang w:eastAsia="lv-LV"/>
        </w:rPr>
        <w:t xml:space="preserve">Skatīt </w:t>
      </w:r>
      <w:r w:rsidR="00B32030">
        <w:rPr>
          <w:rFonts w:eastAsia="Times New Roman" w:cs="Times New Roman"/>
          <w:color w:val="000000"/>
          <w:szCs w:val="24"/>
          <w:lang w:eastAsia="lv-LV"/>
        </w:rPr>
        <w:t xml:space="preserve">zemāk </w:t>
      </w:r>
      <w:r w:rsidR="0048442F" w:rsidRPr="007468B3">
        <w:rPr>
          <w:rFonts w:eastAsia="Times New Roman" w:cs="Times New Roman"/>
          <w:color w:val="000000"/>
          <w:szCs w:val="24"/>
          <w:lang w:eastAsia="lv-LV"/>
        </w:rPr>
        <w:t>šī ziņojuma tabulu Nr.1</w:t>
      </w:r>
      <w:r w:rsidR="00357A62" w:rsidRPr="007468B3">
        <w:rPr>
          <w:rFonts w:eastAsia="Times New Roman" w:cs="Times New Roman"/>
          <w:color w:val="000000"/>
          <w:szCs w:val="24"/>
          <w:lang w:eastAsia="lv-LV"/>
        </w:rPr>
        <w:t>.</w:t>
      </w:r>
    </w:p>
    <w:p w14:paraId="0DDD48B3" w14:textId="60BE87B9" w:rsidR="00B32030" w:rsidRPr="00B32030" w:rsidRDefault="00B32030" w:rsidP="00B32030">
      <w:pPr>
        <w:pStyle w:val="ListParagraph"/>
        <w:spacing w:before="120" w:after="120"/>
        <w:ind w:left="0" w:firstLine="720"/>
        <w:contextualSpacing w:val="0"/>
        <w:jc w:val="both"/>
        <w:rPr>
          <w:color w:val="000000" w:themeColor="text1"/>
        </w:rPr>
      </w:pPr>
      <w:r w:rsidRPr="00B32030">
        <w:rPr>
          <w:rFonts w:cs="Times New Roman"/>
          <w:szCs w:val="24"/>
        </w:rPr>
        <w:t>Jau iepriekš</w:t>
      </w:r>
      <w:r>
        <w:rPr>
          <w:rFonts w:cs="Times New Roman"/>
          <w:szCs w:val="24"/>
        </w:rPr>
        <w:t xml:space="preserve"> tika ziņots</w:t>
      </w:r>
      <w:r w:rsidRPr="00B32030">
        <w:rPr>
          <w:rFonts w:cs="Times New Roman"/>
          <w:szCs w:val="24"/>
        </w:rPr>
        <w:t xml:space="preserve">, ka gada beigās nebūs būtisks maksājumu pieaugums. </w:t>
      </w:r>
      <w:r>
        <w:rPr>
          <w:rFonts w:cs="Times New Roman"/>
          <w:szCs w:val="24"/>
        </w:rPr>
        <w:t>Savukārt</w:t>
      </w:r>
      <w:r w:rsidRPr="00B32030">
        <w:rPr>
          <w:rFonts w:cs="Times New Roman"/>
          <w:szCs w:val="24"/>
        </w:rPr>
        <w:t xml:space="preserve">  aktuālie projektu atlašu un līgumu dati liecina par ievērojamu sagaidāmo uzlabojumu </w:t>
      </w:r>
      <w:r w:rsidRPr="00B32030">
        <w:rPr>
          <w:rFonts w:cs="Times New Roman"/>
          <w:szCs w:val="24"/>
        </w:rPr>
        <w:lastRenderedPageBreak/>
        <w:t xml:space="preserve">2017.gadā. </w:t>
      </w:r>
      <w:r w:rsidRPr="00B32030">
        <w:rPr>
          <w:rFonts w:eastAsia="Calibri" w:cs="Times New Roman"/>
          <w:szCs w:val="24"/>
          <w:lang w:eastAsia="ar-SA"/>
        </w:rPr>
        <w:t>Pārskata perioda plāna</w:t>
      </w:r>
      <w:r w:rsidRPr="00EC7E58">
        <w:rPr>
          <w:rStyle w:val="FootnoteReference"/>
          <w:rFonts w:eastAsia="Calibri" w:cs="Times New Roman"/>
          <w:szCs w:val="24"/>
          <w:lang w:eastAsia="ar-SA"/>
        </w:rPr>
        <w:footnoteReference w:id="11"/>
      </w:r>
      <w:r w:rsidRPr="00B32030">
        <w:rPr>
          <w:rFonts w:eastAsia="Calibri" w:cs="Times New Roman"/>
          <w:szCs w:val="24"/>
          <w:lang w:eastAsia="ar-SA"/>
        </w:rPr>
        <w:t xml:space="preserve"> izpilde kumulatīvi līdz 2016.gada 1.decembrim (257,1 milj. </w:t>
      </w:r>
      <w:r w:rsidRPr="00B32030">
        <w:rPr>
          <w:rFonts w:eastAsia="Calibri" w:cs="Times New Roman"/>
          <w:i/>
          <w:szCs w:val="24"/>
          <w:lang w:eastAsia="ar-SA"/>
        </w:rPr>
        <w:t>euro</w:t>
      </w:r>
      <w:r w:rsidRPr="00B32030">
        <w:rPr>
          <w:rFonts w:eastAsia="Calibri" w:cs="Times New Roman"/>
          <w:szCs w:val="24"/>
          <w:lang w:eastAsia="ar-SA"/>
        </w:rPr>
        <w:t xml:space="preserve">) ir 72,1%, bet gada plāns (314,9 milj. </w:t>
      </w:r>
      <w:r w:rsidRPr="00B32030">
        <w:rPr>
          <w:rFonts w:eastAsia="Calibri" w:cs="Times New Roman"/>
          <w:i/>
          <w:szCs w:val="24"/>
          <w:lang w:eastAsia="ar-SA"/>
        </w:rPr>
        <w:t>euro</w:t>
      </w:r>
      <w:r w:rsidRPr="00B32030">
        <w:rPr>
          <w:rFonts w:eastAsia="Calibri" w:cs="Times New Roman"/>
          <w:szCs w:val="24"/>
          <w:lang w:eastAsia="ar-SA"/>
        </w:rPr>
        <w:t>) izpildīts tikai 58,8% apmērā.</w:t>
      </w:r>
      <w:r w:rsidRPr="00B32030">
        <w:rPr>
          <w:i/>
          <w:szCs w:val="24"/>
        </w:rPr>
        <w:t xml:space="preserve"> </w:t>
      </w:r>
    </w:p>
    <w:p w14:paraId="089AB8CC" w14:textId="0870259A" w:rsidR="0069476E" w:rsidRDefault="00537632" w:rsidP="009D277D">
      <w:pPr>
        <w:rPr>
          <w:rFonts w:eastAsia="Calibri" w:cs="Times New Roman"/>
          <w:i/>
          <w:sz w:val="22"/>
          <w:lang w:eastAsia="ar-SA"/>
        </w:rPr>
      </w:pPr>
      <w:r w:rsidRPr="008F2668">
        <w:rPr>
          <w:rFonts w:eastAsia="Calibri" w:cs="Times New Roman"/>
          <w:b/>
          <w:i/>
          <w:sz w:val="22"/>
          <w:lang w:eastAsia="ar-SA"/>
        </w:rPr>
        <w:t>Tabula Nr.</w:t>
      </w:r>
      <w:r w:rsidR="005D5F6C" w:rsidRPr="008F2668">
        <w:rPr>
          <w:rFonts w:eastAsia="Calibri" w:cs="Times New Roman"/>
          <w:b/>
          <w:i/>
          <w:sz w:val="22"/>
          <w:lang w:eastAsia="ar-SA"/>
        </w:rPr>
        <w:t>1</w:t>
      </w:r>
      <w:r w:rsidR="00684ADB" w:rsidRPr="008F2668">
        <w:rPr>
          <w:rFonts w:eastAsia="Calibri" w:cs="Times New Roman"/>
          <w:i/>
          <w:sz w:val="22"/>
          <w:lang w:eastAsia="ar-SA"/>
        </w:rPr>
        <w:t xml:space="preserve"> “2014.-2020.gad</w:t>
      </w:r>
      <w:r w:rsidR="00967F42" w:rsidRPr="008F2668">
        <w:rPr>
          <w:rFonts w:eastAsia="Calibri" w:cs="Times New Roman"/>
          <w:i/>
          <w:sz w:val="22"/>
          <w:lang w:eastAsia="ar-SA"/>
        </w:rPr>
        <w:t>a</w:t>
      </w:r>
      <w:r w:rsidR="00684ADB" w:rsidRPr="008F2668">
        <w:rPr>
          <w:rFonts w:eastAsia="Calibri" w:cs="Times New Roman"/>
          <w:i/>
          <w:sz w:val="22"/>
          <w:lang w:eastAsia="ar-SA"/>
        </w:rPr>
        <w:t xml:space="preserve"> plānošanas periods: ES fondu līdzfinansējuma maksājumu plāna izpilde līdz 2016.gada 1.</w:t>
      </w:r>
      <w:r w:rsidR="007468B3">
        <w:rPr>
          <w:rFonts w:eastAsia="Calibri" w:cs="Times New Roman"/>
          <w:i/>
          <w:sz w:val="22"/>
          <w:lang w:eastAsia="ar-SA"/>
        </w:rPr>
        <w:t>decembrim</w:t>
      </w:r>
      <w:r w:rsidR="00684ADB" w:rsidRPr="008F2668">
        <w:rPr>
          <w:rFonts w:eastAsia="Calibri" w:cs="Times New Roman"/>
          <w:i/>
          <w:sz w:val="22"/>
          <w:lang w:eastAsia="ar-SA"/>
        </w:rPr>
        <w:t>, euro.”</w:t>
      </w:r>
    </w:p>
    <w:tbl>
      <w:tblPr>
        <w:tblW w:w="9072" w:type="dxa"/>
        <w:tblInd w:w="-10" w:type="dxa"/>
        <w:tblLayout w:type="fixed"/>
        <w:tblLook w:val="04A0" w:firstRow="1" w:lastRow="0" w:firstColumn="1" w:lastColumn="0" w:noHBand="0" w:noVBand="1"/>
      </w:tblPr>
      <w:tblGrid>
        <w:gridCol w:w="1560"/>
        <w:gridCol w:w="1134"/>
        <w:gridCol w:w="1134"/>
        <w:gridCol w:w="1134"/>
        <w:gridCol w:w="992"/>
        <w:gridCol w:w="1276"/>
        <w:gridCol w:w="850"/>
        <w:gridCol w:w="992"/>
      </w:tblGrid>
      <w:tr w:rsidR="007468B3" w:rsidRPr="007468B3" w14:paraId="51CA62EB" w14:textId="77777777" w:rsidTr="00592804">
        <w:trPr>
          <w:trHeight w:val="435"/>
        </w:trPr>
        <w:tc>
          <w:tcPr>
            <w:tcW w:w="156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6069ECE"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Prioritārais virziens</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7074484"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Plāns 2016.gadam kopā</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CDC4335"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Plāns 01.01.2016. - 01.12.2016.</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90B3E7F"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Faktiskā izpilde 01.01.2016. - 01.12.2016.</w:t>
            </w:r>
          </w:p>
        </w:tc>
        <w:tc>
          <w:tcPr>
            <w:tcW w:w="2268" w:type="dxa"/>
            <w:gridSpan w:val="2"/>
            <w:tcBorders>
              <w:top w:val="single" w:sz="8" w:space="0" w:color="auto"/>
              <w:left w:val="nil"/>
              <w:bottom w:val="single" w:sz="8" w:space="0" w:color="auto"/>
              <w:right w:val="single" w:sz="8" w:space="0" w:color="000000"/>
            </w:tcBorders>
            <w:shd w:val="clear" w:color="000000" w:fill="D9D9D9"/>
            <w:vAlign w:val="center"/>
            <w:hideMark/>
          </w:tcPr>
          <w:p w14:paraId="0F693361"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Līdz 01.12.2016.</w:t>
            </w:r>
          </w:p>
        </w:tc>
        <w:tc>
          <w:tcPr>
            <w:tcW w:w="1842" w:type="dxa"/>
            <w:gridSpan w:val="2"/>
            <w:tcBorders>
              <w:top w:val="single" w:sz="8" w:space="0" w:color="auto"/>
              <w:left w:val="nil"/>
              <w:bottom w:val="single" w:sz="8" w:space="0" w:color="auto"/>
              <w:right w:val="single" w:sz="8" w:space="0" w:color="000000"/>
            </w:tcBorders>
            <w:shd w:val="clear" w:color="000000" w:fill="D9D9D9"/>
            <w:vAlign w:val="center"/>
            <w:hideMark/>
          </w:tcPr>
          <w:p w14:paraId="51E4CE47"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Iepriekšējā mēnesī</w:t>
            </w:r>
          </w:p>
        </w:tc>
      </w:tr>
      <w:tr w:rsidR="007468B3" w:rsidRPr="007468B3" w14:paraId="362E4BC3" w14:textId="77777777" w:rsidTr="00592804">
        <w:trPr>
          <w:trHeight w:val="51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5C41A524" w14:textId="77777777" w:rsidR="007468B3" w:rsidRPr="007468B3" w:rsidRDefault="007468B3" w:rsidP="007468B3">
            <w:pPr>
              <w:rPr>
                <w:rFonts w:eastAsia="Times New Roman" w:cs="Times New Roman"/>
                <w:b/>
                <w:bCs/>
                <w:color w:val="000000"/>
                <w:sz w:val="20"/>
                <w:szCs w:val="20"/>
                <w:lang w:eastAsia="lv-LV"/>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D6932C3" w14:textId="77777777" w:rsidR="007468B3" w:rsidRPr="007468B3" w:rsidRDefault="007468B3" w:rsidP="007468B3">
            <w:pPr>
              <w:rPr>
                <w:rFonts w:eastAsia="Times New Roman" w:cs="Times New Roman"/>
                <w:b/>
                <w:bCs/>
                <w:color w:val="000000"/>
                <w:sz w:val="20"/>
                <w:szCs w:val="20"/>
                <w:lang w:eastAsia="lv-LV"/>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7CD5721" w14:textId="77777777" w:rsidR="007468B3" w:rsidRPr="007468B3" w:rsidRDefault="007468B3" w:rsidP="007468B3">
            <w:pPr>
              <w:rPr>
                <w:rFonts w:eastAsia="Times New Roman" w:cs="Times New Roman"/>
                <w:b/>
                <w:bCs/>
                <w:color w:val="000000"/>
                <w:sz w:val="20"/>
                <w:szCs w:val="20"/>
                <w:lang w:eastAsia="lv-LV"/>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B94633C" w14:textId="77777777" w:rsidR="007468B3" w:rsidRPr="007468B3" w:rsidRDefault="007468B3" w:rsidP="007468B3">
            <w:pPr>
              <w:rPr>
                <w:rFonts w:eastAsia="Times New Roman" w:cs="Times New Roman"/>
                <w:b/>
                <w:bCs/>
                <w:color w:val="000000"/>
                <w:sz w:val="20"/>
                <w:szCs w:val="20"/>
                <w:lang w:eastAsia="lv-LV"/>
              </w:rPr>
            </w:pPr>
          </w:p>
        </w:tc>
        <w:tc>
          <w:tcPr>
            <w:tcW w:w="99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6AFAAE5"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Izpilde,%</w:t>
            </w:r>
          </w:p>
        </w:tc>
        <w:tc>
          <w:tcPr>
            <w:tcW w:w="1276" w:type="dxa"/>
            <w:tcBorders>
              <w:top w:val="nil"/>
              <w:left w:val="nil"/>
              <w:bottom w:val="nil"/>
              <w:right w:val="single" w:sz="8" w:space="0" w:color="auto"/>
            </w:tcBorders>
            <w:shd w:val="clear" w:color="000000" w:fill="D9D9D9"/>
            <w:vAlign w:val="center"/>
            <w:hideMark/>
          </w:tcPr>
          <w:p w14:paraId="2C3BF294"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Neizpilde (-)</w:t>
            </w:r>
          </w:p>
        </w:tc>
        <w:tc>
          <w:tcPr>
            <w:tcW w:w="85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2D5D403"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Izpilde,%</w:t>
            </w:r>
          </w:p>
        </w:tc>
        <w:tc>
          <w:tcPr>
            <w:tcW w:w="992" w:type="dxa"/>
            <w:tcBorders>
              <w:top w:val="nil"/>
              <w:left w:val="nil"/>
              <w:bottom w:val="nil"/>
              <w:right w:val="single" w:sz="8" w:space="0" w:color="auto"/>
            </w:tcBorders>
            <w:shd w:val="clear" w:color="000000" w:fill="D9D9D9"/>
            <w:vAlign w:val="center"/>
            <w:hideMark/>
          </w:tcPr>
          <w:p w14:paraId="30332C11"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Neizpilde (-)</w:t>
            </w:r>
          </w:p>
        </w:tc>
      </w:tr>
      <w:tr w:rsidR="007468B3" w:rsidRPr="007468B3" w14:paraId="336EA7A3" w14:textId="77777777" w:rsidTr="00592804">
        <w:trPr>
          <w:trHeight w:val="33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291D4B89" w14:textId="77777777" w:rsidR="007468B3" w:rsidRPr="007468B3" w:rsidRDefault="007468B3" w:rsidP="007468B3">
            <w:pPr>
              <w:rPr>
                <w:rFonts w:eastAsia="Times New Roman" w:cs="Times New Roman"/>
                <w:b/>
                <w:bCs/>
                <w:color w:val="000000"/>
                <w:sz w:val="20"/>
                <w:szCs w:val="20"/>
                <w:lang w:eastAsia="lv-LV"/>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3E79C7C" w14:textId="77777777" w:rsidR="007468B3" w:rsidRPr="007468B3" w:rsidRDefault="007468B3" w:rsidP="007468B3">
            <w:pPr>
              <w:rPr>
                <w:rFonts w:eastAsia="Times New Roman" w:cs="Times New Roman"/>
                <w:b/>
                <w:bCs/>
                <w:color w:val="000000"/>
                <w:sz w:val="20"/>
                <w:szCs w:val="20"/>
                <w:lang w:eastAsia="lv-LV"/>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476B3975" w14:textId="77777777" w:rsidR="007468B3" w:rsidRPr="007468B3" w:rsidRDefault="007468B3" w:rsidP="007468B3">
            <w:pPr>
              <w:rPr>
                <w:rFonts w:eastAsia="Times New Roman" w:cs="Times New Roman"/>
                <w:b/>
                <w:bCs/>
                <w:color w:val="000000"/>
                <w:sz w:val="20"/>
                <w:szCs w:val="20"/>
                <w:lang w:eastAsia="lv-LV"/>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7788135E" w14:textId="77777777" w:rsidR="007468B3" w:rsidRPr="007468B3" w:rsidRDefault="007468B3" w:rsidP="007468B3">
            <w:pPr>
              <w:rPr>
                <w:rFonts w:eastAsia="Times New Roman" w:cs="Times New Roman"/>
                <w:b/>
                <w:bCs/>
                <w:color w:val="000000"/>
                <w:sz w:val="20"/>
                <w:szCs w:val="20"/>
                <w:lang w:eastAsia="lv-LV"/>
              </w:rPr>
            </w:pPr>
          </w:p>
        </w:tc>
        <w:tc>
          <w:tcPr>
            <w:tcW w:w="992" w:type="dxa"/>
            <w:vMerge/>
            <w:tcBorders>
              <w:top w:val="nil"/>
              <w:left w:val="single" w:sz="8" w:space="0" w:color="auto"/>
              <w:bottom w:val="single" w:sz="8" w:space="0" w:color="000000"/>
              <w:right w:val="single" w:sz="8" w:space="0" w:color="auto"/>
            </w:tcBorders>
            <w:vAlign w:val="center"/>
            <w:hideMark/>
          </w:tcPr>
          <w:p w14:paraId="3A5C037F" w14:textId="77777777" w:rsidR="007468B3" w:rsidRPr="007468B3" w:rsidRDefault="007468B3" w:rsidP="007468B3">
            <w:pPr>
              <w:rPr>
                <w:rFonts w:eastAsia="Times New Roman" w:cs="Times New Roman"/>
                <w:b/>
                <w:bCs/>
                <w:color w:val="000000"/>
                <w:sz w:val="20"/>
                <w:szCs w:val="20"/>
                <w:lang w:eastAsia="lv-LV"/>
              </w:rPr>
            </w:pPr>
          </w:p>
        </w:tc>
        <w:tc>
          <w:tcPr>
            <w:tcW w:w="1276" w:type="dxa"/>
            <w:tcBorders>
              <w:top w:val="nil"/>
              <w:left w:val="nil"/>
              <w:bottom w:val="single" w:sz="8" w:space="0" w:color="auto"/>
              <w:right w:val="single" w:sz="8" w:space="0" w:color="auto"/>
            </w:tcBorders>
            <w:shd w:val="clear" w:color="000000" w:fill="D9D9D9"/>
            <w:vAlign w:val="center"/>
            <w:hideMark/>
          </w:tcPr>
          <w:p w14:paraId="76FEECD6" w14:textId="77777777" w:rsidR="007468B3" w:rsidRPr="007468B3" w:rsidRDefault="007468B3" w:rsidP="007468B3">
            <w:pP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/pārpilde(+)</w:t>
            </w:r>
          </w:p>
        </w:tc>
        <w:tc>
          <w:tcPr>
            <w:tcW w:w="850" w:type="dxa"/>
            <w:vMerge/>
            <w:tcBorders>
              <w:top w:val="nil"/>
              <w:left w:val="single" w:sz="8" w:space="0" w:color="auto"/>
              <w:bottom w:val="single" w:sz="8" w:space="0" w:color="000000"/>
              <w:right w:val="single" w:sz="8" w:space="0" w:color="auto"/>
            </w:tcBorders>
            <w:vAlign w:val="center"/>
            <w:hideMark/>
          </w:tcPr>
          <w:p w14:paraId="2CD0B572" w14:textId="77777777" w:rsidR="007468B3" w:rsidRPr="007468B3" w:rsidRDefault="007468B3" w:rsidP="007468B3">
            <w:pPr>
              <w:rPr>
                <w:rFonts w:eastAsia="Times New Roman" w:cs="Times New Roman"/>
                <w:b/>
                <w:bCs/>
                <w:color w:val="000000"/>
                <w:sz w:val="20"/>
                <w:szCs w:val="20"/>
                <w:lang w:eastAsia="lv-LV"/>
              </w:rPr>
            </w:pPr>
          </w:p>
        </w:tc>
        <w:tc>
          <w:tcPr>
            <w:tcW w:w="992" w:type="dxa"/>
            <w:tcBorders>
              <w:top w:val="nil"/>
              <w:left w:val="nil"/>
              <w:bottom w:val="single" w:sz="8" w:space="0" w:color="auto"/>
              <w:right w:val="single" w:sz="8" w:space="0" w:color="auto"/>
            </w:tcBorders>
            <w:shd w:val="clear" w:color="000000" w:fill="D9D9D9"/>
            <w:vAlign w:val="center"/>
            <w:hideMark/>
          </w:tcPr>
          <w:p w14:paraId="5DCD98E0"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/pārpilde(+)</w:t>
            </w:r>
          </w:p>
        </w:tc>
      </w:tr>
      <w:tr w:rsidR="007468B3" w:rsidRPr="007468B3" w14:paraId="6B51CEBA"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721DF06" w14:textId="44FBF20D" w:rsidR="007468B3" w:rsidRPr="007468B3" w:rsidRDefault="007468B3" w:rsidP="00592804">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1.Pētniecība</w:t>
            </w:r>
            <w:r w:rsidR="00592804">
              <w:rPr>
                <w:rFonts w:eastAsia="Times New Roman" w:cs="Times New Roman"/>
                <w:color w:val="000000"/>
                <w:sz w:val="20"/>
                <w:szCs w:val="20"/>
                <w:lang w:eastAsia="lv-LV"/>
              </w:rPr>
              <w:t>, tehnoloģijas,</w:t>
            </w:r>
            <w:r w:rsidRPr="007468B3">
              <w:rPr>
                <w:rFonts w:eastAsia="Times New Roman" w:cs="Times New Roman"/>
                <w:color w:val="000000"/>
                <w:sz w:val="20"/>
                <w:szCs w:val="20"/>
                <w:lang w:eastAsia="lv-LV"/>
              </w:rPr>
              <w:t xml:space="preserve"> inovācijas</w:t>
            </w:r>
          </w:p>
        </w:tc>
        <w:tc>
          <w:tcPr>
            <w:tcW w:w="1134" w:type="dxa"/>
            <w:tcBorders>
              <w:top w:val="nil"/>
              <w:left w:val="nil"/>
              <w:bottom w:val="single" w:sz="8" w:space="0" w:color="auto"/>
              <w:right w:val="single" w:sz="8" w:space="0" w:color="auto"/>
            </w:tcBorders>
            <w:shd w:val="clear" w:color="auto" w:fill="auto"/>
            <w:noWrap/>
            <w:vAlign w:val="center"/>
            <w:hideMark/>
          </w:tcPr>
          <w:p w14:paraId="2975B59C"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11 137 430</w:t>
            </w:r>
          </w:p>
        </w:tc>
        <w:tc>
          <w:tcPr>
            <w:tcW w:w="1134" w:type="dxa"/>
            <w:tcBorders>
              <w:top w:val="nil"/>
              <w:left w:val="nil"/>
              <w:bottom w:val="single" w:sz="8" w:space="0" w:color="auto"/>
              <w:right w:val="single" w:sz="8" w:space="0" w:color="auto"/>
            </w:tcBorders>
            <w:shd w:val="clear" w:color="auto" w:fill="auto"/>
            <w:vAlign w:val="center"/>
            <w:hideMark/>
          </w:tcPr>
          <w:p w14:paraId="23C4DFA4"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8 714 464</w:t>
            </w:r>
          </w:p>
        </w:tc>
        <w:tc>
          <w:tcPr>
            <w:tcW w:w="1134" w:type="dxa"/>
            <w:tcBorders>
              <w:top w:val="nil"/>
              <w:left w:val="nil"/>
              <w:bottom w:val="single" w:sz="8" w:space="0" w:color="auto"/>
              <w:right w:val="single" w:sz="8" w:space="0" w:color="auto"/>
            </w:tcBorders>
            <w:shd w:val="clear" w:color="auto" w:fill="auto"/>
            <w:vAlign w:val="center"/>
            <w:hideMark/>
          </w:tcPr>
          <w:p w14:paraId="52C4525F"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739 216</w:t>
            </w:r>
          </w:p>
        </w:tc>
        <w:tc>
          <w:tcPr>
            <w:tcW w:w="992" w:type="dxa"/>
            <w:tcBorders>
              <w:top w:val="nil"/>
              <w:left w:val="nil"/>
              <w:bottom w:val="single" w:sz="8" w:space="0" w:color="auto"/>
              <w:right w:val="single" w:sz="8" w:space="0" w:color="auto"/>
            </w:tcBorders>
            <w:shd w:val="clear" w:color="auto" w:fill="auto"/>
            <w:noWrap/>
            <w:vAlign w:val="center"/>
            <w:hideMark/>
          </w:tcPr>
          <w:p w14:paraId="5098DE67"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8,5%</w:t>
            </w:r>
          </w:p>
        </w:tc>
        <w:tc>
          <w:tcPr>
            <w:tcW w:w="1276" w:type="dxa"/>
            <w:tcBorders>
              <w:top w:val="nil"/>
              <w:left w:val="nil"/>
              <w:bottom w:val="single" w:sz="8" w:space="0" w:color="auto"/>
              <w:right w:val="single" w:sz="8" w:space="0" w:color="auto"/>
            </w:tcBorders>
            <w:shd w:val="clear" w:color="auto" w:fill="auto"/>
            <w:vAlign w:val="center"/>
            <w:hideMark/>
          </w:tcPr>
          <w:p w14:paraId="1398F1BC"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-7 975 247</w:t>
            </w:r>
          </w:p>
        </w:tc>
        <w:tc>
          <w:tcPr>
            <w:tcW w:w="850" w:type="dxa"/>
            <w:tcBorders>
              <w:top w:val="nil"/>
              <w:left w:val="nil"/>
              <w:bottom w:val="single" w:sz="8" w:space="0" w:color="auto"/>
              <w:right w:val="single" w:sz="8" w:space="0" w:color="auto"/>
            </w:tcBorders>
            <w:shd w:val="clear" w:color="auto" w:fill="auto"/>
            <w:vAlign w:val="center"/>
            <w:hideMark/>
          </w:tcPr>
          <w:p w14:paraId="6D7E6461"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10,3%</w:t>
            </w:r>
          </w:p>
        </w:tc>
        <w:tc>
          <w:tcPr>
            <w:tcW w:w="992" w:type="dxa"/>
            <w:tcBorders>
              <w:top w:val="nil"/>
              <w:left w:val="nil"/>
              <w:bottom w:val="single" w:sz="8" w:space="0" w:color="auto"/>
              <w:right w:val="single" w:sz="8" w:space="0" w:color="auto"/>
            </w:tcBorders>
            <w:shd w:val="clear" w:color="auto" w:fill="auto"/>
            <w:vAlign w:val="center"/>
            <w:hideMark/>
          </w:tcPr>
          <w:p w14:paraId="24DDC817"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-6 297 672</w:t>
            </w:r>
          </w:p>
        </w:tc>
      </w:tr>
      <w:tr w:rsidR="007468B3" w:rsidRPr="007468B3" w14:paraId="109A3D3D"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3C74B480" w14:textId="269ECA0C" w:rsidR="007468B3" w:rsidRPr="007468B3" w:rsidRDefault="007468B3" w:rsidP="00592804">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 xml:space="preserve">2.IKT , e-pārvalde </w:t>
            </w:r>
          </w:p>
        </w:tc>
        <w:tc>
          <w:tcPr>
            <w:tcW w:w="1134" w:type="dxa"/>
            <w:tcBorders>
              <w:top w:val="nil"/>
              <w:left w:val="nil"/>
              <w:bottom w:val="single" w:sz="8" w:space="0" w:color="auto"/>
              <w:right w:val="single" w:sz="8" w:space="0" w:color="auto"/>
            </w:tcBorders>
            <w:shd w:val="clear" w:color="auto" w:fill="auto"/>
            <w:noWrap/>
            <w:vAlign w:val="center"/>
            <w:hideMark/>
          </w:tcPr>
          <w:p w14:paraId="643D60F3"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9 340 843</w:t>
            </w:r>
          </w:p>
        </w:tc>
        <w:tc>
          <w:tcPr>
            <w:tcW w:w="1134" w:type="dxa"/>
            <w:tcBorders>
              <w:top w:val="nil"/>
              <w:left w:val="nil"/>
              <w:bottom w:val="single" w:sz="8" w:space="0" w:color="auto"/>
              <w:right w:val="single" w:sz="8" w:space="0" w:color="auto"/>
            </w:tcBorders>
            <w:shd w:val="clear" w:color="auto" w:fill="auto"/>
            <w:vAlign w:val="center"/>
            <w:hideMark/>
          </w:tcPr>
          <w:p w14:paraId="21BD2AF0"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2 689 753</w:t>
            </w:r>
          </w:p>
        </w:tc>
        <w:tc>
          <w:tcPr>
            <w:tcW w:w="1134" w:type="dxa"/>
            <w:tcBorders>
              <w:top w:val="nil"/>
              <w:left w:val="nil"/>
              <w:bottom w:val="single" w:sz="8" w:space="0" w:color="auto"/>
              <w:right w:val="single" w:sz="8" w:space="0" w:color="auto"/>
            </w:tcBorders>
            <w:shd w:val="clear" w:color="auto" w:fill="auto"/>
            <w:vAlign w:val="center"/>
            <w:hideMark/>
          </w:tcPr>
          <w:p w14:paraId="7124F8CD"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0</w:t>
            </w:r>
          </w:p>
        </w:tc>
        <w:tc>
          <w:tcPr>
            <w:tcW w:w="992" w:type="dxa"/>
            <w:tcBorders>
              <w:top w:val="nil"/>
              <w:left w:val="nil"/>
              <w:bottom w:val="single" w:sz="8" w:space="0" w:color="auto"/>
              <w:right w:val="single" w:sz="8" w:space="0" w:color="auto"/>
            </w:tcBorders>
            <w:shd w:val="clear" w:color="auto" w:fill="auto"/>
            <w:noWrap/>
            <w:vAlign w:val="center"/>
            <w:hideMark/>
          </w:tcPr>
          <w:p w14:paraId="3269B27B"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0,0%</w:t>
            </w:r>
          </w:p>
        </w:tc>
        <w:tc>
          <w:tcPr>
            <w:tcW w:w="1276" w:type="dxa"/>
            <w:tcBorders>
              <w:top w:val="nil"/>
              <w:left w:val="nil"/>
              <w:bottom w:val="single" w:sz="8" w:space="0" w:color="auto"/>
              <w:right w:val="single" w:sz="8" w:space="0" w:color="auto"/>
            </w:tcBorders>
            <w:shd w:val="clear" w:color="auto" w:fill="auto"/>
            <w:vAlign w:val="center"/>
            <w:hideMark/>
          </w:tcPr>
          <w:p w14:paraId="1BF0E2A4"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-2 689 753</w:t>
            </w:r>
          </w:p>
        </w:tc>
        <w:tc>
          <w:tcPr>
            <w:tcW w:w="850" w:type="dxa"/>
            <w:tcBorders>
              <w:top w:val="nil"/>
              <w:left w:val="nil"/>
              <w:bottom w:val="single" w:sz="8" w:space="0" w:color="auto"/>
              <w:right w:val="single" w:sz="8" w:space="0" w:color="auto"/>
            </w:tcBorders>
            <w:shd w:val="clear" w:color="auto" w:fill="auto"/>
            <w:vAlign w:val="center"/>
            <w:hideMark/>
          </w:tcPr>
          <w:p w14:paraId="03336BC6"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0,0%</w:t>
            </w:r>
          </w:p>
        </w:tc>
        <w:tc>
          <w:tcPr>
            <w:tcW w:w="992" w:type="dxa"/>
            <w:tcBorders>
              <w:top w:val="nil"/>
              <w:left w:val="nil"/>
              <w:bottom w:val="single" w:sz="8" w:space="0" w:color="auto"/>
              <w:right w:val="single" w:sz="8" w:space="0" w:color="auto"/>
            </w:tcBorders>
            <w:shd w:val="clear" w:color="auto" w:fill="auto"/>
            <w:vAlign w:val="center"/>
            <w:hideMark/>
          </w:tcPr>
          <w:p w14:paraId="66BA3543"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-709 084</w:t>
            </w:r>
          </w:p>
        </w:tc>
      </w:tr>
      <w:tr w:rsidR="007468B3" w:rsidRPr="007468B3" w14:paraId="36F2C4C1"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082BF4E0" w14:textId="44FD7569" w:rsidR="007468B3" w:rsidRPr="007468B3" w:rsidRDefault="007468B3" w:rsidP="00592804">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3.</w:t>
            </w:r>
            <w:r w:rsidR="00592804">
              <w:rPr>
                <w:rFonts w:eastAsia="Times New Roman" w:cs="Times New Roman"/>
                <w:color w:val="000000"/>
                <w:sz w:val="20"/>
                <w:szCs w:val="20"/>
                <w:lang w:eastAsia="lv-LV"/>
              </w:rPr>
              <w:t>MVU</w:t>
            </w:r>
            <w:r w:rsidRPr="007468B3">
              <w:rPr>
                <w:rFonts w:eastAsia="Times New Roman" w:cs="Times New Roman"/>
                <w:color w:val="000000"/>
                <w:sz w:val="20"/>
                <w:szCs w:val="20"/>
                <w:lang w:eastAsia="lv-LV"/>
              </w:rPr>
              <w:t xml:space="preserve"> konkurētspēja</w:t>
            </w:r>
          </w:p>
        </w:tc>
        <w:tc>
          <w:tcPr>
            <w:tcW w:w="1134" w:type="dxa"/>
            <w:tcBorders>
              <w:top w:val="nil"/>
              <w:left w:val="nil"/>
              <w:bottom w:val="single" w:sz="8" w:space="0" w:color="auto"/>
              <w:right w:val="single" w:sz="8" w:space="0" w:color="auto"/>
            </w:tcBorders>
            <w:shd w:val="clear" w:color="auto" w:fill="auto"/>
            <w:noWrap/>
            <w:vAlign w:val="center"/>
            <w:hideMark/>
          </w:tcPr>
          <w:p w14:paraId="195DF332"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30 075 247</w:t>
            </w:r>
          </w:p>
        </w:tc>
        <w:tc>
          <w:tcPr>
            <w:tcW w:w="1134" w:type="dxa"/>
            <w:tcBorders>
              <w:top w:val="nil"/>
              <w:left w:val="nil"/>
              <w:bottom w:val="single" w:sz="8" w:space="0" w:color="auto"/>
              <w:right w:val="single" w:sz="8" w:space="0" w:color="auto"/>
            </w:tcBorders>
            <w:shd w:val="clear" w:color="auto" w:fill="auto"/>
            <w:vAlign w:val="center"/>
            <w:hideMark/>
          </w:tcPr>
          <w:p w14:paraId="44477305"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25 003 330</w:t>
            </w:r>
          </w:p>
        </w:tc>
        <w:tc>
          <w:tcPr>
            <w:tcW w:w="1134" w:type="dxa"/>
            <w:tcBorders>
              <w:top w:val="nil"/>
              <w:left w:val="nil"/>
              <w:bottom w:val="single" w:sz="8" w:space="0" w:color="auto"/>
              <w:right w:val="single" w:sz="8" w:space="0" w:color="auto"/>
            </w:tcBorders>
            <w:shd w:val="clear" w:color="auto" w:fill="auto"/>
            <w:vAlign w:val="center"/>
            <w:hideMark/>
          </w:tcPr>
          <w:p w14:paraId="041466F4"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31 625 567</w:t>
            </w:r>
          </w:p>
        </w:tc>
        <w:tc>
          <w:tcPr>
            <w:tcW w:w="992" w:type="dxa"/>
            <w:tcBorders>
              <w:top w:val="nil"/>
              <w:left w:val="nil"/>
              <w:bottom w:val="single" w:sz="8" w:space="0" w:color="auto"/>
              <w:right w:val="single" w:sz="8" w:space="0" w:color="auto"/>
            </w:tcBorders>
            <w:shd w:val="clear" w:color="auto" w:fill="auto"/>
            <w:noWrap/>
            <w:vAlign w:val="center"/>
            <w:hideMark/>
          </w:tcPr>
          <w:p w14:paraId="1DBE53D8"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126,5%</w:t>
            </w:r>
          </w:p>
        </w:tc>
        <w:tc>
          <w:tcPr>
            <w:tcW w:w="1276" w:type="dxa"/>
            <w:tcBorders>
              <w:top w:val="nil"/>
              <w:left w:val="nil"/>
              <w:bottom w:val="single" w:sz="8" w:space="0" w:color="auto"/>
              <w:right w:val="single" w:sz="8" w:space="0" w:color="auto"/>
            </w:tcBorders>
            <w:shd w:val="clear" w:color="auto" w:fill="auto"/>
            <w:vAlign w:val="center"/>
            <w:hideMark/>
          </w:tcPr>
          <w:p w14:paraId="29A33799"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6 622 237</w:t>
            </w:r>
          </w:p>
        </w:tc>
        <w:tc>
          <w:tcPr>
            <w:tcW w:w="850" w:type="dxa"/>
            <w:tcBorders>
              <w:top w:val="nil"/>
              <w:left w:val="nil"/>
              <w:bottom w:val="single" w:sz="8" w:space="0" w:color="auto"/>
              <w:right w:val="single" w:sz="8" w:space="0" w:color="auto"/>
            </w:tcBorders>
            <w:shd w:val="clear" w:color="auto" w:fill="auto"/>
            <w:vAlign w:val="center"/>
            <w:hideMark/>
          </w:tcPr>
          <w:p w14:paraId="7598AFE9"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163,8%</w:t>
            </w:r>
          </w:p>
        </w:tc>
        <w:tc>
          <w:tcPr>
            <w:tcW w:w="992" w:type="dxa"/>
            <w:tcBorders>
              <w:top w:val="nil"/>
              <w:left w:val="nil"/>
              <w:bottom w:val="single" w:sz="8" w:space="0" w:color="auto"/>
              <w:right w:val="single" w:sz="8" w:space="0" w:color="auto"/>
            </w:tcBorders>
            <w:shd w:val="clear" w:color="auto" w:fill="auto"/>
            <w:vAlign w:val="center"/>
            <w:hideMark/>
          </w:tcPr>
          <w:p w14:paraId="7DA17AD9"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11 916 350</w:t>
            </w:r>
          </w:p>
        </w:tc>
      </w:tr>
      <w:tr w:rsidR="007468B3" w:rsidRPr="007468B3" w14:paraId="225FADDF"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1A72E593" w14:textId="53E3D196" w:rsidR="007468B3" w:rsidRPr="007468B3" w:rsidRDefault="007468B3" w:rsidP="00592804">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4.</w:t>
            </w:r>
            <w:r w:rsidRPr="007468B3">
              <w:rPr>
                <w:rFonts w:eastAsia="Times New Roman" w:cs="Times New Roman"/>
                <w:color w:val="000000"/>
                <w:szCs w:val="24"/>
                <w:lang w:eastAsia="lv-LV"/>
              </w:rPr>
              <w:t xml:space="preserve"> </w:t>
            </w:r>
            <w:r w:rsidR="00592804">
              <w:rPr>
                <w:rFonts w:eastAsia="Times New Roman" w:cs="Times New Roman"/>
                <w:color w:val="000000"/>
                <w:sz w:val="20"/>
                <w:szCs w:val="20"/>
                <w:lang w:eastAsia="lv-LV"/>
              </w:rPr>
              <w:t>Ekonomika</w:t>
            </w:r>
            <w:r w:rsidRPr="007468B3">
              <w:rPr>
                <w:rFonts w:eastAsia="Times New Roman" w:cs="Times New Roman"/>
                <w:color w:val="000000"/>
                <w:sz w:val="20"/>
                <w:szCs w:val="20"/>
                <w:lang w:eastAsia="lv-LV"/>
              </w:rPr>
              <w:t xml:space="preserve"> ar zemu oglekļa emisijas līmeni </w:t>
            </w:r>
          </w:p>
        </w:tc>
        <w:tc>
          <w:tcPr>
            <w:tcW w:w="1134" w:type="dxa"/>
            <w:tcBorders>
              <w:top w:val="nil"/>
              <w:left w:val="nil"/>
              <w:bottom w:val="single" w:sz="8" w:space="0" w:color="auto"/>
              <w:right w:val="single" w:sz="8" w:space="0" w:color="auto"/>
            </w:tcBorders>
            <w:shd w:val="clear" w:color="auto" w:fill="auto"/>
            <w:noWrap/>
            <w:vAlign w:val="center"/>
            <w:hideMark/>
          </w:tcPr>
          <w:p w14:paraId="44DDFA7D"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19 368 881</w:t>
            </w:r>
          </w:p>
        </w:tc>
        <w:tc>
          <w:tcPr>
            <w:tcW w:w="1134" w:type="dxa"/>
            <w:tcBorders>
              <w:top w:val="nil"/>
              <w:left w:val="nil"/>
              <w:bottom w:val="single" w:sz="8" w:space="0" w:color="auto"/>
              <w:right w:val="single" w:sz="8" w:space="0" w:color="auto"/>
            </w:tcBorders>
            <w:shd w:val="clear" w:color="auto" w:fill="auto"/>
            <w:vAlign w:val="center"/>
            <w:hideMark/>
          </w:tcPr>
          <w:p w14:paraId="12DF6F32"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12 341 483</w:t>
            </w:r>
          </w:p>
        </w:tc>
        <w:tc>
          <w:tcPr>
            <w:tcW w:w="1134" w:type="dxa"/>
            <w:tcBorders>
              <w:top w:val="nil"/>
              <w:left w:val="nil"/>
              <w:bottom w:val="single" w:sz="8" w:space="0" w:color="auto"/>
              <w:right w:val="single" w:sz="8" w:space="0" w:color="auto"/>
            </w:tcBorders>
            <w:shd w:val="clear" w:color="auto" w:fill="auto"/>
            <w:vAlign w:val="center"/>
            <w:hideMark/>
          </w:tcPr>
          <w:p w14:paraId="20B98637"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4 731 810</w:t>
            </w:r>
          </w:p>
        </w:tc>
        <w:tc>
          <w:tcPr>
            <w:tcW w:w="992" w:type="dxa"/>
            <w:tcBorders>
              <w:top w:val="nil"/>
              <w:left w:val="nil"/>
              <w:bottom w:val="single" w:sz="8" w:space="0" w:color="auto"/>
              <w:right w:val="single" w:sz="8" w:space="0" w:color="auto"/>
            </w:tcBorders>
            <w:shd w:val="clear" w:color="auto" w:fill="auto"/>
            <w:noWrap/>
            <w:vAlign w:val="center"/>
            <w:hideMark/>
          </w:tcPr>
          <w:p w14:paraId="085EB68A"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38,3%</w:t>
            </w:r>
          </w:p>
        </w:tc>
        <w:tc>
          <w:tcPr>
            <w:tcW w:w="1276" w:type="dxa"/>
            <w:tcBorders>
              <w:top w:val="nil"/>
              <w:left w:val="nil"/>
              <w:bottom w:val="single" w:sz="8" w:space="0" w:color="auto"/>
              <w:right w:val="single" w:sz="8" w:space="0" w:color="auto"/>
            </w:tcBorders>
            <w:shd w:val="clear" w:color="auto" w:fill="auto"/>
            <w:vAlign w:val="center"/>
            <w:hideMark/>
          </w:tcPr>
          <w:p w14:paraId="348D7558"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-7 609 672</w:t>
            </w:r>
          </w:p>
        </w:tc>
        <w:tc>
          <w:tcPr>
            <w:tcW w:w="850" w:type="dxa"/>
            <w:tcBorders>
              <w:top w:val="nil"/>
              <w:left w:val="nil"/>
              <w:bottom w:val="single" w:sz="8" w:space="0" w:color="auto"/>
              <w:right w:val="single" w:sz="8" w:space="0" w:color="auto"/>
            </w:tcBorders>
            <w:shd w:val="clear" w:color="auto" w:fill="auto"/>
            <w:noWrap/>
            <w:vAlign w:val="center"/>
            <w:hideMark/>
          </w:tcPr>
          <w:p w14:paraId="31DB8710"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49,3%</w:t>
            </w:r>
          </w:p>
        </w:tc>
        <w:tc>
          <w:tcPr>
            <w:tcW w:w="992" w:type="dxa"/>
            <w:tcBorders>
              <w:top w:val="nil"/>
              <w:left w:val="nil"/>
              <w:bottom w:val="single" w:sz="8" w:space="0" w:color="auto"/>
              <w:right w:val="single" w:sz="8" w:space="0" w:color="auto"/>
            </w:tcBorders>
            <w:shd w:val="clear" w:color="auto" w:fill="auto"/>
            <w:vAlign w:val="center"/>
            <w:hideMark/>
          </w:tcPr>
          <w:p w14:paraId="4DD93F56"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-4 869 454</w:t>
            </w:r>
          </w:p>
        </w:tc>
      </w:tr>
      <w:tr w:rsidR="007468B3" w:rsidRPr="007468B3" w14:paraId="194E6CDC"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B9DFF81" w14:textId="77777777" w:rsidR="007468B3" w:rsidRPr="007468B3" w:rsidRDefault="007468B3" w:rsidP="007468B3">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5.Vides aizsardzība un resursu izmantošanas efektivitāte</w:t>
            </w:r>
          </w:p>
        </w:tc>
        <w:tc>
          <w:tcPr>
            <w:tcW w:w="1134" w:type="dxa"/>
            <w:tcBorders>
              <w:top w:val="nil"/>
              <w:left w:val="nil"/>
              <w:bottom w:val="single" w:sz="8" w:space="0" w:color="auto"/>
              <w:right w:val="single" w:sz="8" w:space="0" w:color="auto"/>
            </w:tcBorders>
            <w:shd w:val="clear" w:color="auto" w:fill="auto"/>
            <w:noWrap/>
            <w:vAlign w:val="center"/>
            <w:hideMark/>
          </w:tcPr>
          <w:p w14:paraId="075FDA3F"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27 324 058</w:t>
            </w:r>
          </w:p>
        </w:tc>
        <w:tc>
          <w:tcPr>
            <w:tcW w:w="1134" w:type="dxa"/>
            <w:tcBorders>
              <w:top w:val="nil"/>
              <w:left w:val="nil"/>
              <w:bottom w:val="single" w:sz="8" w:space="0" w:color="auto"/>
              <w:right w:val="single" w:sz="8" w:space="0" w:color="auto"/>
            </w:tcBorders>
            <w:shd w:val="clear" w:color="auto" w:fill="auto"/>
            <w:vAlign w:val="center"/>
            <w:hideMark/>
          </w:tcPr>
          <w:p w14:paraId="03446953"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18 018 900</w:t>
            </w:r>
          </w:p>
        </w:tc>
        <w:tc>
          <w:tcPr>
            <w:tcW w:w="1134" w:type="dxa"/>
            <w:tcBorders>
              <w:top w:val="nil"/>
              <w:left w:val="nil"/>
              <w:bottom w:val="single" w:sz="8" w:space="0" w:color="auto"/>
              <w:right w:val="single" w:sz="8" w:space="0" w:color="auto"/>
            </w:tcBorders>
            <w:shd w:val="clear" w:color="auto" w:fill="auto"/>
            <w:vAlign w:val="center"/>
            <w:hideMark/>
          </w:tcPr>
          <w:p w14:paraId="72893EBC"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902 712</w:t>
            </w:r>
          </w:p>
        </w:tc>
        <w:tc>
          <w:tcPr>
            <w:tcW w:w="992" w:type="dxa"/>
            <w:tcBorders>
              <w:top w:val="nil"/>
              <w:left w:val="nil"/>
              <w:bottom w:val="single" w:sz="8" w:space="0" w:color="auto"/>
              <w:right w:val="single" w:sz="8" w:space="0" w:color="auto"/>
            </w:tcBorders>
            <w:shd w:val="clear" w:color="auto" w:fill="auto"/>
            <w:noWrap/>
            <w:vAlign w:val="center"/>
            <w:hideMark/>
          </w:tcPr>
          <w:p w14:paraId="1638AB3D"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5,0%</w:t>
            </w:r>
          </w:p>
        </w:tc>
        <w:tc>
          <w:tcPr>
            <w:tcW w:w="1276" w:type="dxa"/>
            <w:tcBorders>
              <w:top w:val="nil"/>
              <w:left w:val="nil"/>
              <w:bottom w:val="single" w:sz="8" w:space="0" w:color="auto"/>
              <w:right w:val="single" w:sz="8" w:space="0" w:color="auto"/>
            </w:tcBorders>
            <w:shd w:val="clear" w:color="auto" w:fill="auto"/>
            <w:vAlign w:val="center"/>
            <w:hideMark/>
          </w:tcPr>
          <w:p w14:paraId="170DEDCC"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-17 116 188</w:t>
            </w:r>
          </w:p>
        </w:tc>
        <w:tc>
          <w:tcPr>
            <w:tcW w:w="850" w:type="dxa"/>
            <w:tcBorders>
              <w:top w:val="nil"/>
              <w:left w:val="nil"/>
              <w:bottom w:val="single" w:sz="8" w:space="0" w:color="auto"/>
              <w:right w:val="single" w:sz="8" w:space="0" w:color="auto"/>
            </w:tcBorders>
            <w:shd w:val="clear" w:color="auto" w:fill="auto"/>
            <w:noWrap/>
            <w:vAlign w:val="center"/>
            <w:hideMark/>
          </w:tcPr>
          <w:p w14:paraId="0C686C27"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6,1%</w:t>
            </w:r>
          </w:p>
        </w:tc>
        <w:tc>
          <w:tcPr>
            <w:tcW w:w="992" w:type="dxa"/>
            <w:tcBorders>
              <w:top w:val="nil"/>
              <w:left w:val="nil"/>
              <w:bottom w:val="single" w:sz="8" w:space="0" w:color="auto"/>
              <w:right w:val="single" w:sz="8" w:space="0" w:color="auto"/>
            </w:tcBorders>
            <w:shd w:val="clear" w:color="auto" w:fill="auto"/>
            <w:vAlign w:val="center"/>
            <w:hideMark/>
          </w:tcPr>
          <w:p w14:paraId="1D09BAC2"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-13 847 515</w:t>
            </w:r>
          </w:p>
        </w:tc>
      </w:tr>
      <w:tr w:rsidR="007468B3" w:rsidRPr="007468B3" w14:paraId="349FFF9B"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0B2F93A" w14:textId="3469EE07" w:rsidR="007468B3" w:rsidRPr="007468B3" w:rsidRDefault="007468B3" w:rsidP="00592804">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6.Ilgtspējīg</w:t>
            </w:r>
            <w:r w:rsidR="00592804">
              <w:rPr>
                <w:rFonts w:eastAsia="Times New Roman" w:cs="Times New Roman"/>
                <w:color w:val="000000"/>
                <w:sz w:val="20"/>
                <w:szCs w:val="20"/>
                <w:lang w:eastAsia="lv-LV"/>
              </w:rPr>
              <w:t>s transports</w:t>
            </w:r>
          </w:p>
        </w:tc>
        <w:tc>
          <w:tcPr>
            <w:tcW w:w="1134" w:type="dxa"/>
            <w:tcBorders>
              <w:top w:val="nil"/>
              <w:left w:val="nil"/>
              <w:bottom w:val="single" w:sz="8" w:space="0" w:color="auto"/>
              <w:right w:val="single" w:sz="8" w:space="0" w:color="auto"/>
            </w:tcBorders>
            <w:shd w:val="clear" w:color="auto" w:fill="auto"/>
            <w:noWrap/>
            <w:vAlign w:val="center"/>
            <w:hideMark/>
          </w:tcPr>
          <w:p w14:paraId="1D1026F3"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152 749 691</w:t>
            </w:r>
          </w:p>
        </w:tc>
        <w:tc>
          <w:tcPr>
            <w:tcW w:w="1134" w:type="dxa"/>
            <w:tcBorders>
              <w:top w:val="nil"/>
              <w:left w:val="nil"/>
              <w:bottom w:val="single" w:sz="8" w:space="0" w:color="auto"/>
              <w:right w:val="single" w:sz="8" w:space="0" w:color="auto"/>
            </w:tcBorders>
            <w:shd w:val="clear" w:color="auto" w:fill="auto"/>
            <w:vAlign w:val="center"/>
            <w:hideMark/>
          </w:tcPr>
          <w:p w14:paraId="0FB2FBF1"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136 546 843</w:t>
            </w:r>
          </w:p>
        </w:tc>
        <w:tc>
          <w:tcPr>
            <w:tcW w:w="1134" w:type="dxa"/>
            <w:tcBorders>
              <w:top w:val="nil"/>
              <w:left w:val="nil"/>
              <w:bottom w:val="single" w:sz="8" w:space="0" w:color="auto"/>
              <w:right w:val="single" w:sz="8" w:space="0" w:color="auto"/>
            </w:tcBorders>
            <w:shd w:val="clear" w:color="auto" w:fill="auto"/>
            <w:vAlign w:val="center"/>
            <w:hideMark/>
          </w:tcPr>
          <w:p w14:paraId="607800D9"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101 851 562</w:t>
            </w:r>
          </w:p>
        </w:tc>
        <w:tc>
          <w:tcPr>
            <w:tcW w:w="992" w:type="dxa"/>
            <w:tcBorders>
              <w:top w:val="nil"/>
              <w:left w:val="nil"/>
              <w:bottom w:val="single" w:sz="8" w:space="0" w:color="auto"/>
              <w:right w:val="single" w:sz="8" w:space="0" w:color="auto"/>
            </w:tcBorders>
            <w:shd w:val="clear" w:color="auto" w:fill="auto"/>
            <w:noWrap/>
            <w:vAlign w:val="center"/>
            <w:hideMark/>
          </w:tcPr>
          <w:p w14:paraId="76C57CCA"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74,6%</w:t>
            </w:r>
          </w:p>
        </w:tc>
        <w:tc>
          <w:tcPr>
            <w:tcW w:w="1276" w:type="dxa"/>
            <w:tcBorders>
              <w:top w:val="nil"/>
              <w:left w:val="nil"/>
              <w:bottom w:val="single" w:sz="8" w:space="0" w:color="auto"/>
              <w:right w:val="single" w:sz="8" w:space="0" w:color="auto"/>
            </w:tcBorders>
            <w:shd w:val="clear" w:color="auto" w:fill="auto"/>
            <w:vAlign w:val="center"/>
            <w:hideMark/>
          </w:tcPr>
          <w:p w14:paraId="11514A2C"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-34 695 281</w:t>
            </w:r>
          </w:p>
        </w:tc>
        <w:tc>
          <w:tcPr>
            <w:tcW w:w="850" w:type="dxa"/>
            <w:tcBorders>
              <w:top w:val="nil"/>
              <w:left w:val="nil"/>
              <w:bottom w:val="single" w:sz="8" w:space="0" w:color="auto"/>
              <w:right w:val="single" w:sz="8" w:space="0" w:color="auto"/>
            </w:tcBorders>
            <w:shd w:val="clear" w:color="auto" w:fill="auto"/>
            <w:noWrap/>
            <w:vAlign w:val="center"/>
            <w:hideMark/>
          </w:tcPr>
          <w:p w14:paraId="769725F7"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77,9%</w:t>
            </w:r>
          </w:p>
        </w:tc>
        <w:tc>
          <w:tcPr>
            <w:tcW w:w="992" w:type="dxa"/>
            <w:tcBorders>
              <w:top w:val="nil"/>
              <w:left w:val="nil"/>
              <w:bottom w:val="single" w:sz="8" w:space="0" w:color="auto"/>
              <w:right w:val="single" w:sz="8" w:space="0" w:color="auto"/>
            </w:tcBorders>
            <w:shd w:val="clear" w:color="auto" w:fill="auto"/>
            <w:vAlign w:val="center"/>
            <w:hideMark/>
          </w:tcPr>
          <w:p w14:paraId="1F986679"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-24 584 255</w:t>
            </w:r>
          </w:p>
        </w:tc>
      </w:tr>
      <w:tr w:rsidR="007468B3" w:rsidRPr="007468B3" w14:paraId="05285CCA"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91DBA5E" w14:textId="77777777" w:rsidR="007468B3" w:rsidRPr="007468B3" w:rsidRDefault="007468B3" w:rsidP="007468B3">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7.Nodarbinātība un darbaspēka mobilitāte</w:t>
            </w:r>
          </w:p>
        </w:tc>
        <w:tc>
          <w:tcPr>
            <w:tcW w:w="1134" w:type="dxa"/>
            <w:tcBorders>
              <w:top w:val="nil"/>
              <w:left w:val="nil"/>
              <w:bottom w:val="single" w:sz="8" w:space="0" w:color="auto"/>
              <w:right w:val="single" w:sz="8" w:space="0" w:color="auto"/>
            </w:tcBorders>
            <w:shd w:val="clear" w:color="auto" w:fill="auto"/>
            <w:noWrap/>
            <w:vAlign w:val="center"/>
            <w:hideMark/>
          </w:tcPr>
          <w:p w14:paraId="048398EB"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31 395 139</w:t>
            </w:r>
          </w:p>
        </w:tc>
        <w:tc>
          <w:tcPr>
            <w:tcW w:w="1134" w:type="dxa"/>
            <w:tcBorders>
              <w:top w:val="nil"/>
              <w:left w:val="nil"/>
              <w:bottom w:val="single" w:sz="8" w:space="0" w:color="auto"/>
              <w:right w:val="single" w:sz="8" w:space="0" w:color="auto"/>
            </w:tcBorders>
            <w:shd w:val="clear" w:color="auto" w:fill="auto"/>
            <w:vAlign w:val="center"/>
            <w:hideMark/>
          </w:tcPr>
          <w:p w14:paraId="478E3115"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27 786 533</w:t>
            </w:r>
          </w:p>
        </w:tc>
        <w:tc>
          <w:tcPr>
            <w:tcW w:w="1134" w:type="dxa"/>
            <w:tcBorders>
              <w:top w:val="nil"/>
              <w:left w:val="nil"/>
              <w:bottom w:val="single" w:sz="8" w:space="0" w:color="auto"/>
              <w:right w:val="single" w:sz="8" w:space="0" w:color="auto"/>
            </w:tcBorders>
            <w:shd w:val="clear" w:color="auto" w:fill="auto"/>
            <w:vAlign w:val="center"/>
            <w:hideMark/>
          </w:tcPr>
          <w:p w14:paraId="34FDD7EF"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35 054 920</w:t>
            </w:r>
          </w:p>
        </w:tc>
        <w:tc>
          <w:tcPr>
            <w:tcW w:w="992" w:type="dxa"/>
            <w:tcBorders>
              <w:top w:val="nil"/>
              <w:left w:val="nil"/>
              <w:bottom w:val="single" w:sz="8" w:space="0" w:color="auto"/>
              <w:right w:val="single" w:sz="8" w:space="0" w:color="auto"/>
            </w:tcBorders>
            <w:shd w:val="clear" w:color="auto" w:fill="auto"/>
            <w:noWrap/>
            <w:vAlign w:val="center"/>
            <w:hideMark/>
          </w:tcPr>
          <w:p w14:paraId="0951B57B"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126,2%</w:t>
            </w:r>
          </w:p>
        </w:tc>
        <w:tc>
          <w:tcPr>
            <w:tcW w:w="1276" w:type="dxa"/>
            <w:tcBorders>
              <w:top w:val="nil"/>
              <w:left w:val="nil"/>
              <w:bottom w:val="single" w:sz="8" w:space="0" w:color="auto"/>
              <w:right w:val="single" w:sz="8" w:space="0" w:color="auto"/>
            </w:tcBorders>
            <w:shd w:val="clear" w:color="auto" w:fill="auto"/>
            <w:vAlign w:val="center"/>
            <w:hideMark/>
          </w:tcPr>
          <w:p w14:paraId="1EABF85E"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7 268 388</w:t>
            </w:r>
          </w:p>
        </w:tc>
        <w:tc>
          <w:tcPr>
            <w:tcW w:w="850" w:type="dxa"/>
            <w:tcBorders>
              <w:top w:val="nil"/>
              <w:left w:val="nil"/>
              <w:bottom w:val="single" w:sz="8" w:space="0" w:color="auto"/>
              <w:right w:val="single" w:sz="8" w:space="0" w:color="auto"/>
            </w:tcBorders>
            <w:shd w:val="clear" w:color="auto" w:fill="auto"/>
            <w:noWrap/>
            <w:vAlign w:val="center"/>
            <w:hideMark/>
          </w:tcPr>
          <w:p w14:paraId="4663E8F8"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119,3%</w:t>
            </w:r>
          </w:p>
        </w:tc>
        <w:tc>
          <w:tcPr>
            <w:tcW w:w="992" w:type="dxa"/>
            <w:tcBorders>
              <w:top w:val="nil"/>
              <w:left w:val="nil"/>
              <w:bottom w:val="single" w:sz="8" w:space="0" w:color="auto"/>
              <w:right w:val="single" w:sz="8" w:space="0" w:color="auto"/>
            </w:tcBorders>
            <w:shd w:val="clear" w:color="auto" w:fill="auto"/>
            <w:vAlign w:val="center"/>
            <w:hideMark/>
          </w:tcPr>
          <w:p w14:paraId="01ED3C21"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5 361 893</w:t>
            </w:r>
          </w:p>
        </w:tc>
      </w:tr>
      <w:tr w:rsidR="007468B3" w:rsidRPr="007468B3" w14:paraId="7499E660"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787C5798" w14:textId="77777777" w:rsidR="007468B3" w:rsidRPr="007468B3" w:rsidRDefault="007468B3" w:rsidP="007468B3">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8.Izglītība, prasmes un mūžizglītība</w:t>
            </w:r>
          </w:p>
        </w:tc>
        <w:tc>
          <w:tcPr>
            <w:tcW w:w="1134" w:type="dxa"/>
            <w:tcBorders>
              <w:top w:val="nil"/>
              <w:left w:val="nil"/>
              <w:bottom w:val="single" w:sz="8" w:space="0" w:color="auto"/>
              <w:right w:val="single" w:sz="8" w:space="0" w:color="auto"/>
            </w:tcBorders>
            <w:shd w:val="clear" w:color="auto" w:fill="auto"/>
            <w:noWrap/>
            <w:vAlign w:val="center"/>
            <w:hideMark/>
          </w:tcPr>
          <w:p w14:paraId="55396B7A"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5 048 340</w:t>
            </w:r>
          </w:p>
        </w:tc>
        <w:tc>
          <w:tcPr>
            <w:tcW w:w="1134" w:type="dxa"/>
            <w:tcBorders>
              <w:top w:val="nil"/>
              <w:left w:val="nil"/>
              <w:bottom w:val="single" w:sz="8" w:space="0" w:color="auto"/>
              <w:right w:val="single" w:sz="8" w:space="0" w:color="auto"/>
            </w:tcBorders>
            <w:shd w:val="clear" w:color="auto" w:fill="auto"/>
            <w:vAlign w:val="center"/>
            <w:hideMark/>
          </w:tcPr>
          <w:p w14:paraId="16DD0F66"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2 146 965</w:t>
            </w:r>
          </w:p>
        </w:tc>
        <w:tc>
          <w:tcPr>
            <w:tcW w:w="1134" w:type="dxa"/>
            <w:tcBorders>
              <w:top w:val="nil"/>
              <w:left w:val="nil"/>
              <w:bottom w:val="single" w:sz="8" w:space="0" w:color="auto"/>
              <w:right w:val="single" w:sz="8" w:space="0" w:color="auto"/>
            </w:tcBorders>
            <w:shd w:val="clear" w:color="auto" w:fill="auto"/>
            <w:vAlign w:val="center"/>
            <w:hideMark/>
          </w:tcPr>
          <w:p w14:paraId="39A47AFF"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333 818</w:t>
            </w:r>
          </w:p>
        </w:tc>
        <w:tc>
          <w:tcPr>
            <w:tcW w:w="992" w:type="dxa"/>
            <w:tcBorders>
              <w:top w:val="nil"/>
              <w:left w:val="nil"/>
              <w:bottom w:val="single" w:sz="8" w:space="0" w:color="auto"/>
              <w:right w:val="single" w:sz="8" w:space="0" w:color="auto"/>
            </w:tcBorders>
            <w:shd w:val="clear" w:color="auto" w:fill="auto"/>
            <w:noWrap/>
            <w:vAlign w:val="center"/>
            <w:hideMark/>
          </w:tcPr>
          <w:p w14:paraId="760F524A"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15,5%</w:t>
            </w:r>
          </w:p>
        </w:tc>
        <w:tc>
          <w:tcPr>
            <w:tcW w:w="1276" w:type="dxa"/>
            <w:tcBorders>
              <w:top w:val="nil"/>
              <w:left w:val="nil"/>
              <w:bottom w:val="single" w:sz="8" w:space="0" w:color="auto"/>
              <w:right w:val="single" w:sz="8" w:space="0" w:color="auto"/>
            </w:tcBorders>
            <w:shd w:val="clear" w:color="auto" w:fill="auto"/>
            <w:vAlign w:val="center"/>
            <w:hideMark/>
          </w:tcPr>
          <w:p w14:paraId="44D4CFED"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-1 813 148</w:t>
            </w:r>
          </w:p>
        </w:tc>
        <w:tc>
          <w:tcPr>
            <w:tcW w:w="850" w:type="dxa"/>
            <w:tcBorders>
              <w:top w:val="nil"/>
              <w:left w:val="nil"/>
              <w:bottom w:val="single" w:sz="8" w:space="0" w:color="auto"/>
              <w:right w:val="single" w:sz="8" w:space="0" w:color="auto"/>
            </w:tcBorders>
            <w:shd w:val="clear" w:color="auto" w:fill="auto"/>
            <w:noWrap/>
            <w:vAlign w:val="center"/>
            <w:hideMark/>
          </w:tcPr>
          <w:p w14:paraId="3339986E"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23,5%</w:t>
            </w:r>
          </w:p>
        </w:tc>
        <w:tc>
          <w:tcPr>
            <w:tcW w:w="992" w:type="dxa"/>
            <w:tcBorders>
              <w:top w:val="nil"/>
              <w:left w:val="nil"/>
              <w:bottom w:val="single" w:sz="8" w:space="0" w:color="auto"/>
              <w:right w:val="single" w:sz="8" w:space="0" w:color="auto"/>
            </w:tcBorders>
            <w:shd w:val="clear" w:color="auto" w:fill="auto"/>
            <w:vAlign w:val="center"/>
            <w:hideMark/>
          </w:tcPr>
          <w:p w14:paraId="43998BED"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-924 863</w:t>
            </w:r>
          </w:p>
        </w:tc>
      </w:tr>
      <w:tr w:rsidR="007468B3" w:rsidRPr="007468B3" w14:paraId="40EC59C4"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F27E490" w14:textId="77777777" w:rsidR="007468B3" w:rsidRPr="007468B3" w:rsidRDefault="007468B3" w:rsidP="007468B3">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9.Sociālā iekļaušana un nabadzības apkarošana</w:t>
            </w:r>
          </w:p>
        </w:tc>
        <w:tc>
          <w:tcPr>
            <w:tcW w:w="1134" w:type="dxa"/>
            <w:tcBorders>
              <w:top w:val="nil"/>
              <w:left w:val="nil"/>
              <w:bottom w:val="single" w:sz="8" w:space="0" w:color="auto"/>
              <w:right w:val="single" w:sz="8" w:space="0" w:color="auto"/>
            </w:tcBorders>
            <w:shd w:val="clear" w:color="auto" w:fill="auto"/>
            <w:noWrap/>
            <w:vAlign w:val="center"/>
            <w:hideMark/>
          </w:tcPr>
          <w:p w14:paraId="48785389"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16 054 669</w:t>
            </w:r>
          </w:p>
        </w:tc>
        <w:tc>
          <w:tcPr>
            <w:tcW w:w="1134" w:type="dxa"/>
            <w:tcBorders>
              <w:top w:val="nil"/>
              <w:left w:val="nil"/>
              <w:bottom w:val="single" w:sz="8" w:space="0" w:color="auto"/>
              <w:right w:val="single" w:sz="8" w:space="0" w:color="auto"/>
            </w:tcBorders>
            <w:shd w:val="clear" w:color="auto" w:fill="auto"/>
            <w:vAlign w:val="center"/>
            <w:hideMark/>
          </w:tcPr>
          <w:p w14:paraId="4B2985D6"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14 379 783</w:t>
            </w:r>
          </w:p>
        </w:tc>
        <w:tc>
          <w:tcPr>
            <w:tcW w:w="1134" w:type="dxa"/>
            <w:tcBorders>
              <w:top w:val="nil"/>
              <w:left w:val="nil"/>
              <w:bottom w:val="single" w:sz="8" w:space="0" w:color="auto"/>
              <w:right w:val="single" w:sz="8" w:space="0" w:color="auto"/>
            </w:tcBorders>
            <w:shd w:val="clear" w:color="auto" w:fill="auto"/>
            <w:vAlign w:val="center"/>
            <w:hideMark/>
          </w:tcPr>
          <w:p w14:paraId="13003F22"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3 986 955</w:t>
            </w:r>
          </w:p>
        </w:tc>
        <w:tc>
          <w:tcPr>
            <w:tcW w:w="992" w:type="dxa"/>
            <w:tcBorders>
              <w:top w:val="nil"/>
              <w:left w:val="nil"/>
              <w:bottom w:val="single" w:sz="8" w:space="0" w:color="auto"/>
              <w:right w:val="single" w:sz="8" w:space="0" w:color="auto"/>
            </w:tcBorders>
            <w:shd w:val="clear" w:color="auto" w:fill="auto"/>
            <w:noWrap/>
            <w:vAlign w:val="center"/>
            <w:hideMark/>
          </w:tcPr>
          <w:p w14:paraId="0B82AD68"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27,7%</w:t>
            </w:r>
          </w:p>
        </w:tc>
        <w:tc>
          <w:tcPr>
            <w:tcW w:w="1276" w:type="dxa"/>
            <w:tcBorders>
              <w:top w:val="nil"/>
              <w:left w:val="nil"/>
              <w:bottom w:val="single" w:sz="8" w:space="0" w:color="auto"/>
              <w:right w:val="single" w:sz="8" w:space="0" w:color="auto"/>
            </w:tcBorders>
            <w:shd w:val="clear" w:color="auto" w:fill="auto"/>
            <w:vAlign w:val="center"/>
            <w:hideMark/>
          </w:tcPr>
          <w:p w14:paraId="2F432F25"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-10 392 829</w:t>
            </w:r>
          </w:p>
        </w:tc>
        <w:tc>
          <w:tcPr>
            <w:tcW w:w="850" w:type="dxa"/>
            <w:tcBorders>
              <w:top w:val="nil"/>
              <w:left w:val="nil"/>
              <w:bottom w:val="single" w:sz="8" w:space="0" w:color="auto"/>
              <w:right w:val="single" w:sz="8" w:space="0" w:color="auto"/>
            </w:tcBorders>
            <w:shd w:val="clear" w:color="auto" w:fill="auto"/>
            <w:noWrap/>
            <w:vAlign w:val="center"/>
            <w:hideMark/>
          </w:tcPr>
          <w:p w14:paraId="3F747968"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31,6%</w:t>
            </w:r>
          </w:p>
        </w:tc>
        <w:tc>
          <w:tcPr>
            <w:tcW w:w="992" w:type="dxa"/>
            <w:tcBorders>
              <w:top w:val="nil"/>
              <w:left w:val="nil"/>
              <w:bottom w:val="single" w:sz="8" w:space="0" w:color="auto"/>
              <w:right w:val="single" w:sz="8" w:space="0" w:color="auto"/>
            </w:tcBorders>
            <w:shd w:val="clear" w:color="auto" w:fill="auto"/>
            <w:vAlign w:val="center"/>
            <w:hideMark/>
          </w:tcPr>
          <w:p w14:paraId="726251E3"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-8 245 121</w:t>
            </w:r>
          </w:p>
        </w:tc>
      </w:tr>
      <w:tr w:rsidR="007468B3" w:rsidRPr="007468B3" w14:paraId="4BC49184"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63C880C" w14:textId="77777777" w:rsidR="007468B3" w:rsidRPr="007468B3" w:rsidRDefault="007468B3" w:rsidP="007468B3">
            <w:pPr>
              <w:rPr>
                <w:rFonts w:eastAsia="Times New Roman" w:cs="Times New Roman"/>
                <w:color w:val="000000"/>
                <w:sz w:val="20"/>
                <w:szCs w:val="20"/>
                <w:lang w:eastAsia="lv-LV"/>
              </w:rPr>
            </w:pPr>
            <w:r w:rsidRPr="007468B3">
              <w:rPr>
                <w:rFonts w:eastAsia="Times New Roman" w:cs="Times New Roman"/>
                <w:color w:val="000000"/>
                <w:sz w:val="20"/>
                <w:szCs w:val="20"/>
                <w:lang w:eastAsia="lv-LV"/>
              </w:rPr>
              <w:t>10.; 11.; 12. Tehniskā palīdzība</w:t>
            </w:r>
          </w:p>
        </w:tc>
        <w:tc>
          <w:tcPr>
            <w:tcW w:w="1134" w:type="dxa"/>
            <w:tcBorders>
              <w:top w:val="nil"/>
              <w:left w:val="nil"/>
              <w:bottom w:val="single" w:sz="8" w:space="0" w:color="auto"/>
              <w:right w:val="single" w:sz="8" w:space="0" w:color="auto"/>
            </w:tcBorders>
            <w:shd w:val="clear" w:color="auto" w:fill="auto"/>
            <w:noWrap/>
            <w:vAlign w:val="center"/>
            <w:hideMark/>
          </w:tcPr>
          <w:p w14:paraId="1B3C1804"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12 463 361</w:t>
            </w:r>
          </w:p>
        </w:tc>
        <w:tc>
          <w:tcPr>
            <w:tcW w:w="1134" w:type="dxa"/>
            <w:tcBorders>
              <w:top w:val="nil"/>
              <w:left w:val="nil"/>
              <w:bottom w:val="single" w:sz="8" w:space="0" w:color="auto"/>
              <w:right w:val="single" w:sz="8" w:space="0" w:color="auto"/>
            </w:tcBorders>
            <w:shd w:val="clear" w:color="auto" w:fill="auto"/>
            <w:vAlign w:val="center"/>
            <w:hideMark/>
          </w:tcPr>
          <w:p w14:paraId="6B721B41"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9 468 217</w:t>
            </w:r>
          </w:p>
        </w:tc>
        <w:tc>
          <w:tcPr>
            <w:tcW w:w="1134" w:type="dxa"/>
            <w:tcBorders>
              <w:top w:val="nil"/>
              <w:left w:val="nil"/>
              <w:bottom w:val="single" w:sz="8" w:space="0" w:color="auto"/>
              <w:right w:val="single" w:sz="8" w:space="0" w:color="auto"/>
            </w:tcBorders>
            <w:shd w:val="clear" w:color="auto" w:fill="auto"/>
            <w:vAlign w:val="center"/>
            <w:hideMark/>
          </w:tcPr>
          <w:p w14:paraId="138C8999"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6 013 619</w:t>
            </w:r>
          </w:p>
        </w:tc>
        <w:tc>
          <w:tcPr>
            <w:tcW w:w="992" w:type="dxa"/>
            <w:tcBorders>
              <w:top w:val="nil"/>
              <w:left w:val="nil"/>
              <w:bottom w:val="single" w:sz="8" w:space="0" w:color="auto"/>
              <w:right w:val="single" w:sz="8" w:space="0" w:color="auto"/>
            </w:tcBorders>
            <w:shd w:val="clear" w:color="auto" w:fill="auto"/>
            <w:noWrap/>
            <w:vAlign w:val="center"/>
            <w:hideMark/>
          </w:tcPr>
          <w:p w14:paraId="11876529" w14:textId="77777777" w:rsidR="007468B3" w:rsidRPr="007468B3" w:rsidRDefault="007468B3" w:rsidP="007468B3">
            <w:pPr>
              <w:jc w:val="center"/>
              <w:rPr>
                <w:rFonts w:eastAsia="Times New Roman" w:cs="Times New Roman"/>
                <w:b/>
                <w:color w:val="FF0000"/>
                <w:sz w:val="20"/>
                <w:szCs w:val="20"/>
                <w:lang w:eastAsia="lv-LV"/>
              </w:rPr>
            </w:pPr>
            <w:r w:rsidRPr="007468B3">
              <w:rPr>
                <w:rFonts w:eastAsia="Times New Roman" w:cs="Times New Roman"/>
                <w:b/>
                <w:color w:val="FF0000"/>
                <w:sz w:val="20"/>
                <w:szCs w:val="20"/>
                <w:lang w:eastAsia="lv-LV"/>
              </w:rPr>
              <w:t>63,5%</w:t>
            </w:r>
          </w:p>
        </w:tc>
        <w:tc>
          <w:tcPr>
            <w:tcW w:w="1276" w:type="dxa"/>
            <w:tcBorders>
              <w:top w:val="nil"/>
              <w:left w:val="nil"/>
              <w:bottom w:val="single" w:sz="8" w:space="0" w:color="auto"/>
              <w:right w:val="single" w:sz="8" w:space="0" w:color="auto"/>
            </w:tcBorders>
            <w:shd w:val="clear" w:color="auto" w:fill="auto"/>
            <w:vAlign w:val="center"/>
            <w:hideMark/>
          </w:tcPr>
          <w:p w14:paraId="1240A0AD"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-3 454 598</w:t>
            </w:r>
          </w:p>
        </w:tc>
        <w:tc>
          <w:tcPr>
            <w:tcW w:w="850" w:type="dxa"/>
            <w:tcBorders>
              <w:top w:val="nil"/>
              <w:left w:val="nil"/>
              <w:bottom w:val="single" w:sz="8" w:space="0" w:color="auto"/>
              <w:right w:val="single" w:sz="8" w:space="0" w:color="auto"/>
            </w:tcBorders>
            <w:shd w:val="clear" w:color="auto" w:fill="auto"/>
            <w:noWrap/>
            <w:vAlign w:val="center"/>
            <w:hideMark/>
          </w:tcPr>
          <w:p w14:paraId="5460CAF6"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67,9%</w:t>
            </w:r>
          </w:p>
        </w:tc>
        <w:tc>
          <w:tcPr>
            <w:tcW w:w="992" w:type="dxa"/>
            <w:tcBorders>
              <w:top w:val="nil"/>
              <w:left w:val="nil"/>
              <w:bottom w:val="single" w:sz="8" w:space="0" w:color="auto"/>
              <w:right w:val="single" w:sz="8" w:space="0" w:color="auto"/>
            </w:tcBorders>
            <w:shd w:val="clear" w:color="auto" w:fill="auto"/>
            <w:vAlign w:val="center"/>
            <w:hideMark/>
          </w:tcPr>
          <w:p w14:paraId="20572F76"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-2 669 842</w:t>
            </w:r>
          </w:p>
        </w:tc>
      </w:tr>
      <w:tr w:rsidR="007468B3" w:rsidRPr="007468B3" w14:paraId="28F50AC5" w14:textId="77777777" w:rsidTr="00592804">
        <w:trPr>
          <w:trHeight w:val="330"/>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14:paraId="4F0F5203" w14:textId="77777777" w:rsidR="007468B3" w:rsidRPr="007468B3" w:rsidRDefault="007468B3" w:rsidP="007468B3">
            <w:pP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KOPĀ</w:t>
            </w:r>
          </w:p>
        </w:tc>
        <w:tc>
          <w:tcPr>
            <w:tcW w:w="1134" w:type="dxa"/>
            <w:tcBorders>
              <w:top w:val="nil"/>
              <w:left w:val="nil"/>
              <w:bottom w:val="single" w:sz="8" w:space="0" w:color="auto"/>
              <w:right w:val="single" w:sz="8" w:space="0" w:color="auto"/>
            </w:tcBorders>
            <w:shd w:val="clear" w:color="auto" w:fill="auto"/>
            <w:noWrap/>
            <w:vAlign w:val="center"/>
            <w:hideMark/>
          </w:tcPr>
          <w:p w14:paraId="19CA2DDC"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314 957 659</w:t>
            </w:r>
          </w:p>
        </w:tc>
        <w:tc>
          <w:tcPr>
            <w:tcW w:w="1134" w:type="dxa"/>
            <w:tcBorders>
              <w:top w:val="nil"/>
              <w:left w:val="nil"/>
              <w:bottom w:val="single" w:sz="8" w:space="0" w:color="auto"/>
              <w:right w:val="single" w:sz="8" w:space="0" w:color="auto"/>
            </w:tcBorders>
            <w:shd w:val="clear" w:color="auto" w:fill="auto"/>
            <w:noWrap/>
            <w:vAlign w:val="center"/>
            <w:hideMark/>
          </w:tcPr>
          <w:p w14:paraId="7C4E128E"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257 096 269</w:t>
            </w:r>
          </w:p>
        </w:tc>
        <w:tc>
          <w:tcPr>
            <w:tcW w:w="1134" w:type="dxa"/>
            <w:tcBorders>
              <w:top w:val="nil"/>
              <w:left w:val="nil"/>
              <w:bottom w:val="single" w:sz="8" w:space="0" w:color="auto"/>
              <w:right w:val="single" w:sz="8" w:space="0" w:color="auto"/>
            </w:tcBorders>
            <w:shd w:val="clear" w:color="auto" w:fill="auto"/>
            <w:noWrap/>
            <w:vAlign w:val="center"/>
            <w:hideMark/>
          </w:tcPr>
          <w:p w14:paraId="5A2AD648"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185 240 180</w:t>
            </w:r>
          </w:p>
        </w:tc>
        <w:tc>
          <w:tcPr>
            <w:tcW w:w="992" w:type="dxa"/>
            <w:tcBorders>
              <w:top w:val="nil"/>
              <w:left w:val="nil"/>
              <w:bottom w:val="single" w:sz="8" w:space="0" w:color="auto"/>
              <w:right w:val="single" w:sz="8" w:space="0" w:color="auto"/>
            </w:tcBorders>
            <w:shd w:val="clear" w:color="auto" w:fill="auto"/>
            <w:noWrap/>
            <w:vAlign w:val="center"/>
            <w:hideMark/>
          </w:tcPr>
          <w:p w14:paraId="386B7C5F"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72,1%</w:t>
            </w:r>
          </w:p>
        </w:tc>
        <w:tc>
          <w:tcPr>
            <w:tcW w:w="1276" w:type="dxa"/>
            <w:tcBorders>
              <w:top w:val="nil"/>
              <w:left w:val="nil"/>
              <w:bottom w:val="single" w:sz="8" w:space="0" w:color="auto"/>
              <w:right w:val="single" w:sz="8" w:space="0" w:color="auto"/>
            </w:tcBorders>
            <w:shd w:val="clear" w:color="auto" w:fill="auto"/>
            <w:vAlign w:val="center"/>
            <w:hideMark/>
          </w:tcPr>
          <w:p w14:paraId="0E8F17CA" w14:textId="77777777" w:rsidR="007468B3" w:rsidRPr="007468B3" w:rsidRDefault="007468B3" w:rsidP="007468B3">
            <w:pPr>
              <w:jc w:val="center"/>
              <w:rPr>
                <w:rFonts w:eastAsia="Times New Roman" w:cs="Times New Roman"/>
                <w:color w:val="000000"/>
                <w:sz w:val="20"/>
                <w:szCs w:val="20"/>
                <w:lang w:eastAsia="lv-LV"/>
              </w:rPr>
            </w:pPr>
            <w:r w:rsidRPr="007468B3">
              <w:rPr>
                <w:rFonts w:eastAsia="Times New Roman" w:cs="Times New Roman"/>
                <w:color w:val="000000"/>
                <w:sz w:val="20"/>
                <w:szCs w:val="20"/>
                <w:lang w:eastAsia="lv-LV"/>
              </w:rPr>
              <w:t>-71 856 090</w:t>
            </w:r>
          </w:p>
        </w:tc>
        <w:tc>
          <w:tcPr>
            <w:tcW w:w="850" w:type="dxa"/>
            <w:tcBorders>
              <w:top w:val="nil"/>
              <w:left w:val="nil"/>
              <w:bottom w:val="single" w:sz="8" w:space="0" w:color="auto"/>
              <w:right w:val="single" w:sz="8" w:space="0" w:color="auto"/>
            </w:tcBorders>
            <w:shd w:val="clear" w:color="auto" w:fill="auto"/>
            <w:noWrap/>
            <w:vAlign w:val="center"/>
            <w:hideMark/>
          </w:tcPr>
          <w:p w14:paraId="22905A9B"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78,7%</w:t>
            </w:r>
          </w:p>
        </w:tc>
        <w:tc>
          <w:tcPr>
            <w:tcW w:w="992" w:type="dxa"/>
            <w:tcBorders>
              <w:top w:val="nil"/>
              <w:left w:val="nil"/>
              <w:bottom w:val="single" w:sz="8" w:space="0" w:color="auto"/>
              <w:right w:val="single" w:sz="8" w:space="0" w:color="auto"/>
            </w:tcBorders>
            <w:shd w:val="clear" w:color="auto" w:fill="auto"/>
            <w:vAlign w:val="center"/>
            <w:hideMark/>
          </w:tcPr>
          <w:p w14:paraId="16F0A4F5" w14:textId="77777777" w:rsidR="007468B3" w:rsidRPr="007468B3" w:rsidRDefault="007468B3" w:rsidP="007468B3">
            <w:pPr>
              <w:jc w:val="center"/>
              <w:rPr>
                <w:rFonts w:eastAsia="Times New Roman" w:cs="Times New Roman"/>
                <w:b/>
                <w:bCs/>
                <w:color w:val="000000"/>
                <w:sz w:val="20"/>
                <w:szCs w:val="20"/>
                <w:lang w:eastAsia="lv-LV"/>
              </w:rPr>
            </w:pPr>
            <w:r w:rsidRPr="007468B3">
              <w:rPr>
                <w:rFonts w:eastAsia="Times New Roman" w:cs="Times New Roman"/>
                <w:b/>
                <w:bCs/>
                <w:color w:val="000000"/>
                <w:sz w:val="20"/>
                <w:szCs w:val="20"/>
                <w:lang w:eastAsia="lv-LV"/>
              </w:rPr>
              <w:t>-44 869 564</w:t>
            </w:r>
          </w:p>
        </w:tc>
      </w:tr>
    </w:tbl>
    <w:p w14:paraId="5CDE1F8F" w14:textId="77777777" w:rsidR="00CA518F" w:rsidRDefault="00CA518F" w:rsidP="002F41D0">
      <w:pPr>
        <w:rPr>
          <w:rFonts w:eastAsia="Calibri" w:cs="Times New Roman"/>
          <w:szCs w:val="24"/>
          <w:lang w:eastAsia="ar-SA"/>
        </w:rPr>
      </w:pPr>
    </w:p>
    <w:p w14:paraId="319EA5F3" w14:textId="77777777" w:rsidR="00EC09E0" w:rsidRPr="006E225E" w:rsidRDefault="00EC09E0" w:rsidP="00EC09E0">
      <w:pPr>
        <w:pStyle w:val="ListParagraph"/>
        <w:numPr>
          <w:ilvl w:val="0"/>
          <w:numId w:val="22"/>
        </w:numPr>
        <w:spacing w:before="120" w:after="120"/>
        <w:ind w:left="0" w:firstLine="0"/>
        <w:contextualSpacing w:val="0"/>
        <w:jc w:val="both"/>
        <w:rPr>
          <w:rFonts w:eastAsia="Calibri" w:cs="Times New Roman"/>
          <w:szCs w:val="24"/>
          <w:lang w:eastAsia="ar-SA"/>
        </w:rPr>
      </w:pPr>
      <w:r w:rsidRPr="00B854C0">
        <w:rPr>
          <w:rFonts w:cs="Times New Roman"/>
          <w:szCs w:val="24"/>
        </w:rPr>
        <w:t xml:space="preserve">Šobrīd FM sadarbībā ar </w:t>
      </w:r>
      <w:r w:rsidRPr="00B854C0">
        <w:rPr>
          <w:rFonts w:eastAsia="Times New Roman"/>
          <w:bCs/>
          <w:szCs w:val="24"/>
          <w:lang w:eastAsia="lv-LV"/>
        </w:rPr>
        <w:t>Centrālo finanšu un līgumu aģentūru (turpmāk – CFLA) aktīvi darbojas pie 2017.gada dažādu plānu izstrādes (maksājumu plānu, rādītāju, atlases kārtu) un saskaņošanas ar</w:t>
      </w:r>
      <w:r w:rsidRPr="00291E27">
        <w:rPr>
          <w:rFonts w:eastAsia="Times New Roman"/>
          <w:bCs/>
          <w:szCs w:val="24"/>
          <w:lang w:eastAsia="lv-LV"/>
        </w:rPr>
        <w:t xml:space="preserve"> iestādēm ar mērķi operatīvi sekot ieviešanas sekmēm un veikt pasākumus risku gadījumos. FM šos plānus valdībā iesniegs kopā ar regulāro pusgada ziņojumu par ES fondu in</w:t>
      </w:r>
      <w:r>
        <w:rPr>
          <w:rFonts w:eastAsia="Times New Roman"/>
          <w:bCs/>
          <w:szCs w:val="24"/>
          <w:lang w:eastAsia="lv-LV"/>
        </w:rPr>
        <w:t>vestīcijām (2017.gada martā</w:t>
      </w:r>
      <w:r w:rsidRPr="00291E27">
        <w:rPr>
          <w:rFonts w:eastAsia="Times New Roman"/>
          <w:bCs/>
          <w:szCs w:val="24"/>
          <w:lang w:eastAsia="lv-LV"/>
        </w:rPr>
        <w:t>).</w:t>
      </w:r>
      <w:r w:rsidRPr="00291E27">
        <w:rPr>
          <w:rFonts w:cs="Times New Roman"/>
          <w:szCs w:val="24"/>
        </w:rPr>
        <w:t xml:space="preserve"> </w:t>
      </w:r>
    </w:p>
    <w:p w14:paraId="46E4AA2E" w14:textId="13121C3E" w:rsidR="00592804" w:rsidRPr="00B028F5" w:rsidRDefault="00592804" w:rsidP="00592804">
      <w:pPr>
        <w:pStyle w:val="ListParagraph"/>
        <w:numPr>
          <w:ilvl w:val="0"/>
          <w:numId w:val="22"/>
        </w:numPr>
        <w:ind w:left="0" w:firstLine="0"/>
        <w:jc w:val="both"/>
        <w:rPr>
          <w:rFonts w:eastAsia="Times New Roman"/>
          <w:bCs/>
          <w:szCs w:val="24"/>
          <w:lang w:eastAsia="lv-LV"/>
        </w:rPr>
      </w:pPr>
      <w:r w:rsidRPr="00592804">
        <w:rPr>
          <w:rFonts w:eastAsia="Times New Roman"/>
          <w:b/>
          <w:bCs/>
          <w:szCs w:val="24"/>
          <w:lang w:eastAsia="lv-LV"/>
        </w:rPr>
        <w:t>Turpmākie izaicinājumi 2017.gadam –</w:t>
      </w:r>
      <w:r w:rsidRPr="00592804">
        <w:rPr>
          <w:rFonts w:eastAsia="Times New Roman"/>
          <w:bCs/>
          <w:szCs w:val="24"/>
          <w:lang w:eastAsia="lv-LV"/>
        </w:rPr>
        <w:t xml:space="preserve"> paātrināt projektu ieviešanu un finanšu plūsmu</w:t>
      </w:r>
      <w:r>
        <w:rPr>
          <w:rFonts w:eastAsia="Times New Roman"/>
          <w:bCs/>
          <w:szCs w:val="24"/>
          <w:lang w:eastAsia="lv-LV"/>
        </w:rPr>
        <w:t>, vienlaikus nodrošinot efektīvu risku un drošu finanšu pārvaldību ar fokusu uz investīciju rezultātu sasnieg</w:t>
      </w:r>
      <w:r w:rsidR="00EC09E0">
        <w:rPr>
          <w:rFonts w:eastAsia="Times New Roman"/>
          <w:bCs/>
          <w:szCs w:val="24"/>
          <w:lang w:eastAsia="lv-LV"/>
        </w:rPr>
        <w:t>šanu.</w:t>
      </w:r>
      <w:r>
        <w:rPr>
          <w:rFonts w:eastAsia="Times New Roman"/>
          <w:bCs/>
          <w:szCs w:val="24"/>
          <w:lang w:eastAsia="lv-LV"/>
        </w:rPr>
        <w:t xml:space="preserve"> </w:t>
      </w:r>
      <w:r w:rsidR="00EC09E0">
        <w:rPr>
          <w:rFonts w:eastAsia="Times New Roman"/>
          <w:bCs/>
          <w:szCs w:val="24"/>
          <w:lang w:eastAsia="lv-LV"/>
        </w:rPr>
        <w:t xml:space="preserve">Ievērojama nozīme būs Ekonomikas ministrijas veiktajai </w:t>
      </w:r>
      <w:r w:rsidR="00EC09E0">
        <w:rPr>
          <w:rFonts w:eastAsia="Times New Roman"/>
          <w:bCs/>
          <w:szCs w:val="24"/>
          <w:lang w:eastAsia="lv-LV"/>
        </w:rPr>
        <w:lastRenderedPageBreak/>
        <w:t xml:space="preserve">analīzei un priekšlikumiem </w:t>
      </w:r>
      <w:r w:rsidR="008F7405">
        <w:rPr>
          <w:rFonts w:eastAsia="Times New Roman"/>
          <w:bCs/>
          <w:szCs w:val="24"/>
          <w:lang w:eastAsia="lv-LV"/>
        </w:rPr>
        <w:t xml:space="preserve">sekmīgai investīciju videi </w:t>
      </w:r>
      <w:r w:rsidR="00EC09E0">
        <w:rPr>
          <w:rFonts w:eastAsia="Times New Roman"/>
          <w:bCs/>
          <w:szCs w:val="24"/>
          <w:lang w:eastAsia="lv-LV"/>
        </w:rPr>
        <w:t>būvniecības sektor</w:t>
      </w:r>
      <w:r w:rsidR="008F7405">
        <w:rPr>
          <w:rFonts w:eastAsia="Times New Roman"/>
          <w:bCs/>
          <w:szCs w:val="24"/>
          <w:lang w:eastAsia="lv-LV"/>
        </w:rPr>
        <w:t>ā</w:t>
      </w:r>
      <w:r w:rsidR="00EC09E0">
        <w:rPr>
          <w:rStyle w:val="FootnoteReference"/>
          <w:rFonts w:eastAsia="Times New Roman"/>
          <w:bCs/>
          <w:szCs w:val="24"/>
          <w:lang w:eastAsia="lv-LV"/>
        </w:rPr>
        <w:footnoteReference w:id="12"/>
      </w:r>
      <w:r w:rsidR="008F7405">
        <w:rPr>
          <w:rFonts w:eastAsia="Times New Roman"/>
          <w:bCs/>
          <w:szCs w:val="24"/>
          <w:lang w:eastAsia="lv-LV"/>
        </w:rPr>
        <w:t xml:space="preserve">. </w:t>
      </w:r>
      <w:r w:rsidR="00EC09E0">
        <w:rPr>
          <w:rFonts w:eastAsia="Times New Roman"/>
          <w:bCs/>
          <w:szCs w:val="24"/>
          <w:lang w:eastAsia="lv-LV"/>
        </w:rPr>
        <w:t xml:space="preserve">Tāpat būs jāpieņem “atlikušie” lēmumi par </w:t>
      </w:r>
      <w:r w:rsidRPr="00592804">
        <w:rPr>
          <w:rFonts w:eastAsia="Times New Roman"/>
          <w:bCs/>
          <w:szCs w:val="24"/>
          <w:lang w:eastAsia="lv-LV"/>
        </w:rPr>
        <w:t xml:space="preserve">investīcijām, t.sk., kam kavēta MK noteikumu izstrāde un attiecīgi apstiprināšana. 2017.gadā kopumā plānots apstiprināt 19 MK noteikumus ar kopējo finansējumu 578,2 milj. </w:t>
      </w:r>
      <w:r w:rsidRPr="00592804">
        <w:rPr>
          <w:rFonts w:eastAsia="Times New Roman"/>
          <w:bCs/>
          <w:i/>
          <w:szCs w:val="24"/>
          <w:lang w:eastAsia="lv-LV"/>
        </w:rPr>
        <w:t>euro</w:t>
      </w:r>
      <w:r w:rsidRPr="00592804">
        <w:rPr>
          <w:rFonts w:eastAsia="Times New Roman"/>
          <w:bCs/>
          <w:szCs w:val="24"/>
          <w:lang w:eastAsia="lv-LV"/>
        </w:rPr>
        <w:t xml:space="preserve">. No tiem 5 MK noteikumiem ar kopējo finansējumu 443,1 milj. </w:t>
      </w:r>
      <w:r w:rsidRPr="00592804">
        <w:rPr>
          <w:rFonts w:eastAsia="Times New Roman"/>
          <w:bCs/>
          <w:i/>
          <w:szCs w:val="24"/>
          <w:lang w:eastAsia="lv-LV"/>
        </w:rPr>
        <w:t>euro</w:t>
      </w:r>
      <w:r w:rsidRPr="00592804">
        <w:rPr>
          <w:rFonts w:eastAsia="Times New Roman"/>
          <w:bCs/>
          <w:szCs w:val="24"/>
          <w:lang w:eastAsia="lv-LV"/>
        </w:rPr>
        <w:t xml:space="preserve"> izpildes termiņš kavējas kopš 2016.gada:  Dzelzceļa elektrifikācija; Torņkalna transporta mezgls – kopā 353,7 milj. </w:t>
      </w:r>
      <w:r w:rsidRPr="00592804">
        <w:rPr>
          <w:rFonts w:eastAsia="Times New Roman"/>
          <w:bCs/>
          <w:i/>
          <w:szCs w:val="24"/>
          <w:lang w:eastAsia="lv-LV"/>
        </w:rPr>
        <w:t xml:space="preserve">euro; </w:t>
      </w:r>
      <w:r w:rsidRPr="00592804">
        <w:rPr>
          <w:rFonts w:eastAsia="Times New Roman"/>
          <w:bCs/>
          <w:szCs w:val="24"/>
          <w:lang w:eastAsia="lv-LV"/>
        </w:rPr>
        <w:t xml:space="preserve">Siltumtīklu energoefektivitāte – 53,2 milj. </w:t>
      </w:r>
      <w:r w:rsidRPr="00592804">
        <w:rPr>
          <w:rFonts w:eastAsia="Times New Roman"/>
          <w:bCs/>
          <w:i/>
          <w:szCs w:val="24"/>
          <w:lang w:eastAsia="lv-LV"/>
        </w:rPr>
        <w:t xml:space="preserve">euro; </w:t>
      </w:r>
      <w:r w:rsidRPr="00592804">
        <w:rPr>
          <w:rFonts w:eastAsia="Times New Roman"/>
          <w:bCs/>
          <w:szCs w:val="24"/>
          <w:lang w:eastAsia="lv-LV"/>
        </w:rPr>
        <w:t xml:space="preserve">Starptautiskā sadarbība – 27,7 milj. </w:t>
      </w:r>
      <w:r w:rsidRPr="00592804">
        <w:rPr>
          <w:rFonts w:eastAsia="Times New Roman"/>
          <w:bCs/>
          <w:i/>
          <w:szCs w:val="24"/>
          <w:lang w:eastAsia="lv-LV"/>
        </w:rPr>
        <w:t xml:space="preserve">euro; </w:t>
      </w:r>
      <w:r w:rsidRPr="00592804">
        <w:rPr>
          <w:rFonts w:eastAsia="Times New Roman"/>
          <w:bCs/>
          <w:szCs w:val="24"/>
          <w:lang w:eastAsia="lv-LV"/>
        </w:rPr>
        <w:t xml:space="preserve">Ārstu piesaiste reģionos – 8,5 milj. </w:t>
      </w:r>
      <w:r w:rsidRPr="00592804">
        <w:rPr>
          <w:rFonts w:eastAsia="Times New Roman"/>
          <w:bCs/>
          <w:i/>
          <w:szCs w:val="24"/>
          <w:lang w:eastAsia="lv-LV"/>
        </w:rPr>
        <w:t>euro.</w:t>
      </w:r>
    </w:p>
    <w:p w14:paraId="1E16B286" w14:textId="77777777" w:rsidR="00B028F5" w:rsidRPr="006E225E" w:rsidRDefault="00B028F5" w:rsidP="00B028F5">
      <w:pPr>
        <w:pStyle w:val="ListParagraph"/>
        <w:numPr>
          <w:ilvl w:val="0"/>
          <w:numId w:val="22"/>
        </w:numPr>
        <w:suppressAutoHyphens/>
        <w:spacing w:before="120" w:after="120"/>
        <w:ind w:left="0" w:firstLine="0"/>
        <w:contextualSpacing w:val="0"/>
        <w:jc w:val="both"/>
        <w:rPr>
          <w:color w:val="000000" w:themeColor="text1"/>
        </w:rPr>
      </w:pPr>
      <w:r w:rsidRPr="006E225E">
        <w:rPr>
          <w:bCs/>
          <w:color w:val="000000" w:themeColor="text1"/>
        </w:rPr>
        <w:t xml:space="preserve">2017.gads skatāms kā piesātināts projektu realizēšanas </w:t>
      </w:r>
      <w:r w:rsidRPr="006E225E">
        <w:rPr>
          <w:color w:val="000000" w:themeColor="text1"/>
        </w:rPr>
        <w:t xml:space="preserve">posms – labums konkrētās nozarēs un Latvijas ekonomikas attīstībā kopumā. Tādējādi </w:t>
      </w:r>
      <w:r w:rsidRPr="006E225E">
        <w:rPr>
          <w:bCs/>
          <w:color w:val="000000" w:themeColor="text1"/>
        </w:rPr>
        <w:t>milzīgas iespējas būvniecības sektorā</w:t>
      </w:r>
      <w:r w:rsidRPr="006E225E">
        <w:rPr>
          <w:color w:val="000000" w:themeColor="text1"/>
        </w:rPr>
        <w:t xml:space="preserve">, vidēji 65% no ikgadējās investīciju naudas plūsmas – </w:t>
      </w:r>
      <w:r w:rsidRPr="006E225E">
        <w:rPr>
          <w:bCs/>
          <w:color w:val="000000" w:themeColor="text1"/>
        </w:rPr>
        <w:t xml:space="preserve">2017.gadā vismaz 3 reizes vairāk </w:t>
      </w:r>
      <w:r w:rsidRPr="006E225E">
        <w:rPr>
          <w:color w:val="000000" w:themeColor="text1"/>
        </w:rPr>
        <w:t>nekā 2016.gadā. R</w:t>
      </w:r>
      <w:r w:rsidRPr="006E225E">
        <w:rPr>
          <w:bCs/>
          <w:color w:val="000000" w:themeColor="text1"/>
        </w:rPr>
        <w:t>eālas vidēja termiņa plānošanas iespējas nozarēs</w:t>
      </w:r>
      <w:r>
        <w:rPr>
          <w:bCs/>
          <w:color w:val="000000" w:themeColor="text1"/>
        </w:rPr>
        <w:t>,</w:t>
      </w:r>
      <w:r w:rsidRPr="006E225E">
        <w:rPr>
          <w:bCs/>
          <w:color w:val="000000" w:themeColor="text1"/>
        </w:rPr>
        <w:t xml:space="preserve"> </w:t>
      </w:r>
      <w:r w:rsidRPr="006E225E">
        <w:rPr>
          <w:color w:val="000000" w:themeColor="text1"/>
        </w:rPr>
        <w:t>tā kā apstiprināti noteikumi un drīzumā apstipri</w:t>
      </w:r>
      <w:r>
        <w:rPr>
          <w:color w:val="000000" w:themeColor="text1"/>
        </w:rPr>
        <w:t>n</w:t>
      </w:r>
      <w:r w:rsidRPr="006E225E">
        <w:rPr>
          <w:color w:val="000000" w:themeColor="text1"/>
        </w:rPr>
        <w:t>āti vairums projektu</w:t>
      </w:r>
      <w:r>
        <w:rPr>
          <w:color w:val="000000" w:themeColor="text1"/>
        </w:rPr>
        <w:t>.</w:t>
      </w:r>
    </w:p>
    <w:p w14:paraId="5153FCD1" w14:textId="77777777" w:rsidR="00B028F5" w:rsidRPr="00592804" w:rsidRDefault="00B028F5" w:rsidP="00B028F5">
      <w:pPr>
        <w:pStyle w:val="ListParagraph"/>
        <w:ind w:left="0"/>
        <w:jc w:val="both"/>
        <w:rPr>
          <w:rFonts w:eastAsia="Times New Roman"/>
          <w:bCs/>
          <w:szCs w:val="24"/>
          <w:lang w:eastAsia="lv-LV"/>
        </w:rPr>
      </w:pPr>
      <w:bookmarkStart w:id="0" w:name="_GoBack"/>
      <w:bookmarkEnd w:id="0"/>
    </w:p>
    <w:p w14:paraId="0F5F89C9" w14:textId="25F1D1F9" w:rsidR="00B32030" w:rsidRDefault="00B32030">
      <w:pPr>
        <w:rPr>
          <w:rFonts w:eastAsia="Calibri" w:cs="Times New Roman"/>
          <w:szCs w:val="24"/>
          <w:lang w:eastAsia="ar-SA"/>
        </w:rPr>
      </w:pPr>
    </w:p>
    <w:p w14:paraId="565F5815" w14:textId="21FA035B" w:rsidR="00684ADB" w:rsidRPr="008F2668" w:rsidRDefault="00684ADB" w:rsidP="002F41D0">
      <w:pPr>
        <w:rPr>
          <w:rFonts w:eastAsia="Calibri" w:cs="Times New Roman"/>
          <w:szCs w:val="24"/>
          <w:lang w:eastAsia="ar-SA"/>
        </w:rPr>
      </w:pPr>
      <w:r w:rsidRPr="008F2668">
        <w:rPr>
          <w:rFonts w:eastAsia="Calibri" w:cs="Times New Roman"/>
          <w:szCs w:val="24"/>
          <w:lang w:eastAsia="ar-SA"/>
        </w:rPr>
        <w:t xml:space="preserve">Pielikumā: </w:t>
      </w:r>
    </w:p>
    <w:p w14:paraId="2712E86F" w14:textId="5EBE2303" w:rsidR="00847E10" w:rsidRPr="00847E10" w:rsidRDefault="00847E10" w:rsidP="00847E10">
      <w:pPr>
        <w:pStyle w:val="ListParagraph"/>
        <w:numPr>
          <w:ilvl w:val="0"/>
          <w:numId w:val="4"/>
        </w:numPr>
        <w:ind w:left="425" w:hanging="357"/>
        <w:jc w:val="both"/>
        <w:rPr>
          <w:rFonts w:eastAsia="Times New Roman" w:cs="Times New Roman"/>
          <w:color w:val="000000"/>
          <w:szCs w:val="24"/>
        </w:rPr>
      </w:pPr>
      <w:r w:rsidRPr="00847E10">
        <w:rPr>
          <w:rFonts w:eastAsia="Times New Roman" w:cs="Times New Roman"/>
          <w:color w:val="000000"/>
          <w:szCs w:val="24"/>
        </w:rPr>
        <w:t>Informatīvā ziņojuma 1. pielikums “Kavētie Ministru kabineta noteikumi specifisko atbalsta mērķu/pasākumu laika grafikā, statuss uz 20.12.2016.” uz 1 lp.;</w:t>
      </w:r>
    </w:p>
    <w:p w14:paraId="26F3EFF8" w14:textId="01BE10C8" w:rsidR="00847E10" w:rsidRPr="00847E10" w:rsidRDefault="00847E10" w:rsidP="00D871F8">
      <w:pPr>
        <w:pStyle w:val="ListParagraph"/>
        <w:numPr>
          <w:ilvl w:val="0"/>
          <w:numId w:val="4"/>
        </w:numPr>
        <w:suppressAutoHyphens/>
        <w:spacing w:before="120" w:after="120"/>
        <w:ind w:left="425" w:hanging="357"/>
        <w:contextualSpacing w:val="0"/>
        <w:jc w:val="both"/>
        <w:rPr>
          <w:rFonts w:eastAsia="Times New Roman" w:cs="Times New Roman"/>
          <w:color w:val="000000"/>
          <w:szCs w:val="24"/>
        </w:rPr>
      </w:pPr>
      <w:r w:rsidRPr="00847E10">
        <w:rPr>
          <w:rFonts w:eastAsia="Times New Roman" w:cs="Times New Roman"/>
          <w:color w:val="000000"/>
          <w:szCs w:val="24"/>
        </w:rPr>
        <w:t>Informatīvā ziņojuma 2. pielikums “Kavēta Ministru kabineta noteikumu izsludināšana valsts sekretāru sanāksmē uz 20.12.2016.” uz 1 lp.;</w:t>
      </w:r>
    </w:p>
    <w:p w14:paraId="154FD7B8" w14:textId="56D9BC51" w:rsidR="00847E10" w:rsidRPr="00847E10" w:rsidRDefault="00847E10" w:rsidP="00D871F8">
      <w:pPr>
        <w:pStyle w:val="ListParagraph"/>
        <w:numPr>
          <w:ilvl w:val="0"/>
          <w:numId w:val="4"/>
        </w:numPr>
        <w:spacing w:before="120" w:after="120"/>
        <w:ind w:left="425" w:hanging="357"/>
        <w:jc w:val="both"/>
        <w:rPr>
          <w:rFonts w:eastAsia="Times New Roman" w:cs="Times New Roman"/>
          <w:color w:val="000000"/>
          <w:szCs w:val="24"/>
        </w:rPr>
      </w:pPr>
      <w:r w:rsidRPr="00847E10">
        <w:rPr>
          <w:rFonts w:eastAsia="Times New Roman" w:cs="Times New Roman"/>
          <w:color w:val="000000"/>
          <w:szCs w:val="24"/>
        </w:rPr>
        <w:t>Informatīvā ziņojuma 3. pielikums “</w:t>
      </w:r>
      <w:r w:rsidR="00D871F8" w:rsidRPr="00D871F8">
        <w:rPr>
          <w:rFonts w:eastAsia="Times New Roman" w:cs="Times New Roman"/>
          <w:color w:val="000000"/>
          <w:szCs w:val="24"/>
        </w:rPr>
        <w:t>2017. un 2018.gada specifisko atbalsta mērķu ievie</w:t>
      </w:r>
      <w:r w:rsidR="00E0125F">
        <w:rPr>
          <w:rFonts w:eastAsia="Times New Roman" w:cs="Times New Roman"/>
          <w:color w:val="000000"/>
          <w:szCs w:val="24"/>
        </w:rPr>
        <w:t>šanas laika grafika statuss uz</w:t>
      </w:r>
      <w:r w:rsidR="00D871F8" w:rsidRPr="00D871F8">
        <w:rPr>
          <w:rFonts w:eastAsia="Times New Roman" w:cs="Times New Roman"/>
          <w:color w:val="000000"/>
          <w:szCs w:val="24"/>
        </w:rPr>
        <w:t xml:space="preserve"> 20.12.2016</w:t>
      </w:r>
      <w:r w:rsidR="00F35E7E">
        <w:rPr>
          <w:rFonts w:eastAsia="Times New Roman" w:cs="Times New Roman"/>
          <w:color w:val="000000"/>
          <w:szCs w:val="24"/>
        </w:rPr>
        <w:t>’’</w:t>
      </w:r>
      <w:r w:rsidRPr="00847E10">
        <w:rPr>
          <w:rFonts w:eastAsia="Times New Roman" w:cs="Times New Roman"/>
          <w:color w:val="000000"/>
          <w:szCs w:val="24"/>
        </w:rPr>
        <w:t xml:space="preserve"> uz 3 lp.</w:t>
      </w:r>
    </w:p>
    <w:p w14:paraId="5723F1EA" w14:textId="77777777" w:rsidR="00684ADB" w:rsidRPr="008F2668" w:rsidRDefault="00684ADB" w:rsidP="00684ADB">
      <w:pPr>
        <w:tabs>
          <w:tab w:val="right" w:pos="9072"/>
        </w:tabs>
        <w:suppressAutoHyphens/>
        <w:rPr>
          <w:rFonts w:eastAsia="Calibri" w:cs="Times New Roman"/>
          <w:szCs w:val="24"/>
          <w:lang w:eastAsia="ar-SA"/>
        </w:rPr>
      </w:pPr>
    </w:p>
    <w:p w14:paraId="190485B6" w14:textId="77777777" w:rsidR="00684ADB" w:rsidRPr="008F2668" w:rsidRDefault="00684ADB" w:rsidP="00684ADB">
      <w:pPr>
        <w:tabs>
          <w:tab w:val="right" w:pos="9072"/>
        </w:tabs>
        <w:suppressAutoHyphens/>
        <w:rPr>
          <w:rFonts w:eastAsia="Calibri" w:cs="Times New Roman"/>
          <w:szCs w:val="24"/>
          <w:lang w:eastAsia="ar-SA"/>
        </w:rPr>
      </w:pPr>
    </w:p>
    <w:p w14:paraId="7C2BEB2F" w14:textId="77777777" w:rsidR="00DB203A" w:rsidRPr="008F2668" w:rsidRDefault="00DB203A" w:rsidP="00684ADB">
      <w:pPr>
        <w:tabs>
          <w:tab w:val="right" w:pos="9072"/>
        </w:tabs>
        <w:suppressAutoHyphens/>
        <w:rPr>
          <w:rFonts w:eastAsia="Calibri" w:cs="Times New Roman"/>
          <w:szCs w:val="24"/>
          <w:lang w:eastAsia="ar-SA"/>
        </w:rPr>
      </w:pPr>
    </w:p>
    <w:p w14:paraId="3BEA5A64" w14:textId="77777777" w:rsidR="00DB203A" w:rsidRPr="008F2668" w:rsidRDefault="00DB203A" w:rsidP="00684ADB">
      <w:pPr>
        <w:tabs>
          <w:tab w:val="right" w:pos="9072"/>
        </w:tabs>
        <w:suppressAutoHyphens/>
        <w:rPr>
          <w:rFonts w:eastAsia="Calibri" w:cs="Times New Roman"/>
          <w:szCs w:val="24"/>
          <w:lang w:eastAsia="ar-SA"/>
        </w:rPr>
      </w:pPr>
    </w:p>
    <w:p w14:paraId="5D8A5994" w14:textId="77777777" w:rsidR="00684ADB" w:rsidRPr="008F2668" w:rsidRDefault="00684ADB" w:rsidP="00684ADB">
      <w:pPr>
        <w:tabs>
          <w:tab w:val="right" w:pos="9072"/>
        </w:tabs>
        <w:suppressAutoHyphens/>
        <w:rPr>
          <w:rFonts w:eastAsia="Calibri" w:cs="Times New Roman"/>
          <w:szCs w:val="24"/>
          <w:lang w:eastAsia="ar-SA"/>
        </w:rPr>
      </w:pPr>
      <w:r w:rsidRPr="008F2668">
        <w:rPr>
          <w:rFonts w:eastAsia="Calibri" w:cs="Times New Roman"/>
          <w:szCs w:val="24"/>
          <w:lang w:eastAsia="ar-SA"/>
        </w:rPr>
        <w:t>Finanšu ministre                                                                                            D.Reizniece-Ozola </w:t>
      </w:r>
    </w:p>
    <w:p w14:paraId="1F9B6107" w14:textId="77777777" w:rsidR="00684ADB" w:rsidRPr="008F2668" w:rsidRDefault="00684ADB" w:rsidP="00684ADB">
      <w:pPr>
        <w:tabs>
          <w:tab w:val="right" w:pos="9072"/>
        </w:tabs>
        <w:suppressAutoHyphens/>
        <w:rPr>
          <w:rFonts w:eastAsia="Calibri" w:cs="Times New Roman"/>
          <w:szCs w:val="24"/>
          <w:lang w:eastAsia="ar-SA"/>
        </w:rPr>
      </w:pPr>
    </w:p>
    <w:p w14:paraId="26E6105A" w14:textId="56C49C29" w:rsidR="00684ADB" w:rsidRPr="008F2668" w:rsidRDefault="0027168C" w:rsidP="0027168C">
      <w:pPr>
        <w:tabs>
          <w:tab w:val="left" w:pos="8145"/>
        </w:tabs>
        <w:rPr>
          <w:color w:val="000000" w:themeColor="text1"/>
          <w:sz w:val="18"/>
        </w:rPr>
      </w:pPr>
      <w:r w:rsidRPr="008F2668">
        <w:rPr>
          <w:color w:val="000000" w:themeColor="text1"/>
          <w:sz w:val="18"/>
        </w:rPr>
        <w:tab/>
      </w:r>
    </w:p>
    <w:p w14:paraId="630E191F" w14:textId="77777777" w:rsidR="00684ADB" w:rsidRPr="008F2668" w:rsidRDefault="00684ADB" w:rsidP="00684ADB">
      <w:pPr>
        <w:tabs>
          <w:tab w:val="left" w:pos="1725"/>
        </w:tabs>
        <w:rPr>
          <w:color w:val="000000" w:themeColor="text1"/>
          <w:sz w:val="18"/>
        </w:rPr>
      </w:pPr>
    </w:p>
    <w:p w14:paraId="422FC927" w14:textId="77777777" w:rsidR="002E28C2" w:rsidRPr="008F2668" w:rsidRDefault="002E28C2" w:rsidP="00684ADB">
      <w:pPr>
        <w:tabs>
          <w:tab w:val="left" w:pos="1725"/>
        </w:tabs>
        <w:rPr>
          <w:color w:val="000000" w:themeColor="text1"/>
          <w:sz w:val="18"/>
        </w:rPr>
      </w:pPr>
    </w:p>
    <w:p w14:paraId="3E44A82C" w14:textId="77777777" w:rsidR="002E28C2" w:rsidRPr="008F2668" w:rsidRDefault="002E28C2" w:rsidP="00684ADB">
      <w:pPr>
        <w:tabs>
          <w:tab w:val="left" w:pos="1725"/>
        </w:tabs>
        <w:rPr>
          <w:color w:val="000000" w:themeColor="text1"/>
          <w:sz w:val="18"/>
        </w:rPr>
      </w:pPr>
    </w:p>
    <w:p w14:paraId="2EE69E98" w14:textId="77777777" w:rsidR="00684ADB" w:rsidRPr="008F2668" w:rsidRDefault="00684ADB" w:rsidP="00684ADB">
      <w:pPr>
        <w:tabs>
          <w:tab w:val="left" w:pos="1725"/>
        </w:tabs>
        <w:rPr>
          <w:color w:val="000000" w:themeColor="text1"/>
          <w:sz w:val="18"/>
        </w:rPr>
      </w:pPr>
    </w:p>
    <w:p w14:paraId="4B0D916F" w14:textId="77777777" w:rsidR="006D55C0" w:rsidRPr="004016F6" w:rsidRDefault="006D55C0" w:rsidP="006D55C0">
      <w:pPr>
        <w:tabs>
          <w:tab w:val="center" w:pos="4153"/>
          <w:tab w:val="right" w:pos="8306"/>
        </w:tabs>
        <w:rPr>
          <w:color w:val="000000"/>
          <w:sz w:val="20"/>
          <w:szCs w:val="24"/>
        </w:rPr>
      </w:pPr>
      <w:r w:rsidRPr="004016F6">
        <w:rPr>
          <w:color w:val="000000"/>
          <w:sz w:val="20"/>
          <w:szCs w:val="24"/>
        </w:rPr>
        <w:t>Inta Dimzule</w:t>
      </w:r>
    </w:p>
    <w:p w14:paraId="629139DF" w14:textId="77777777" w:rsidR="006D55C0" w:rsidRPr="004016F6" w:rsidRDefault="006D55C0" w:rsidP="006D55C0">
      <w:pPr>
        <w:tabs>
          <w:tab w:val="center" w:pos="4153"/>
          <w:tab w:val="right" w:pos="8306"/>
        </w:tabs>
        <w:rPr>
          <w:color w:val="000000"/>
          <w:sz w:val="20"/>
          <w:szCs w:val="24"/>
        </w:rPr>
      </w:pPr>
      <w:r w:rsidRPr="004016F6">
        <w:rPr>
          <w:color w:val="000000"/>
          <w:sz w:val="20"/>
          <w:szCs w:val="24"/>
        </w:rPr>
        <w:t>Finanšu ministrijas Eiropas Savienības fondu uzraudzības departamenta</w:t>
      </w:r>
    </w:p>
    <w:p w14:paraId="78660516" w14:textId="77777777" w:rsidR="006D55C0" w:rsidRPr="004016F6" w:rsidRDefault="006D55C0" w:rsidP="006D55C0">
      <w:pPr>
        <w:tabs>
          <w:tab w:val="center" w:pos="4153"/>
          <w:tab w:val="right" w:pos="8306"/>
        </w:tabs>
        <w:rPr>
          <w:color w:val="000000"/>
          <w:sz w:val="20"/>
          <w:szCs w:val="24"/>
        </w:rPr>
      </w:pPr>
      <w:r w:rsidRPr="004016F6">
        <w:rPr>
          <w:color w:val="000000"/>
          <w:sz w:val="20"/>
          <w:szCs w:val="24"/>
        </w:rPr>
        <w:t>Uzņēmējdarbības un inovāciju uzraudzības nodaļas vecākā referente</w:t>
      </w:r>
    </w:p>
    <w:p w14:paraId="7CDE1E77" w14:textId="77777777" w:rsidR="006D55C0" w:rsidRPr="004016F6" w:rsidRDefault="006D55C0" w:rsidP="006D55C0">
      <w:pPr>
        <w:tabs>
          <w:tab w:val="center" w:pos="4153"/>
          <w:tab w:val="right" w:pos="8306"/>
        </w:tabs>
        <w:rPr>
          <w:color w:val="000000"/>
          <w:sz w:val="20"/>
          <w:szCs w:val="24"/>
        </w:rPr>
      </w:pPr>
      <w:r w:rsidRPr="004016F6">
        <w:rPr>
          <w:color w:val="000000"/>
          <w:sz w:val="20"/>
          <w:szCs w:val="24"/>
        </w:rPr>
        <w:t>Tālr. 67083873</w:t>
      </w:r>
    </w:p>
    <w:p w14:paraId="7043B6A2" w14:textId="77777777" w:rsidR="006D55C0" w:rsidRPr="004016F6" w:rsidRDefault="00B028F5" w:rsidP="006D55C0">
      <w:pPr>
        <w:pStyle w:val="Header"/>
        <w:rPr>
          <w:sz w:val="20"/>
          <w:szCs w:val="24"/>
        </w:rPr>
      </w:pPr>
      <w:hyperlink r:id="rId12" w:history="1">
        <w:r w:rsidR="006D55C0" w:rsidRPr="004016F6">
          <w:rPr>
            <w:rStyle w:val="Hyperlink"/>
            <w:sz w:val="20"/>
            <w:szCs w:val="24"/>
          </w:rPr>
          <w:t>Inta.Dimzule@fm.gov.lv</w:t>
        </w:r>
      </w:hyperlink>
    </w:p>
    <w:p w14:paraId="732D946A" w14:textId="77777777" w:rsidR="00942AB5" w:rsidRPr="008F2668" w:rsidRDefault="00942AB5"/>
    <w:sectPr w:rsidR="00942AB5" w:rsidRPr="008F2668" w:rsidSect="00592804">
      <w:headerReference w:type="default" r:id="rId13"/>
      <w:footerReference w:type="defaul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50685" w14:textId="77777777" w:rsidR="00617EF8" w:rsidRDefault="00617EF8" w:rsidP="00684ADB">
      <w:r>
        <w:separator/>
      </w:r>
    </w:p>
  </w:endnote>
  <w:endnote w:type="continuationSeparator" w:id="0">
    <w:p w14:paraId="7A328870" w14:textId="77777777" w:rsidR="00617EF8" w:rsidRDefault="00617EF8" w:rsidP="0068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69D6B" w14:textId="144C2AC2" w:rsidR="004F42B6" w:rsidRPr="0038735F" w:rsidRDefault="00664C3A" w:rsidP="00947BBB">
    <w:pPr>
      <w:pStyle w:val="Footer"/>
      <w:jc w:val="both"/>
      <w:rPr>
        <w:sz w:val="20"/>
      </w:rPr>
    </w:pPr>
    <w:r>
      <w:rPr>
        <w:sz w:val="20"/>
      </w:rPr>
      <w:t>FMzino_2712</w:t>
    </w:r>
    <w:r w:rsidR="004F42B6">
      <w:rPr>
        <w:sz w:val="20"/>
      </w:rPr>
      <w:t>16</w:t>
    </w:r>
    <w:r w:rsidR="008010F6">
      <w:rPr>
        <w:sz w:val="20"/>
      </w:rPr>
      <w:t>_ES_fondi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BE59" w14:textId="63AE6AA7" w:rsidR="004F42B6" w:rsidRPr="0038735F" w:rsidRDefault="004F42B6" w:rsidP="00947BBB">
    <w:pPr>
      <w:pStyle w:val="Footer"/>
      <w:jc w:val="both"/>
      <w:rPr>
        <w:sz w:val="20"/>
      </w:rPr>
    </w:pPr>
    <w:r>
      <w:rPr>
        <w:sz w:val="20"/>
      </w:rPr>
      <w:t>FMzino_</w:t>
    </w:r>
    <w:r w:rsidR="00664C3A">
      <w:rPr>
        <w:sz w:val="20"/>
      </w:rPr>
      <w:t>2712</w:t>
    </w:r>
    <w:r w:rsidRPr="006A6888">
      <w:rPr>
        <w:sz w:val="20"/>
      </w:rPr>
      <w:t>16</w:t>
    </w:r>
    <w:r w:rsidRPr="002E1DBF">
      <w:rPr>
        <w:sz w:val="20"/>
      </w:rPr>
      <w:t>_ES_fondi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43856" w14:textId="77777777" w:rsidR="00617EF8" w:rsidRDefault="00617EF8" w:rsidP="00684ADB">
      <w:r>
        <w:separator/>
      </w:r>
    </w:p>
  </w:footnote>
  <w:footnote w:type="continuationSeparator" w:id="0">
    <w:p w14:paraId="1E839C71" w14:textId="77777777" w:rsidR="00617EF8" w:rsidRDefault="00617EF8" w:rsidP="00684ADB">
      <w:r>
        <w:continuationSeparator/>
      </w:r>
    </w:p>
  </w:footnote>
  <w:footnote w:id="1">
    <w:p w14:paraId="49CAF906" w14:textId="14608053" w:rsidR="004F42B6" w:rsidRPr="00797B8A" w:rsidRDefault="004F42B6" w:rsidP="008F2668">
      <w:pPr>
        <w:pStyle w:val="FootnoteText"/>
        <w:jc w:val="both"/>
        <w:rPr>
          <w:sz w:val="16"/>
          <w:szCs w:val="16"/>
        </w:rPr>
      </w:pPr>
      <w:r w:rsidRPr="00797B8A">
        <w:rPr>
          <w:rStyle w:val="FootnoteReference"/>
          <w:sz w:val="16"/>
          <w:szCs w:val="16"/>
        </w:rPr>
        <w:footnoteRef/>
      </w:r>
      <w:r w:rsidRPr="00797B8A">
        <w:rPr>
          <w:sz w:val="16"/>
          <w:szCs w:val="16"/>
        </w:rPr>
        <w:t xml:space="preserve"> Ziņojumā tiek sniegta informācija par datu un informācijas apkopojumiem uz dažādiem atskaites datumiem ar mērķi sniegt aktuālo informāciju.</w:t>
      </w:r>
    </w:p>
  </w:footnote>
  <w:footnote w:id="2">
    <w:p w14:paraId="703181B8" w14:textId="77777777" w:rsidR="004F42B6" w:rsidRPr="00797B8A" w:rsidRDefault="004F42B6" w:rsidP="008F2668">
      <w:pPr>
        <w:pStyle w:val="FootnoteText"/>
        <w:jc w:val="both"/>
        <w:rPr>
          <w:sz w:val="16"/>
          <w:szCs w:val="16"/>
        </w:rPr>
      </w:pPr>
      <w:r w:rsidRPr="00797B8A">
        <w:rPr>
          <w:rStyle w:val="FootnoteReference"/>
          <w:sz w:val="16"/>
          <w:szCs w:val="16"/>
        </w:rPr>
        <w:footnoteRef/>
      </w:r>
      <w:r w:rsidRPr="00797B8A">
        <w:rPr>
          <w:sz w:val="16"/>
          <w:szCs w:val="16"/>
        </w:rPr>
        <w:t xml:space="preserve"> Skatīt informatīvā ziņojuma par Eiropas Savienības struktūrfondu un Kohēzijas fonda, Eiropas Ekonomikas zonas finanšu instrumenta, Norvēģijas finanšu instrumenta un Latvijas un Šveices sadarbības programmas investīciju progresu līdz 2015.gada 31.decembrim 6.pielikumu: </w:t>
      </w:r>
      <w:hyperlink r:id="rId1" w:history="1">
        <w:r w:rsidRPr="00797B8A">
          <w:rPr>
            <w:rStyle w:val="Hyperlink"/>
            <w:rFonts w:eastAsia="Calibri" w:cs="Times New Roman"/>
            <w:sz w:val="16"/>
            <w:szCs w:val="16"/>
            <w:lang w:eastAsia="ar-SA"/>
          </w:rPr>
          <w:t>http://www.esfondi.lv/zinojumi-Ministru-kabinetam</w:t>
        </w:r>
      </w:hyperlink>
    </w:p>
  </w:footnote>
  <w:footnote w:id="3">
    <w:p w14:paraId="5D7FA4BF" w14:textId="77777777" w:rsidR="00207285" w:rsidRPr="00797B8A" w:rsidRDefault="00207285" w:rsidP="008F2668">
      <w:pPr>
        <w:pStyle w:val="FootnoteText"/>
        <w:jc w:val="both"/>
        <w:rPr>
          <w:sz w:val="16"/>
          <w:szCs w:val="16"/>
        </w:rPr>
      </w:pPr>
      <w:r w:rsidRPr="00797B8A">
        <w:rPr>
          <w:rStyle w:val="FootnoteReference"/>
          <w:sz w:val="16"/>
          <w:szCs w:val="16"/>
        </w:rPr>
        <w:footnoteRef/>
      </w:r>
      <w:r w:rsidRPr="00797B8A">
        <w:rPr>
          <w:sz w:val="16"/>
          <w:szCs w:val="16"/>
        </w:rPr>
        <w:t xml:space="preserve"> Finanšu rādītāju plāni un to izpilde </w:t>
      </w:r>
      <w:hyperlink r:id="rId2" w:history="1">
        <w:r w:rsidRPr="00797B8A">
          <w:rPr>
            <w:rStyle w:val="Hyperlink"/>
            <w:sz w:val="16"/>
            <w:szCs w:val="16"/>
          </w:rPr>
          <w:t>http://www.esfondi.lv/finansu-un-raditaju-plani-to-izpilde</w:t>
        </w:r>
      </w:hyperlink>
      <w:r w:rsidRPr="00797B8A">
        <w:rPr>
          <w:sz w:val="16"/>
          <w:szCs w:val="16"/>
        </w:rPr>
        <w:t xml:space="preserve"> </w:t>
      </w:r>
    </w:p>
  </w:footnote>
  <w:footnote w:id="4">
    <w:p w14:paraId="4F2EC90E" w14:textId="343EA845" w:rsidR="00E26270" w:rsidRPr="00B854C0" w:rsidRDefault="00E26270" w:rsidP="00B854C0">
      <w:pPr>
        <w:pStyle w:val="FootnoteText"/>
        <w:jc w:val="both"/>
      </w:pPr>
      <w:r>
        <w:rPr>
          <w:rStyle w:val="FootnoteReference"/>
        </w:rPr>
        <w:footnoteRef/>
      </w:r>
      <w:r>
        <w:t xml:space="preserve"> Lai nodrošinātu zināmu elastību un </w:t>
      </w:r>
      <w:r w:rsidRPr="00B854C0">
        <w:t xml:space="preserve">tiektos uz lielāku izpildi, ambiciozāks plāns bija sasniegt </w:t>
      </w:r>
      <w:r w:rsidRPr="00B854C0">
        <w:rPr>
          <w:szCs w:val="24"/>
        </w:rPr>
        <w:t>4</w:t>
      </w:r>
      <w:r w:rsidRPr="00B854C0">
        <w:rPr>
          <w:szCs w:val="24"/>
        </w:rPr>
        <w:t>,2</w:t>
      </w:r>
      <w:r w:rsidRPr="00B854C0">
        <w:rPr>
          <w:szCs w:val="24"/>
        </w:rPr>
        <w:t xml:space="preserve"> miljardu euro</w:t>
      </w:r>
      <w:r w:rsidR="00B854C0" w:rsidRPr="00B854C0">
        <w:rPr>
          <w:szCs w:val="24"/>
        </w:rPr>
        <w:t xml:space="preserve"> vērtībā apstiprinātus investīciju noteikumus. </w:t>
      </w:r>
      <w:r w:rsidR="00B854C0">
        <w:rPr>
          <w:szCs w:val="24"/>
        </w:rPr>
        <w:t xml:space="preserve">Līdz 2016.gada beigām </w:t>
      </w:r>
      <w:r w:rsidR="00B854C0">
        <w:rPr>
          <w:szCs w:val="24"/>
        </w:rPr>
        <w:t>iz</w:t>
      </w:r>
      <w:r w:rsidR="00B854C0">
        <w:rPr>
          <w:szCs w:val="24"/>
        </w:rPr>
        <w:t>devies 90</w:t>
      </w:r>
      <w:r w:rsidR="00B854C0">
        <w:rPr>
          <w:szCs w:val="24"/>
        </w:rPr>
        <w:t xml:space="preserve">% no </w:t>
      </w:r>
      <w:r w:rsidR="00B854C0">
        <w:rPr>
          <w:szCs w:val="24"/>
        </w:rPr>
        <w:t>šī plāna</w:t>
      </w:r>
      <w:r w:rsidR="00B854C0">
        <w:rPr>
          <w:szCs w:val="24"/>
        </w:rPr>
        <w:t>.</w:t>
      </w:r>
    </w:p>
  </w:footnote>
  <w:footnote w:id="5">
    <w:p w14:paraId="4F893AC9" w14:textId="3652B6E4" w:rsidR="00966F47" w:rsidRPr="00074F36" w:rsidRDefault="00966F47" w:rsidP="008F2668">
      <w:pPr>
        <w:pStyle w:val="FootnoteText"/>
        <w:jc w:val="both"/>
        <w:rPr>
          <w:sz w:val="16"/>
          <w:szCs w:val="16"/>
        </w:rPr>
      </w:pPr>
      <w:r w:rsidRPr="00797B8A">
        <w:rPr>
          <w:rStyle w:val="FootnoteReference"/>
          <w:sz w:val="16"/>
          <w:szCs w:val="16"/>
        </w:rPr>
        <w:footnoteRef/>
      </w:r>
      <w:r w:rsidRPr="00797B8A">
        <w:rPr>
          <w:sz w:val="16"/>
          <w:szCs w:val="16"/>
        </w:rPr>
        <w:t xml:space="preserve"> </w:t>
      </w:r>
      <w:r w:rsidR="006A65E3" w:rsidRPr="00797B8A">
        <w:rPr>
          <w:sz w:val="16"/>
          <w:szCs w:val="16"/>
        </w:rPr>
        <w:t>Pilna informācija par izpilde</w:t>
      </w:r>
      <w:r w:rsidR="006A65E3">
        <w:rPr>
          <w:sz w:val="16"/>
          <w:szCs w:val="16"/>
        </w:rPr>
        <w:t xml:space="preserve">s statusu uz 2016.gada 1.decembri pieejama </w:t>
      </w:r>
      <w:hyperlink r:id="rId3" w:history="1">
        <w:r w:rsidR="006A65E3" w:rsidRPr="00797B8A">
          <w:rPr>
            <w:rStyle w:val="Hyperlink"/>
            <w:sz w:val="16"/>
            <w:szCs w:val="16"/>
          </w:rPr>
          <w:t>http://www.esfondi.lv/finansu-un-raditaju-plani-to-izpilde</w:t>
        </w:r>
      </w:hyperlink>
      <w:r w:rsidR="006A65E3" w:rsidRPr="00797B8A">
        <w:rPr>
          <w:sz w:val="16"/>
          <w:szCs w:val="16"/>
        </w:rPr>
        <w:t xml:space="preserve"> </w:t>
      </w:r>
      <w:r w:rsidRPr="00797B8A">
        <w:rPr>
          <w:sz w:val="16"/>
          <w:szCs w:val="16"/>
        </w:rPr>
        <w:t>Informācija sakārtota loģiskā sec</w:t>
      </w:r>
      <w:r w:rsidR="004F5936" w:rsidRPr="00797B8A">
        <w:rPr>
          <w:sz w:val="16"/>
          <w:szCs w:val="16"/>
        </w:rPr>
        <w:t xml:space="preserve">ībā, sākot ar </w:t>
      </w:r>
      <w:r w:rsidR="002D235F">
        <w:rPr>
          <w:sz w:val="16"/>
          <w:szCs w:val="16"/>
        </w:rPr>
        <w:t>apsti</w:t>
      </w:r>
      <w:r w:rsidR="006A65E3">
        <w:rPr>
          <w:sz w:val="16"/>
          <w:szCs w:val="16"/>
        </w:rPr>
        <w:t>prinātiem MK noteikumiem</w:t>
      </w:r>
      <w:r w:rsidRPr="00797B8A">
        <w:rPr>
          <w:sz w:val="16"/>
          <w:szCs w:val="16"/>
        </w:rPr>
        <w:t xml:space="preserve"> un turpinot ar kavējumiem (MK noteikumu apstiprināšanai, MK noteikumu izsludināšanai Valsts sekretāru sanāksmē</w:t>
      </w:r>
      <w:r w:rsidR="00D1696B" w:rsidRPr="00797B8A">
        <w:rPr>
          <w:sz w:val="16"/>
          <w:szCs w:val="16"/>
        </w:rPr>
        <w:t>,</w:t>
      </w:r>
      <w:r w:rsidRPr="00797B8A">
        <w:rPr>
          <w:sz w:val="16"/>
          <w:szCs w:val="16"/>
        </w:rPr>
        <w:t xml:space="preserve"> kā arī projektu iesniegumu atlases kritēriju iesniegšanai apakškomitejā) un noslēdzot ar specifiskajiem atbalsta mērķiem/pasākumiem, kuriem MK noteikumu apstiprināšanas termiņš vēl nav iestājies. </w:t>
      </w:r>
    </w:p>
  </w:footnote>
  <w:footnote w:id="6">
    <w:p w14:paraId="51009FDD" w14:textId="36068ECC" w:rsidR="00966F47" w:rsidRPr="00074F36" w:rsidRDefault="00966F47" w:rsidP="008F2668">
      <w:pPr>
        <w:pStyle w:val="FootnoteText"/>
        <w:jc w:val="both"/>
        <w:rPr>
          <w:sz w:val="16"/>
          <w:szCs w:val="16"/>
        </w:rPr>
      </w:pPr>
      <w:r w:rsidRPr="00074F36">
        <w:rPr>
          <w:rStyle w:val="FootnoteReference"/>
          <w:sz w:val="16"/>
          <w:szCs w:val="16"/>
        </w:rPr>
        <w:footnoteRef/>
      </w:r>
      <w:r w:rsidRPr="00074F36">
        <w:rPr>
          <w:sz w:val="16"/>
          <w:szCs w:val="16"/>
        </w:rPr>
        <w:t xml:space="preserve"> </w:t>
      </w:r>
      <w:r w:rsidRPr="00797B8A">
        <w:rPr>
          <w:sz w:val="16"/>
          <w:szCs w:val="16"/>
        </w:rPr>
        <w:t>Nākamajos mēnešos MK noteikumu skaits var mainīties, ņemot vērā, ka Izglītības un zinātnes ministrijas plānotais 1.1.1.6.pasākums “RIS3 pārvaldības atbalsts”  netiks īstenots, k</w:t>
      </w:r>
      <w:r w:rsidR="00C00937">
        <w:rPr>
          <w:sz w:val="16"/>
          <w:szCs w:val="16"/>
        </w:rPr>
        <w:t>ā arī plānots izveidot jaunu specifisko atbalsta mērķi</w:t>
      </w:r>
      <w:r w:rsidRPr="00797B8A">
        <w:rPr>
          <w:sz w:val="16"/>
          <w:szCs w:val="16"/>
        </w:rPr>
        <w:t xml:space="preserve"> </w:t>
      </w:r>
      <w:r w:rsidRPr="00797B8A">
        <w:rPr>
          <w:bCs/>
          <w:sz w:val="16"/>
          <w:szCs w:val="16"/>
        </w:rPr>
        <w:t xml:space="preserve">Inčukalna gudrona dīķu attīrīšanas </w:t>
      </w:r>
      <w:r w:rsidRPr="00797B8A">
        <w:rPr>
          <w:sz w:val="16"/>
          <w:szCs w:val="16"/>
        </w:rPr>
        <w:t>(sanācijas) projektam.</w:t>
      </w:r>
    </w:p>
  </w:footnote>
  <w:footnote w:id="7">
    <w:p w14:paraId="11FC7C42" w14:textId="006B270E" w:rsidR="00685C64" w:rsidRPr="00797B8A" w:rsidRDefault="004F42B6" w:rsidP="008F2668">
      <w:pPr>
        <w:pStyle w:val="FootnoteText"/>
        <w:jc w:val="both"/>
        <w:rPr>
          <w:sz w:val="16"/>
          <w:szCs w:val="16"/>
        </w:rPr>
      </w:pPr>
      <w:r w:rsidRPr="00797B8A">
        <w:rPr>
          <w:rStyle w:val="FootnoteReference"/>
          <w:sz w:val="16"/>
          <w:szCs w:val="16"/>
        </w:rPr>
        <w:footnoteRef/>
      </w:r>
      <w:r w:rsidRPr="00797B8A">
        <w:rPr>
          <w:sz w:val="16"/>
          <w:szCs w:val="16"/>
        </w:rPr>
        <w:t xml:space="preserve"> Pilna informācija par izpildes statusu uz 2016.gada 1.</w:t>
      </w:r>
      <w:r w:rsidR="00AF2E5F">
        <w:rPr>
          <w:sz w:val="16"/>
          <w:szCs w:val="16"/>
        </w:rPr>
        <w:t>decembri</w:t>
      </w:r>
      <w:r w:rsidR="00C8760B" w:rsidRPr="00797B8A">
        <w:rPr>
          <w:sz w:val="16"/>
          <w:szCs w:val="16"/>
        </w:rPr>
        <w:t xml:space="preserve"> </w:t>
      </w:r>
      <w:r w:rsidRPr="00797B8A">
        <w:rPr>
          <w:sz w:val="16"/>
          <w:szCs w:val="16"/>
        </w:rPr>
        <w:t>pieejama</w:t>
      </w:r>
      <w:hyperlink r:id="rId4" w:history="1"/>
      <w:r w:rsidRPr="00797B8A">
        <w:rPr>
          <w:rStyle w:val="Hyperlink"/>
          <w:sz w:val="16"/>
          <w:szCs w:val="16"/>
        </w:rPr>
        <w:t xml:space="preserve"> </w:t>
      </w:r>
      <w:hyperlink r:id="rId5" w:history="1">
        <w:r w:rsidRPr="00797B8A">
          <w:rPr>
            <w:rStyle w:val="Hyperlink"/>
            <w:sz w:val="16"/>
            <w:szCs w:val="16"/>
          </w:rPr>
          <w:t>http://www.esfondi.lv/finansu-un-raditaju-plani-to-izpilde</w:t>
        </w:r>
      </w:hyperlink>
      <w:r w:rsidRPr="00797B8A">
        <w:rPr>
          <w:rStyle w:val="Hyperlink"/>
          <w:sz w:val="16"/>
          <w:szCs w:val="16"/>
        </w:rPr>
        <w:t>,</w:t>
      </w:r>
      <w:r w:rsidRPr="00C814E3">
        <w:rPr>
          <w:rStyle w:val="Hyperlink"/>
          <w:sz w:val="16"/>
          <w:szCs w:val="16"/>
          <w:u w:val="none"/>
        </w:rPr>
        <w:t xml:space="preserve"> </w:t>
      </w:r>
      <w:r w:rsidRPr="00797B8A">
        <w:rPr>
          <w:rFonts w:eastAsia="Times New Roman" w:cs="Times New Roman"/>
          <w:color w:val="000000"/>
          <w:sz w:val="16"/>
          <w:szCs w:val="16"/>
        </w:rPr>
        <w:t xml:space="preserve">kā arī Centrālās finanšu un līgumu aģentūras tīmekļa vietnē pieejams atlašu izsludināšanas indikatīvais laika grafiks  </w:t>
      </w:r>
      <w:hyperlink r:id="rId6" w:history="1">
        <w:r w:rsidRPr="00797B8A">
          <w:rPr>
            <w:rStyle w:val="Hyperlink"/>
            <w:sz w:val="16"/>
            <w:szCs w:val="16"/>
          </w:rPr>
          <w:t>http://www.cfla.gov.lv/lv/es-fondi-2014-2020/projektu-iesniegumu-atlase</w:t>
        </w:r>
      </w:hyperlink>
      <w:r w:rsidRPr="00797B8A">
        <w:rPr>
          <w:rStyle w:val="Hyperlink"/>
          <w:sz w:val="16"/>
          <w:szCs w:val="16"/>
        </w:rPr>
        <w:t xml:space="preserve"> </w:t>
      </w:r>
      <w:r w:rsidR="00685C64" w:rsidRPr="00797B8A">
        <w:rPr>
          <w:rStyle w:val="Hyperlink"/>
          <w:sz w:val="16"/>
          <w:szCs w:val="16"/>
        </w:rPr>
        <w:t xml:space="preserve">un </w:t>
      </w:r>
      <w:hyperlink r:id="rId7" w:history="1">
        <w:r w:rsidR="00685C64" w:rsidRPr="00797B8A">
          <w:rPr>
            <w:rStyle w:val="Hyperlink"/>
            <w:rFonts w:eastAsia="Times New Roman" w:cs="Times New Roman"/>
            <w:sz w:val="16"/>
            <w:szCs w:val="16"/>
          </w:rPr>
          <w:t>http://www.cfla.gov.lv/lv/es-fondi-2014-2020/izsludinatas-atlases</w:t>
        </w:r>
      </w:hyperlink>
      <w:r w:rsidR="00685C64" w:rsidRPr="00797B8A">
        <w:rPr>
          <w:rStyle w:val="Hyperlink"/>
          <w:rFonts w:eastAsia="Times New Roman" w:cs="Times New Roman"/>
          <w:sz w:val="16"/>
          <w:szCs w:val="16"/>
        </w:rPr>
        <w:t xml:space="preserve"> </w:t>
      </w:r>
    </w:p>
  </w:footnote>
  <w:footnote w:id="8">
    <w:p w14:paraId="65E30F0A" w14:textId="28BD37C0" w:rsidR="004F42B6" w:rsidRPr="00797B8A" w:rsidRDefault="004F42B6" w:rsidP="008F2668">
      <w:pPr>
        <w:pStyle w:val="FootnoteText"/>
        <w:jc w:val="both"/>
        <w:rPr>
          <w:sz w:val="16"/>
          <w:szCs w:val="16"/>
        </w:rPr>
      </w:pPr>
      <w:r w:rsidRPr="00797B8A">
        <w:rPr>
          <w:rStyle w:val="FootnoteReference"/>
          <w:sz w:val="16"/>
          <w:szCs w:val="16"/>
        </w:rPr>
        <w:footnoteRef/>
      </w:r>
      <w:r w:rsidRPr="00797B8A">
        <w:rPr>
          <w:sz w:val="16"/>
          <w:szCs w:val="16"/>
        </w:rPr>
        <w:t xml:space="preserve"> 2016.gada </w:t>
      </w:r>
      <w:r w:rsidR="0059166E">
        <w:rPr>
          <w:sz w:val="16"/>
          <w:szCs w:val="16"/>
        </w:rPr>
        <w:t>novembra</w:t>
      </w:r>
      <w:r w:rsidRPr="00797B8A">
        <w:rPr>
          <w:sz w:val="16"/>
          <w:szCs w:val="16"/>
        </w:rPr>
        <w:t xml:space="preserve"> ziņojums pieejams </w:t>
      </w:r>
      <w:hyperlink r:id="rId8" w:history="1">
        <w:r w:rsidRPr="00797B8A">
          <w:rPr>
            <w:rStyle w:val="Hyperlink"/>
            <w:sz w:val="16"/>
            <w:szCs w:val="16"/>
          </w:rPr>
          <w:t>http://www.esfondi.lv/zinojumi-Ministru-kabinetam</w:t>
        </w:r>
      </w:hyperlink>
      <w:r w:rsidRPr="00797B8A">
        <w:rPr>
          <w:sz w:val="16"/>
          <w:szCs w:val="16"/>
        </w:rPr>
        <w:t xml:space="preserve"> </w:t>
      </w:r>
    </w:p>
  </w:footnote>
  <w:footnote w:id="9">
    <w:p w14:paraId="3EEC4F65" w14:textId="57B1C2D9" w:rsidR="00214522" w:rsidRDefault="00214522" w:rsidP="00214522">
      <w:pPr>
        <w:pStyle w:val="FootnoteText"/>
        <w:jc w:val="both"/>
      </w:pPr>
      <w:r>
        <w:rPr>
          <w:rStyle w:val="FootnoteReference"/>
        </w:rPr>
        <w:footnoteRef/>
      </w:r>
      <w:r>
        <w:t xml:space="preserve"> </w:t>
      </w:r>
      <w:hyperlink r:id="rId9" w:history="1">
        <w:r w:rsidRPr="00AE6C19">
          <w:rPr>
            <w:rStyle w:val="Hyperlink"/>
          </w:rPr>
          <w:t>http://likumi.lv/ta/id/277740-par-integreto-teritorialo-investiciju-specifisko-atbalsta-merku-finansejuma-kopejo-apjomu-katram-nacionalas-nozimes-attistibas</w:t>
        </w:r>
      </w:hyperlink>
      <w:r>
        <w:t xml:space="preserve"> </w:t>
      </w:r>
    </w:p>
  </w:footnote>
  <w:footnote w:id="10">
    <w:p w14:paraId="29BD7A84" w14:textId="77777777" w:rsidR="004E60A3" w:rsidRPr="00797B8A" w:rsidRDefault="004E60A3" w:rsidP="004E60A3">
      <w:pPr>
        <w:pStyle w:val="FootnoteText"/>
        <w:jc w:val="both"/>
        <w:rPr>
          <w:color w:val="000000" w:themeColor="text1"/>
          <w:sz w:val="16"/>
          <w:szCs w:val="16"/>
        </w:rPr>
      </w:pPr>
      <w:r w:rsidRPr="00797B8A">
        <w:rPr>
          <w:rStyle w:val="FootnoteReference"/>
          <w:color w:val="000000" w:themeColor="text1"/>
          <w:sz w:val="16"/>
          <w:szCs w:val="16"/>
        </w:rPr>
        <w:footnoteRef/>
      </w:r>
      <w:r w:rsidRPr="00797B8A">
        <w:rPr>
          <w:color w:val="000000" w:themeColor="text1"/>
          <w:sz w:val="16"/>
          <w:szCs w:val="16"/>
        </w:rPr>
        <w:t xml:space="preserve">ES fondu tīmekļa vietnes sadaļā par </w:t>
      </w:r>
      <w:r w:rsidRPr="00797B8A">
        <w:rPr>
          <w:sz w:val="16"/>
          <w:szCs w:val="16"/>
        </w:rPr>
        <w:t>ES fondu un Kohēzijas fonda kopējiem EK veiktiem maksājumiem dalībvalstīm:</w:t>
      </w:r>
      <w:r w:rsidRPr="00797B8A">
        <w:rPr>
          <w:color w:val="000000" w:themeColor="text1"/>
          <w:sz w:val="16"/>
          <w:szCs w:val="16"/>
        </w:rPr>
        <w:t xml:space="preserve"> </w:t>
      </w:r>
      <w:hyperlink r:id="rId10" w:history="1">
        <w:r w:rsidRPr="00797B8A">
          <w:rPr>
            <w:rStyle w:val="Hyperlink"/>
            <w:sz w:val="16"/>
            <w:szCs w:val="16"/>
          </w:rPr>
          <w:t>http://www.esfondi.lv/kopejie-ek-veiktie-maksajumi-dalibvalstim</w:t>
        </w:r>
      </w:hyperlink>
    </w:p>
  </w:footnote>
  <w:footnote w:id="11">
    <w:p w14:paraId="01BFBB5E" w14:textId="77777777" w:rsidR="00B32030" w:rsidRPr="0018571E" w:rsidRDefault="00B32030" w:rsidP="00B32030">
      <w:pPr>
        <w:pStyle w:val="FootnoteText"/>
        <w:jc w:val="both"/>
        <w:rPr>
          <w:sz w:val="16"/>
          <w:szCs w:val="16"/>
        </w:rPr>
      </w:pPr>
      <w:r w:rsidRPr="00797B8A">
        <w:rPr>
          <w:rStyle w:val="FootnoteReference"/>
          <w:sz w:val="16"/>
          <w:szCs w:val="16"/>
        </w:rPr>
        <w:footnoteRef/>
      </w:r>
      <w:r w:rsidRPr="00797B8A">
        <w:rPr>
          <w:sz w:val="16"/>
          <w:szCs w:val="16"/>
        </w:rPr>
        <w:t xml:space="preserve"> Skatīt informatīvā ziņojuma par Eiropas Savienības struktūrfondu un Kohēzijas fonda, Eiropas Ekonomikas zonas finanšu instrumenta, Norvēģijas finanšu instrumenta un Latvijas un Šveices sadarbības programmas investīciju progresu līdz 2015.gada 31.decembrim 5.pielikumu: </w:t>
      </w:r>
      <w:hyperlink r:id="rId11" w:history="1">
        <w:r w:rsidRPr="00797B8A">
          <w:rPr>
            <w:rStyle w:val="Hyperlink"/>
            <w:rFonts w:eastAsia="Calibri" w:cs="Times New Roman"/>
            <w:sz w:val="16"/>
            <w:szCs w:val="16"/>
            <w:lang w:eastAsia="ar-SA"/>
          </w:rPr>
          <w:t>http://www.esfondi.lv/zinojumi-Ministru-kabinetam</w:t>
        </w:r>
      </w:hyperlink>
    </w:p>
  </w:footnote>
  <w:footnote w:id="12">
    <w:p w14:paraId="1E0B5FEA" w14:textId="7481B997" w:rsidR="008F7405" w:rsidRPr="008F7405" w:rsidRDefault="00EC09E0" w:rsidP="008F7405">
      <w:pPr>
        <w:pStyle w:val="FootnoteText"/>
        <w:jc w:val="both"/>
      </w:pPr>
      <w:r>
        <w:rPr>
          <w:rStyle w:val="FootnoteReference"/>
        </w:rPr>
        <w:footnoteRef/>
      </w:r>
      <w:r>
        <w:t xml:space="preserve"> 2016.gada</w:t>
      </w:r>
      <w:r w:rsidRPr="00EC09E0">
        <w:t xml:space="preserve"> 20. septembrī valdība uzdeva </w:t>
      </w:r>
      <w:r>
        <w:t>Ekonomikas ministrijai</w:t>
      </w:r>
      <w:r w:rsidRPr="00EC09E0">
        <w:t xml:space="preserve"> veikt analīzi un līdz 31.12.2016. sniegt MK informatīvo ziņojumu par konkrētiem priekšlikumiem nepieciešamai rīcībai, lai novērstu vai mazinātu ekonomikas pārkaršanas riskus un sabalansētu ES fondu 2014.–2020.gada investīciju plūsmu.</w:t>
      </w:r>
      <w:r>
        <w:t xml:space="preserve"> </w:t>
      </w:r>
      <w:r w:rsidRPr="00EC09E0">
        <w:t>EM apņēmās sadarbībā ar iesaistītām nozaru ministrijām un nozaru speciālistiem veikt analīzi par kopumā valstī sagaidāmām publiskām un privātām investīcijām un nepieciešamo resursu pieejamību un ietekmi uz tirgus cenu un kvalitāti, analizējot</w:t>
      </w:r>
      <w:r>
        <w:t xml:space="preserve"> ekonomikas pārkaršanas riskus, </w:t>
      </w:r>
      <w:r w:rsidRPr="00EC09E0">
        <w:t>modelē</w:t>
      </w:r>
      <w:r>
        <w:t>jo</w:t>
      </w:r>
      <w:r w:rsidRPr="00EC09E0">
        <w:t>t nozares attīstību kopumā</w:t>
      </w:r>
      <w:r>
        <w:t xml:space="preserve">. Uzdots </w:t>
      </w:r>
      <w:r w:rsidRPr="00EC09E0">
        <w:t xml:space="preserve">ņemt vērā ne tikai potenciālos ES fondu ieguldījumus, bet arī pašvaldību, </w:t>
      </w:r>
      <w:r w:rsidRPr="008F7405">
        <w:t>kapitālsabiedrību, privātās un citas investīcijas, kas var ietekmēt situāciju nozarē, tai skaitā atbilstoša darba spēka pieejamību.</w:t>
      </w:r>
      <w:r w:rsidR="008F7405" w:rsidRPr="008F7405">
        <w:t xml:space="preserve"> </w:t>
      </w:r>
    </w:p>
    <w:p w14:paraId="7DB13FA8" w14:textId="38D22102" w:rsidR="00EC09E0" w:rsidRDefault="00EC09E0" w:rsidP="00EC09E0">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400518"/>
      <w:docPartObj>
        <w:docPartGallery w:val="Page Numbers (Top of Page)"/>
        <w:docPartUnique/>
      </w:docPartObj>
    </w:sdtPr>
    <w:sdtEndPr>
      <w:rPr>
        <w:noProof/>
      </w:rPr>
    </w:sdtEndPr>
    <w:sdtContent>
      <w:p w14:paraId="7885E5AC" w14:textId="2423BF1A" w:rsidR="004F42B6" w:rsidRDefault="004F42B6">
        <w:pPr>
          <w:pStyle w:val="Header"/>
          <w:jc w:val="center"/>
        </w:pPr>
        <w:r>
          <w:fldChar w:fldCharType="begin"/>
        </w:r>
        <w:r>
          <w:instrText xml:space="preserve"> PAGE   \* MERGEFORMAT </w:instrText>
        </w:r>
        <w:r>
          <w:fldChar w:fldCharType="separate"/>
        </w:r>
        <w:r w:rsidR="00B028F5">
          <w:rPr>
            <w:noProof/>
          </w:rPr>
          <w:t>4</w:t>
        </w:r>
        <w:r>
          <w:rPr>
            <w:noProof/>
          </w:rPr>
          <w:fldChar w:fldCharType="end"/>
        </w:r>
      </w:p>
    </w:sdtContent>
  </w:sdt>
  <w:p w14:paraId="0C8E0C95" w14:textId="26BB3FA8" w:rsidR="004F42B6" w:rsidRDefault="004F42B6" w:rsidP="00947BB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E53"/>
    <w:multiLevelType w:val="hybridMultilevel"/>
    <w:tmpl w:val="126E6CB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2D06C54"/>
    <w:multiLevelType w:val="hybridMultilevel"/>
    <w:tmpl w:val="64C8E8E8"/>
    <w:lvl w:ilvl="0" w:tplc="6B1A2074">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9A50485"/>
    <w:multiLevelType w:val="hybridMultilevel"/>
    <w:tmpl w:val="AB38EE72"/>
    <w:lvl w:ilvl="0" w:tplc="3EEEA132">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229258C"/>
    <w:multiLevelType w:val="hybridMultilevel"/>
    <w:tmpl w:val="68D8B1A6"/>
    <w:lvl w:ilvl="0" w:tplc="D6AADBA2">
      <w:start w:val="1"/>
      <w:numFmt w:val="decimal"/>
      <w:lvlText w:val="%1)"/>
      <w:lvlJc w:val="left"/>
      <w:pPr>
        <w:tabs>
          <w:tab w:val="num" w:pos="720"/>
        </w:tabs>
        <w:ind w:left="720" w:hanging="360"/>
      </w:pPr>
    </w:lvl>
    <w:lvl w:ilvl="1" w:tplc="8B42E8CA" w:tentative="1">
      <w:start w:val="1"/>
      <w:numFmt w:val="decimal"/>
      <w:lvlText w:val="%2)"/>
      <w:lvlJc w:val="left"/>
      <w:pPr>
        <w:tabs>
          <w:tab w:val="num" w:pos="1440"/>
        </w:tabs>
        <w:ind w:left="1440" w:hanging="360"/>
      </w:pPr>
    </w:lvl>
    <w:lvl w:ilvl="2" w:tplc="34BC91F6" w:tentative="1">
      <w:start w:val="1"/>
      <w:numFmt w:val="decimal"/>
      <w:lvlText w:val="%3)"/>
      <w:lvlJc w:val="left"/>
      <w:pPr>
        <w:tabs>
          <w:tab w:val="num" w:pos="2160"/>
        </w:tabs>
        <w:ind w:left="2160" w:hanging="360"/>
      </w:pPr>
    </w:lvl>
    <w:lvl w:ilvl="3" w:tplc="FAC28BB8" w:tentative="1">
      <w:start w:val="1"/>
      <w:numFmt w:val="decimal"/>
      <w:lvlText w:val="%4)"/>
      <w:lvlJc w:val="left"/>
      <w:pPr>
        <w:tabs>
          <w:tab w:val="num" w:pos="2880"/>
        </w:tabs>
        <w:ind w:left="2880" w:hanging="360"/>
      </w:pPr>
    </w:lvl>
    <w:lvl w:ilvl="4" w:tplc="97DAF21A" w:tentative="1">
      <w:start w:val="1"/>
      <w:numFmt w:val="decimal"/>
      <w:lvlText w:val="%5)"/>
      <w:lvlJc w:val="left"/>
      <w:pPr>
        <w:tabs>
          <w:tab w:val="num" w:pos="3600"/>
        </w:tabs>
        <w:ind w:left="3600" w:hanging="360"/>
      </w:pPr>
    </w:lvl>
    <w:lvl w:ilvl="5" w:tplc="5F7C772E" w:tentative="1">
      <w:start w:val="1"/>
      <w:numFmt w:val="decimal"/>
      <w:lvlText w:val="%6)"/>
      <w:lvlJc w:val="left"/>
      <w:pPr>
        <w:tabs>
          <w:tab w:val="num" w:pos="4320"/>
        </w:tabs>
        <w:ind w:left="4320" w:hanging="360"/>
      </w:pPr>
    </w:lvl>
    <w:lvl w:ilvl="6" w:tplc="A4FAACAC" w:tentative="1">
      <w:start w:val="1"/>
      <w:numFmt w:val="decimal"/>
      <w:lvlText w:val="%7)"/>
      <w:lvlJc w:val="left"/>
      <w:pPr>
        <w:tabs>
          <w:tab w:val="num" w:pos="5040"/>
        </w:tabs>
        <w:ind w:left="5040" w:hanging="360"/>
      </w:pPr>
    </w:lvl>
    <w:lvl w:ilvl="7" w:tplc="B636E28E" w:tentative="1">
      <w:start w:val="1"/>
      <w:numFmt w:val="decimal"/>
      <w:lvlText w:val="%8)"/>
      <w:lvlJc w:val="left"/>
      <w:pPr>
        <w:tabs>
          <w:tab w:val="num" w:pos="5760"/>
        </w:tabs>
        <w:ind w:left="5760" w:hanging="360"/>
      </w:pPr>
    </w:lvl>
    <w:lvl w:ilvl="8" w:tplc="F0F0CF9E" w:tentative="1">
      <w:start w:val="1"/>
      <w:numFmt w:val="decimal"/>
      <w:lvlText w:val="%9)"/>
      <w:lvlJc w:val="left"/>
      <w:pPr>
        <w:tabs>
          <w:tab w:val="num" w:pos="6480"/>
        </w:tabs>
        <w:ind w:left="6480" w:hanging="360"/>
      </w:pPr>
    </w:lvl>
  </w:abstractNum>
  <w:abstractNum w:abstractNumId="4">
    <w:nsid w:val="287A10C0"/>
    <w:multiLevelType w:val="hybridMultilevel"/>
    <w:tmpl w:val="7D0840FC"/>
    <w:lvl w:ilvl="0" w:tplc="0426000B">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5">
    <w:nsid w:val="300D0D16"/>
    <w:multiLevelType w:val="hybridMultilevel"/>
    <w:tmpl w:val="77F21DFC"/>
    <w:lvl w:ilvl="0" w:tplc="04260001">
      <w:start w:val="1"/>
      <w:numFmt w:val="bullet"/>
      <w:lvlText w:val=""/>
      <w:lvlJc w:val="left"/>
      <w:pPr>
        <w:ind w:left="780" w:hanging="360"/>
      </w:pPr>
      <w:rPr>
        <w:rFonts w:ascii="Symbol" w:hAnsi="Symbol" w:hint="default"/>
      </w:rPr>
    </w:lvl>
    <w:lvl w:ilvl="1" w:tplc="0824B9DE">
      <w:start w:val="1"/>
      <w:numFmt w:val="lowerLetter"/>
      <w:lvlText w:val="%2)"/>
      <w:lvlJc w:val="left"/>
      <w:pPr>
        <w:ind w:left="1500" w:hanging="360"/>
      </w:pPr>
      <w:rPr>
        <w:rFonts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nsid w:val="32A47C2C"/>
    <w:multiLevelType w:val="multilevel"/>
    <w:tmpl w:val="E58CAB1E"/>
    <w:lvl w:ilvl="0">
      <w:start w:val="2"/>
      <w:numFmt w:val="decimal"/>
      <w:lvlText w:val="%1."/>
      <w:lvlJc w:val="left"/>
      <w:pPr>
        <w:ind w:left="360" w:hanging="360"/>
      </w:pPr>
      <w:rPr>
        <w:rFonts w:eastAsia="Calibri" w:hint="default"/>
        <w:b w:val="0"/>
      </w:rPr>
    </w:lvl>
    <w:lvl w:ilvl="1">
      <w:start w:val="1"/>
      <w:numFmt w:val="decimal"/>
      <w:lvlText w:val="%1.%2."/>
      <w:lvlJc w:val="left"/>
      <w:pPr>
        <w:ind w:left="502" w:hanging="360"/>
      </w:pPr>
      <w:rPr>
        <w:rFonts w:eastAsia="Calibri" w:hint="default"/>
        <w:b w:val="0"/>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nsid w:val="39165169"/>
    <w:multiLevelType w:val="hybridMultilevel"/>
    <w:tmpl w:val="F94A1A36"/>
    <w:lvl w:ilvl="0" w:tplc="04260001">
      <w:start w:val="1"/>
      <w:numFmt w:val="bullet"/>
      <w:lvlText w:val=""/>
      <w:lvlJc w:val="left"/>
      <w:pPr>
        <w:ind w:left="1147" w:hanging="360"/>
      </w:pPr>
      <w:rPr>
        <w:rFonts w:ascii="Symbol" w:hAnsi="Symbol" w:hint="default"/>
      </w:rPr>
    </w:lvl>
    <w:lvl w:ilvl="1" w:tplc="04260003" w:tentative="1">
      <w:start w:val="1"/>
      <w:numFmt w:val="bullet"/>
      <w:lvlText w:val="o"/>
      <w:lvlJc w:val="left"/>
      <w:pPr>
        <w:ind w:left="1867" w:hanging="360"/>
      </w:pPr>
      <w:rPr>
        <w:rFonts w:ascii="Courier New" w:hAnsi="Courier New" w:cs="Courier New" w:hint="default"/>
      </w:rPr>
    </w:lvl>
    <w:lvl w:ilvl="2" w:tplc="04260005" w:tentative="1">
      <w:start w:val="1"/>
      <w:numFmt w:val="bullet"/>
      <w:lvlText w:val=""/>
      <w:lvlJc w:val="left"/>
      <w:pPr>
        <w:ind w:left="2587" w:hanging="360"/>
      </w:pPr>
      <w:rPr>
        <w:rFonts w:ascii="Wingdings" w:hAnsi="Wingdings" w:hint="default"/>
      </w:rPr>
    </w:lvl>
    <w:lvl w:ilvl="3" w:tplc="04260001" w:tentative="1">
      <w:start w:val="1"/>
      <w:numFmt w:val="bullet"/>
      <w:lvlText w:val=""/>
      <w:lvlJc w:val="left"/>
      <w:pPr>
        <w:ind w:left="3307" w:hanging="360"/>
      </w:pPr>
      <w:rPr>
        <w:rFonts w:ascii="Symbol" w:hAnsi="Symbol" w:hint="default"/>
      </w:rPr>
    </w:lvl>
    <w:lvl w:ilvl="4" w:tplc="04260003" w:tentative="1">
      <w:start w:val="1"/>
      <w:numFmt w:val="bullet"/>
      <w:lvlText w:val="o"/>
      <w:lvlJc w:val="left"/>
      <w:pPr>
        <w:ind w:left="4027" w:hanging="360"/>
      </w:pPr>
      <w:rPr>
        <w:rFonts w:ascii="Courier New" w:hAnsi="Courier New" w:cs="Courier New" w:hint="default"/>
      </w:rPr>
    </w:lvl>
    <w:lvl w:ilvl="5" w:tplc="04260005" w:tentative="1">
      <w:start w:val="1"/>
      <w:numFmt w:val="bullet"/>
      <w:lvlText w:val=""/>
      <w:lvlJc w:val="left"/>
      <w:pPr>
        <w:ind w:left="4747" w:hanging="360"/>
      </w:pPr>
      <w:rPr>
        <w:rFonts w:ascii="Wingdings" w:hAnsi="Wingdings" w:hint="default"/>
      </w:rPr>
    </w:lvl>
    <w:lvl w:ilvl="6" w:tplc="04260001" w:tentative="1">
      <w:start w:val="1"/>
      <w:numFmt w:val="bullet"/>
      <w:lvlText w:val=""/>
      <w:lvlJc w:val="left"/>
      <w:pPr>
        <w:ind w:left="5467" w:hanging="360"/>
      </w:pPr>
      <w:rPr>
        <w:rFonts w:ascii="Symbol" w:hAnsi="Symbol" w:hint="default"/>
      </w:rPr>
    </w:lvl>
    <w:lvl w:ilvl="7" w:tplc="04260003" w:tentative="1">
      <w:start w:val="1"/>
      <w:numFmt w:val="bullet"/>
      <w:lvlText w:val="o"/>
      <w:lvlJc w:val="left"/>
      <w:pPr>
        <w:ind w:left="6187" w:hanging="360"/>
      </w:pPr>
      <w:rPr>
        <w:rFonts w:ascii="Courier New" w:hAnsi="Courier New" w:cs="Courier New" w:hint="default"/>
      </w:rPr>
    </w:lvl>
    <w:lvl w:ilvl="8" w:tplc="04260005" w:tentative="1">
      <w:start w:val="1"/>
      <w:numFmt w:val="bullet"/>
      <w:lvlText w:val=""/>
      <w:lvlJc w:val="left"/>
      <w:pPr>
        <w:ind w:left="6907" w:hanging="360"/>
      </w:pPr>
      <w:rPr>
        <w:rFonts w:ascii="Wingdings" w:hAnsi="Wingdings" w:hint="default"/>
      </w:rPr>
    </w:lvl>
  </w:abstractNum>
  <w:abstractNum w:abstractNumId="8">
    <w:nsid w:val="406B0A1B"/>
    <w:multiLevelType w:val="hybridMultilevel"/>
    <w:tmpl w:val="C5B0A606"/>
    <w:lvl w:ilvl="0" w:tplc="04260011">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46D41C4"/>
    <w:multiLevelType w:val="hybridMultilevel"/>
    <w:tmpl w:val="9F9C9CDA"/>
    <w:lvl w:ilvl="0" w:tplc="0824B9DE">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0">
    <w:nsid w:val="4876090C"/>
    <w:multiLevelType w:val="hybridMultilevel"/>
    <w:tmpl w:val="6A1A058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8546826"/>
    <w:multiLevelType w:val="multilevel"/>
    <w:tmpl w:val="81D091E4"/>
    <w:lvl w:ilvl="0">
      <w:start w:val="2"/>
      <w:numFmt w:val="decimal"/>
      <w:lvlText w:val="%1."/>
      <w:lvlJc w:val="left"/>
      <w:pPr>
        <w:ind w:left="360" w:hanging="360"/>
      </w:pPr>
      <w:rPr>
        <w:rFonts w:eastAsia="Calibri" w:hint="default"/>
      </w:rPr>
    </w:lvl>
    <w:lvl w:ilvl="1">
      <w:start w:val="1"/>
      <w:numFmt w:val="decimal"/>
      <w:lvlText w:val="%1.%2."/>
      <w:lvlJc w:val="left"/>
      <w:pPr>
        <w:ind w:left="502"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nsid w:val="5CE92AE4"/>
    <w:multiLevelType w:val="hybridMultilevel"/>
    <w:tmpl w:val="54C0A912"/>
    <w:lvl w:ilvl="0" w:tplc="600ABC6A">
      <w:start w:val="1"/>
      <w:numFmt w:val="decimal"/>
      <w:lvlText w:val="%1."/>
      <w:lvlJc w:val="left"/>
      <w:pPr>
        <w:ind w:left="360" w:hanging="360"/>
      </w:pPr>
      <w:rPr>
        <w:rFonts w:eastAsia="Calibri"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5FBC6DB3"/>
    <w:multiLevelType w:val="multilevel"/>
    <w:tmpl w:val="DE4CAE16"/>
    <w:lvl w:ilvl="0">
      <w:start w:val="2"/>
      <w:numFmt w:val="decimal"/>
      <w:lvlText w:val="%1."/>
      <w:lvlJc w:val="left"/>
      <w:pPr>
        <w:ind w:left="360" w:hanging="360"/>
      </w:pPr>
      <w:rPr>
        <w:rFonts w:eastAsia="Calibri" w:hint="default"/>
        <w:b w:val="0"/>
      </w:rPr>
    </w:lvl>
    <w:lvl w:ilvl="1">
      <w:start w:val="1"/>
      <w:numFmt w:val="decimal"/>
      <w:lvlText w:val="%1.%2."/>
      <w:lvlJc w:val="left"/>
      <w:pPr>
        <w:ind w:left="502"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nsid w:val="5FED4615"/>
    <w:multiLevelType w:val="hybridMultilevel"/>
    <w:tmpl w:val="C3F423E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5">
    <w:nsid w:val="648E5BCD"/>
    <w:multiLevelType w:val="hybridMultilevel"/>
    <w:tmpl w:val="399EB4F6"/>
    <w:lvl w:ilvl="0" w:tplc="EC2E4502">
      <w:start w:val="1"/>
      <w:numFmt w:val="lowerLetter"/>
      <w:lvlText w:val="%1)"/>
      <w:lvlJc w:val="left"/>
      <w:pPr>
        <w:tabs>
          <w:tab w:val="num" w:pos="720"/>
        </w:tabs>
        <w:ind w:left="720" w:hanging="360"/>
      </w:pPr>
    </w:lvl>
    <w:lvl w:ilvl="1" w:tplc="AFD28040" w:tentative="1">
      <w:start w:val="1"/>
      <w:numFmt w:val="lowerLetter"/>
      <w:lvlText w:val="%2)"/>
      <w:lvlJc w:val="left"/>
      <w:pPr>
        <w:tabs>
          <w:tab w:val="num" w:pos="1440"/>
        </w:tabs>
        <w:ind w:left="1440" w:hanging="360"/>
      </w:pPr>
    </w:lvl>
    <w:lvl w:ilvl="2" w:tplc="BD2A6CA8" w:tentative="1">
      <w:start w:val="1"/>
      <w:numFmt w:val="lowerLetter"/>
      <w:lvlText w:val="%3)"/>
      <w:lvlJc w:val="left"/>
      <w:pPr>
        <w:tabs>
          <w:tab w:val="num" w:pos="2160"/>
        </w:tabs>
        <w:ind w:left="2160" w:hanging="360"/>
      </w:pPr>
    </w:lvl>
    <w:lvl w:ilvl="3" w:tplc="E634E2D2" w:tentative="1">
      <w:start w:val="1"/>
      <w:numFmt w:val="lowerLetter"/>
      <w:lvlText w:val="%4)"/>
      <w:lvlJc w:val="left"/>
      <w:pPr>
        <w:tabs>
          <w:tab w:val="num" w:pos="2880"/>
        </w:tabs>
        <w:ind w:left="2880" w:hanging="360"/>
      </w:pPr>
    </w:lvl>
    <w:lvl w:ilvl="4" w:tplc="2FC64072" w:tentative="1">
      <w:start w:val="1"/>
      <w:numFmt w:val="lowerLetter"/>
      <w:lvlText w:val="%5)"/>
      <w:lvlJc w:val="left"/>
      <w:pPr>
        <w:tabs>
          <w:tab w:val="num" w:pos="3600"/>
        </w:tabs>
        <w:ind w:left="3600" w:hanging="360"/>
      </w:pPr>
    </w:lvl>
    <w:lvl w:ilvl="5" w:tplc="A41C4B0A" w:tentative="1">
      <w:start w:val="1"/>
      <w:numFmt w:val="lowerLetter"/>
      <w:lvlText w:val="%6)"/>
      <w:lvlJc w:val="left"/>
      <w:pPr>
        <w:tabs>
          <w:tab w:val="num" w:pos="4320"/>
        </w:tabs>
        <w:ind w:left="4320" w:hanging="360"/>
      </w:pPr>
    </w:lvl>
    <w:lvl w:ilvl="6" w:tplc="43F471D2" w:tentative="1">
      <w:start w:val="1"/>
      <w:numFmt w:val="lowerLetter"/>
      <w:lvlText w:val="%7)"/>
      <w:lvlJc w:val="left"/>
      <w:pPr>
        <w:tabs>
          <w:tab w:val="num" w:pos="5040"/>
        </w:tabs>
        <w:ind w:left="5040" w:hanging="360"/>
      </w:pPr>
    </w:lvl>
    <w:lvl w:ilvl="7" w:tplc="E20C6F70" w:tentative="1">
      <w:start w:val="1"/>
      <w:numFmt w:val="lowerLetter"/>
      <w:lvlText w:val="%8)"/>
      <w:lvlJc w:val="left"/>
      <w:pPr>
        <w:tabs>
          <w:tab w:val="num" w:pos="5760"/>
        </w:tabs>
        <w:ind w:left="5760" w:hanging="360"/>
      </w:pPr>
    </w:lvl>
    <w:lvl w:ilvl="8" w:tplc="836078F6" w:tentative="1">
      <w:start w:val="1"/>
      <w:numFmt w:val="lowerLetter"/>
      <w:lvlText w:val="%9)"/>
      <w:lvlJc w:val="left"/>
      <w:pPr>
        <w:tabs>
          <w:tab w:val="num" w:pos="6480"/>
        </w:tabs>
        <w:ind w:left="6480" w:hanging="360"/>
      </w:pPr>
    </w:lvl>
  </w:abstractNum>
  <w:abstractNum w:abstractNumId="16">
    <w:nsid w:val="67BF4F26"/>
    <w:multiLevelType w:val="hybridMultilevel"/>
    <w:tmpl w:val="AAF85BE6"/>
    <w:lvl w:ilvl="0" w:tplc="600ABC6A">
      <w:start w:val="1"/>
      <w:numFmt w:val="decimal"/>
      <w:lvlText w:val="%1."/>
      <w:lvlJc w:val="left"/>
      <w:pPr>
        <w:ind w:left="360" w:hanging="360"/>
      </w:pPr>
      <w:rPr>
        <w:rFonts w:eastAsia="Calibri"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A2F60CD"/>
    <w:multiLevelType w:val="multilevel"/>
    <w:tmpl w:val="C076F66E"/>
    <w:lvl w:ilvl="0">
      <w:start w:val="3"/>
      <w:numFmt w:val="decimal"/>
      <w:lvlText w:val="%1."/>
      <w:lvlJc w:val="left"/>
      <w:pPr>
        <w:ind w:left="360" w:hanging="360"/>
      </w:pPr>
      <w:rPr>
        <w:rFonts w:eastAsiaTheme="minorHAnsi" w:hint="default"/>
        <w:color w:val="auto"/>
      </w:rPr>
    </w:lvl>
    <w:lvl w:ilvl="1">
      <w:start w:val="1"/>
      <w:numFmt w:val="decimal"/>
      <w:lvlText w:val="%1.%2."/>
      <w:lvlJc w:val="left"/>
      <w:pPr>
        <w:ind w:left="502" w:hanging="360"/>
      </w:pPr>
      <w:rPr>
        <w:rFonts w:eastAsiaTheme="minorHAnsi" w:hint="default"/>
        <w:b w:val="0"/>
        <w:i w:val="0"/>
        <w:color w:val="auto"/>
        <w:sz w:val="24"/>
        <w:szCs w:val="24"/>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8">
    <w:nsid w:val="6CD44B46"/>
    <w:multiLevelType w:val="hybridMultilevel"/>
    <w:tmpl w:val="2688A0BA"/>
    <w:lvl w:ilvl="0" w:tplc="578CF352">
      <w:start w:val="593"/>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04018EB"/>
    <w:multiLevelType w:val="hybridMultilevel"/>
    <w:tmpl w:val="5AFA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0622A47"/>
    <w:multiLevelType w:val="hybridMultilevel"/>
    <w:tmpl w:val="5D72649C"/>
    <w:lvl w:ilvl="0" w:tplc="436E2CF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7333312D"/>
    <w:multiLevelType w:val="multilevel"/>
    <w:tmpl w:val="A510EEA2"/>
    <w:lvl w:ilvl="0">
      <w:start w:val="2"/>
      <w:numFmt w:val="decimal"/>
      <w:lvlText w:val="%1."/>
      <w:lvlJc w:val="left"/>
      <w:pPr>
        <w:ind w:left="360" w:hanging="360"/>
      </w:pPr>
      <w:rPr>
        <w:rFonts w:eastAsia="Calibri" w:hint="default"/>
        <w:b w:val="0"/>
      </w:rPr>
    </w:lvl>
    <w:lvl w:ilvl="1">
      <w:start w:val="1"/>
      <w:numFmt w:val="decimal"/>
      <w:lvlText w:val="%1.%2."/>
      <w:lvlJc w:val="left"/>
      <w:pPr>
        <w:ind w:left="502" w:hanging="360"/>
      </w:pPr>
      <w:rPr>
        <w:rFonts w:eastAsia="Calibri" w:hint="default"/>
        <w:b w:val="0"/>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nsid w:val="79D666F1"/>
    <w:multiLevelType w:val="hybridMultilevel"/>
    <w:tmpl w:val="C2C818B8"/>
    <w:lvl w:ilvl="0" w:tplc="C41601EE">
      <w:start w:val="1"/>
      <w:numFmt w:val="decimal"/>
      <w:lvlText w:val="%1."/>
      <w:lvlJc w:val="left"/>
      <w:pPr>
        <w:ind w:left="720" w:hanging="360"/>
      </w:pPr>
      <w:rPr>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DED4A64"/>
    <w:multiLevelType w:val="hybridMultilevel"/>
    <w:tmpl w:val="43EAB9A4"/>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7"/>
  </w:num>
  <w:num w:numId="4">
    <w:abstractNumId w:val="1"/>
  </w:num>
  <w:num w:numId="5">
    <w:abstractNumId w:val="5"/>
  </w:num>
  <w:num w:numId="6">
    <w:abstractNumId w:val="9"/>
  </w:num>
  <w:num w:numId="7">
    <w:abstractNumId w:val="2"/>
  </w:num>
  <w:num w:numId="8">
    <w:abstractNumId w:val="14"/>
  </w:num>
  <w:num w:numId="9">
    <w:abstractNumId w:val="20"/>
  </w:num>
  <w:num w:numId="10">
    <w:abstractNumId w:val="18"/>
  </w:num>
  <w:num w:numId="11">
    <w:abstractNumId w:val="8"/>
  </w:num>
  <w:num w:numId="12">
    <w:abstractNumId w:val="3"/>
  </w:num>
  <w:num w:numId="13">
    <w:abstractNumId w:val="15"/>
  </w:num>
  <w:num w:numId="14">
    <w:abstractNumId w:val="13"/>
  </w:num>
  <w:num w:numId="15">
    <w:abstractNumId w:val="19"/>
  </w:num>
  <w:num w:numId="16">
    <w:abstractNumId w:val="12"/>
  </w:num>
  <w:num w:numId="17">
    <w:abstractNumId w:val="10"/>
  </w:num>
  <w:num w:numId="18">
    <w:abstractNumId w:val="23"/>
  </w:num>
  <w:num w:numId="19">
    <w:abstractNumId w:val="6"/>
  </w:num>
  <w:num w:numId="20">
    <w:abstractNumId w:val="21"/>
  </w:num>
  <w:num w:numId="21">
    <w:abstractNumId w:val="4"/>
  </w:num>
  <w:num w:numId="22">
    <w:abstractNumId w:val="22"/>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DB"/>
    <w:rsid w:val="00000113"/>
    <w:rsid w:val="00007B61"/>
    <w:rsid w:val="00011FF7"/>
    <w:rsid w:val="000177C8"/>
    <w:rsid w:val="00027639"/>
    <w:rsid w:val="0003345C"/>
    <w:rsid w:val="00034E6C"/>
    <w:rsid w:val="00035523"/>
    <w:rsid w:val="00037205"/>
    <w:rsid w:val="0004087E"/>
    <w:rsid w:val="0004200D"/>
    <w:rsid w:val="000438BB"/>
    <w:rsid w:val="00051948"/>
    <w:rsid w:val="00051CE6"/>
    <w:rsid w:val="0005214B"/>
    <w:rsid w:val="00057EB0"/>
    <w:rsid w:val="00060B70"/>
    <w:rsid w:val="00061833"/>
    <w:rsid w:val="0006455E"/>
    <w:rsid w:val="00073BE5"/>
    <w:rsid w:val="00074F36"/>
    <w:rsid w:val="00080827"/>
    <w:rsid w:val="00081457"/>
    <w:rsid w:val="000844FA"/>
    <w:rsid w:val="00094601"/>
    <w:rsid w:val="000973A6"/>
    <w:rsid w:val="00097E4D"/>
    <w:rsid w:val="000A267D"/>
    <w:rsid w:val="000A302E"/>
    <w:rsid w:val="000A5C17"/>
    <w:rsid w:val="000A734C"/>
    <w:rsid w:val="000B68CF"/>
    <w:rsid w:val="000C2AA0"/>
    <w:rsid w:val="000C39BB"/>
    <w:rsid w:val="000C7125"/>
    <w:rsid w:val="000D545F"/>
    <w:rsid w:val="000D65C7"/>
    <w:rsid w:val="000E0932"/>
    <w:rsid w:val="000E1ABA"/>
    <w:rsid w:val="000F4DAE"/>
    <w:rsid w:val="000F5F73"/>
    <w:rsid w:val="00101539"/>
    <w:rsid w:val="00105813"/>
    <w:rsid w:val="00110071"/>
    <w:rsid w:val="001151A7"/>
    <w:rsid w:val="00125246"/>
    <w:rsid w:val="00125587"/>
    <w:rsid w:val="001269CA"/>
    <w:rsid w:val="0012795B"/>
    <w:rsid w:val="00141BF7"/>
    <w:rsid w:val="00142206"/>
    <w:rsid w:val="0014261F"/>
    <w:rsid w:val="0014737B"/>
    <w:rsid w:val="00150060"/>
    <w:rsid w:val="00150DAA"/>
    <w:rsid w:val="00156756"/>
    <w:rsid w:val="00157926"/>
    <w:rsid w:val="00161E7B"/>
    <w:rsid w:val="00166EC6"/>
    <w:rsid w:val="00167119"/>
    <w:rsid w:val="00170349"/>
    <w:rsid w:val="0017151E"/>
    <w:rsid w:val="001764D2"/>
    <w:rsid w:val="00182514"/>
    <w:rsid w:val="0018493C"/>
    <w:rsid w:val="00184E4F"/>
    <w:rsid w:val="0018571E"/>
    <w:rsid w:val="001876AD"/>
    <w:rsid w:val="0019650B"/>
    <w:rsid w:val="001A4EB4"/>
    <w:rsid w:val="001B160F"/>
    <w:rsid w:val="001B16EB"/>
    <w:rsid w:val="001B5E0C"/>
    <w:rsid w:val="001B70A4"/>
    <w:rsid w:val="001C220D"/>
    <w:rsid w:val="001C2A27"/>
    <w:rsid w:val="001D31EB"/>
    <w:rsid w:val="001D5725"/>
    <w:rsid w:val="001D5A0B"/>
    <w:rsid w:val="001D5A6C"/>
    <w:rsid w:val="001D796F"/>
    <w:rsid w:val="001F2CE3"/>
    <w:rsid w:val="001F303D"/>
    <w:rsid w:val="001F5182"/>
    <w:rsid w:val="001F70F2"/>
    <w:rsid w:val="001F7824"/>
    <w:rsid w:val="00207285"/>
    <w:rsid w:val="00210951"/>
    <w:rsid w:val="00210D87"/>
    <w:rsid w:val="00211FF5"/>
    <w:rsid w:val="00214522"/>
    <w:rsid w:val="002314A2"/>
    <w:rsid w:val="002314FA"/>
    <w:rsid w:val="0023196F"/>
    <w:rsid w:val="0023336C"/>
    <w:rsid w:val="00241FA6"/>
    <w:rsid w:val="0024760D"/>
    <w:rsid w:val="0025053F"/>
    <w:rsid w:val="002505A2"/>
    <w:rsid w:val="00252B85"/>
    <w:rsid w:val="00253006"/>
    <w:rsid w:val="00265C0B"/>
    <w:rsid w:val="00266973"/>
    <w:rsid w:val="0027168C"/>
    <w:rsid w:val="00274C3D"/>
    <w:rsid w:val="0027503A"/>
    <w:rsid w:val="00291E27"/>
    <w:rsid w:val="0029527F"/>
    <w:rsid w:val="002A41D5"/>
    <w:rsid w:val="002A54AE"/>
    <w:rsid w:val="002B061F"/>
    <w:rsid w:val="002B1C6E"/>
    <w:rsid w:val="002B5A10"/>
    <w:rsid w:val="002B5C81"/>
    <w:rsid w:val="002B73DE"/>
    <w:rsid w:val="002C4B6C"/>
    <w:rsid w:val="002C7032"/>
    <w:rsid w:val="002C7B83"/>
    <w:rsid w:val="002D235F"/>
    <w:rsid w:val="002D3C02"/>
    <w:rsid w:val="002D5302"/>
    <w:rsid w:val="002D6160"/>
    <w:rsid w:val="002D79F5"/>
    <w:rsid w:val="002E0F8A"/>
    <w:rsid w:val="002E2841"/>
    <w:rsid w:val="002E28C2"/>
    <w:rsid w:val="002E6C4E"/>
    <w:rsid w:val="002E70E7"/>
    <w:rsid w:val="002F352B"/>
    <w:rsid w:val="002F3DF0"/>
    <w:rsid w:val="002F41D0"/>
    <w:rsid w:val="002F7603"/>
    <w:rsid w:val="00301E10"/>
    <w:rsid w:val="00310428"/>
    <w:rsid w:val="00311E9A"/>
    <w:rsid w:val="00317812"/>
    <w:rsid w:val="003232BA"/>
    <w:rsid w:val="00326786"/>
    <w:rsid w:val="003304A5"/>
    <w:rsid w:val="00333CC6"/>
    <w:rsid w:val="00334E96"/>
    <w:rsid w:val="00340086"/>
    <w:rsid w:val="00343E98"/>
    <w:rsid w:val="00345C5B"/>
    <w:rsid w:val="003465BA"/>
    <w:rsid w:val="00347166"/>
    <w:rsid w:val="00347D1B"/>
    <w:rsid w:val="00347FFA"/>
    <w:rsid w:val="003540F6"/>
    <w:rsid w:val="00357620"/>
    <w:rsid w:val="00357A62"/>
    <w:rsid w:val="00357ED9"/>
    <w:rsid w:val="00360804"/>
    <w:rsid w:val="00361D88"/>
    <w:rsid w:val="003623F3"/>
    <w:rsid w:val="003633B4"/>
    <w:rsid w:val="00365B91"/>
    <w:rsid w:val="0036722E"/>
    <w:rsid w:val="00387644"/>
    <w:rsid w:val="003940E4"/>
    <w:rsid w:val="003A048F"/>
    <w:rsid w:val="003A13B9"/>
    <w:rsid w:val="003A2759"/>
    <w:rsid w:val="003A2A5A"/>
    <w:rsid w:val="003A6D9A"/>
    <w:rsid w:val="003B01E1"/>
    <w:rsid w:val="003B15D7"/>
    <w:rsid w:val="003C15F5"/>
    <w:rsid w:val="003C1C0D"/>
    <w:rsid w:val="003C3903"/>
    <w:rsid w:val="003C50FB"/>
    <w:rsid w:val="003C6907"/>
    <w:rsid w:val="003C7CE4"/>
    <w:rsid w:val="003D3AC0"/>
    <w:rsid w:val="003E1722"/>
    <w:rsid w:val="003E6E22"/>
    <w:rsid w:val="003F0369"/>
    <w:rsid w:val="003F6EEF"/>
    <w:rsid w:val="004016F6"/>
    <w:rsid w:val="00402106"/>
    <w:rsid w:val="00405972"/>
    <w:rsid w:val="00422750"/>
    <w:rsid w:val="0042690E"/>
    <w:rsid w:val="00427EAD"/>
    <w:rsid w:val="00430F99"/>
    <w:rsid w:val="00432E55"/>
    <w:rsid w:val="004335DA"/>
    <w:rsid w:val="00443E64"/>
    <w:rsid w:val="00444353"/>
    <w:rsid w:val="0044606A"/>
    <w:rsid w:val="00446CEC"/>
    <w:rsid w:val="00452781"/>
    <w:rsid w:val="00454A38"/>
    <w:rsid w:val="00456F50"/>
    <w:rsid w:val="00457CE3"/>
    <w:rsid w:val="004601AF"/>
    <w:rsid w:val="00462E61"/>
    <w:rsid w:val="00465983"/>
    <w:rsid w:val="00466007"/>
    <w:rsid w:val="004678F2"/>
    <w:rsid w:val="00467CA1"/>
    <w:rsid w:val="0047271D"/>
    <w:rsid w:val="00472F42"/>
    <w:rsid w:val="00473293"/>
    <w:rsid w:val="00475785"/>
    <w:rsid w:val="0048442F"/>
    <w:rsid w:val="00484FA6"/>
    <w:rsid w:val="0048532E"/>
    <w:rsid w:val="00486F24"/>
    <w:rsid w:val="00493C72"/>
    <w:rsid w:val="00495FE9"/>
    <w:rsid w:val="004A1F15"/>
    <w:rsid w:val="004A3A91"/>
    <w:rsid w:val="004A4997"/>
    <w:rsid w:val="004A68EE"/>
    <w:rsid w:val="004B0E64"/>
    <w:rsid w:val="004B76CE"/>
    <w:rsid w:val="004B7DF3"/>
    <w:rsid w:val="004C7CA1"/>
    <w:rsid w:val="004D0E20"/>
    <w:rsid w:val="004D3A6C"/>
    <w:rsid w:val="004D54FB"/>
    <w:rsid w:val="004E1BDE"/>
    <w:rsid w:val="004E2D4E"/>
    <w:rsid w:val="004E36CB"/>
    <w:rsid w:val="004E4079"/>
    <w:rsid w:val="004E60A3"/>
    <w:rsid w:val="004F2A7B"/>
    <w:rsid w:val="004F42B6"/>
    <w:rsid w:val="004F5936"/>
    <w:rsid w:val="00500CC3"/>
    <w:rsid w:val="00501A39"/>
    <w:rsid w:val="00501F87"/>
    <w:rsid w:val="00506D7D"/>
    <w:rsid w:val="0051077F"/>
    <w:rsid w:val="00512453"/>
    <w:rsid w:val="00512C0B"/>
    <w:rsid w:val="005138CB"/>
    <w:rsid w:val="00515723"/>
    <w:rsid w:val="00516573"/>
    <w:rsid w:val="00523A90"/>
    <w:rsid w:val="00525AC5"/>
    <w:rsid w:val="0053115C"/>
    <w:rsid w:val="00535857"/>
    <w:rsid w:val="00537632"/>
    <w:rsid w:val="005410B8"/>
    <w:rsid w:val="00546DD5"/>
    <w:rsid w:val="005533D5"/>
    <w:rsid w:val="00557883"/>
    <w:rsid w:val="00562930"/>
    <w:rsid w:val="00562B26"/>
    <w:rsid w:val="005635C8"/>
    <w:rsid w:val="0057093A"/>
    <w:rsid w:val="00574FB6"/>
    <w:rsid w:val="0059166E"/>
    <w:rsid w:val="0059206A"/>
    <w:rsid w:val="00592804"/>
    <w:rsid w:val="0059443D"/>
    <w:rsid w:val="005A0106"/>
    <w:rsid w:val="005A29CA"/>
    <w:rsid w:val="005B1DFF"/>
    <w:rsid w:val="005C3132"/>
    <w:rsid w:val="005C64D0"/>
    <w:rsid w:val="005C667D"/>
    <w:rsid w:val="005C676B"/>
    <w:rsid w:val="005C6F76"/>
    <w:rsid w:val="005D5D84"/>
    <w:rsid w:val="005D5F6C"/>
    <w:rsid w:val="005E414D"/>
    <w:rsid w:val="005E4276"/>
    <w:rsid w:val="005E46F8"/>
    <w:rsid w:val="005E7B9C"/>
    <w:rsid w:val="005F1EDA"/>
    <w:rsid w:val="00602A23"/>
    <w:rsid w:val="00603407"/>
    <w:rsid w:val="0061083B"/>
    <w:rsid w:val="006111EF"/>
    <w:rsid w:val="00614193"/>
    <w:rsid w:val="00615B7A"/>
    <w:rsid w:val="006175F0"/>
    <w:rsid w:val="00617EF8"/>
    <w:rsid w:val="006237BD"/>
    <w:rsid w:val="00624251"/>
    <w:rsid w:val="00625A9A"/>
    <w:rsid w:val="006306A5"/>
    <w:rsid w:val="00630757"/>
    <w:rsid w:val="006320C7"/>
    <w:rsid w:val="00637DFE"/>
    <w:rsid w:val="00644FD8"/>
    <w:rsid w:val="006528A8"/>
    <w:rsid w:val="00657060"/>
    <w:rsid w:val="00660235"/>
    <w:rsid w:val="00662016"/>
    <w:rsid w:val="0066274D"/>
    <w:rsid w:val="00664C3A"/>
    <w:rsid w:val="00667AD0"/>
    <w:rsid w:val="00673178"/>
    <w:rsid w:val="006737F3"/>
    <w:rsid w:val="006752E4"/>
    <w:rsid w:val="00676D5C"/>
    <w:rsid w:val="00684ADB"/>
    <w:rsid w:val="00685C64"/>
    <w:rsid w:val="00693241"/>
    <w:rsid w:val="0069476E"/>
    <w:rsid w:val="00697306"/>
    <w:rsid w:val="006A4072"/>
    <w:rsid w:val="006A4607"/>
    <w:rsid w:val="006A6441"/>
    <w:rsid w:val="006A65E3"/>
    <w:rsid w:val="006A6888"/>
    <w:rsid w:val="006B033A"/>
    <w:rsid w:val="006B098A"/>
    <w:rsid w:val="006B2E90"/>
    <w:rsid w:val="006B3FFE"/>
    <w:rsid w:val="006B4AE0"/>
    <w:rsid w:val="006B7616"/>
    <w:rsid w:val="006C2DBF"/>
    <w:rsid w:val="006C6F3D"/>
    <w:rsid w:val="006D4772"/>
    <w:rsid w:val="006D55C0"/>
    <w:rsid w:val="006D65C3"/>
    <w:rsid w:val="006E225E"/>
    <w:rsid w:val="006F32E9"/>
    <w:rsid w:val="006F3437"/>
    <w:rsid w:val="006F5D1E"/>
    <w:rsid w:val="007101BF"/>
    <w:rsid w:val="00711452"/>
    <w:rsid w:val="00711CDB"/>
    <w:rsid w:val="00712C06"/>
    <w:rsid w:val="00716137"/>
    <w:rsid w:val="00716796"/>
    <w:rsid w:val="00723899"/>
    <w:rsid w:val="00724F17"/>
    <w:rsid w:val="00726E33"/>
    <w:rsid w:val="00732FD3"/>
    <w:rsid w:val="00735E0A"/>
    <w:rsid w:val="007411F1"/>
    <w:rsid w:val="00743F75"/>
    <w:rsid w:val="007468B3"/>
    <w:rsid w:val="00746A81"/>
    <w:rsid w:val="007516E8"/>
    <w:rsid w:val="00752848"/>
    <w:rsid w:val="00753EEC"/>
    <w:rsid w:val="007540CF"/>
    <w:rsid w:val="007550A5"/>
    <w:rsid w:val="007561E6"/>
    <w:rsid w:val="00770650"/>
    <w:rsid w:val="007716FC"/>
    <w:rsid w:val="00773E87"/>
    <w:rsid w:val="00777090"/>
    <w:rsid w:val="00781D8C"/>
    <w:rsid w:val="007822D3"/>
    <w:rsid w:val="007844C1"/>
    <w:rsid w:val="0078555D"/>
    <w:rsid w:val="0079264C"/>
    <w:rsid w:val="00792FBE"/>
    <w:rsid w:val="00796D7B"/>
    <w:rsid w:val="007972BD"/>
    <w:rsid w:val="00797B8A"/>
    <w:rsid w:val="007A25AE"/>
    <w:rsid w:val="007A582C"/>
    <w:rsid w:val="007B00A3"/>
    <w:rsid w:val="007B43D5"/>
    <w:rsid w:val="007B7485"/>
    <w:rsid w:val="007B7BA4"/>
    <w:rsid w:val="007C3117"/>
    <w:rsid w:val="007C3C22"/>
    <w:rsid w:val="007C51CC"/>
    <w:rsid w:val="007D3567"/>
    <w:rsid w:val="007E502E"/>
    <w:rsid w:val="007E6376"/>
    <w:rsid w:val="007E68A5"/>
    <w:rsid w:val="007E7D8C"/>
    <w:rsid w:val="007F2A2A"/>
    <w:rsid w:val="007F3724"/>
    <w:rsid w:val="008010F6"/>
    <w:rsid w:val="00803ED2"/>
    <w:rsid w:val="00805DCC"/>
    <w:rsid w:val="00814FD3"/>
    <w:rsid w:val="00820FBF"/>
    <w:rsid w:val="008300C7"/>
    <w:rsid w:val="00831B8D"/>
    <w:rsid w:val="0083240E"/>
    <w:rsid w:val="00832912"/>
    <w:rsid w:val="008365C2"/>
    <w:rsid w:val="00836809"/>
    <w:rsid w:val="00847E10"/>
    <w:rsid w:val="008567A1"/>
    <w:rsid w:val="0085714A"/>
    <w:rsid w:val="0086090F"/>
    <w:rsid w:val="008622BE"/>
    <w:rsid w:val="00872DB7"/>
    <w:rsid w:val="00883BD9"/>
    <w:rsid w:val="00886DD2"/>
    <w:rsid w:val="008900DF"/>
    <w:rsid w:val="008A2734"/>
    <w:rsid w:val="008B1F93"/>
    <w:rsid w:val="008B38EE"/>
    <w:rsid w:val="008B5B0D"/>
    <w:rsid w:val="008C21E4"/>
    <w:rsid w:val="008C5DE4"/>
    <w:rsid w:val="008C5E2A"/>
    <w:rsid w:val="008C6B48"/>
    <w:rsid w:val="008C7F9D"/>
    <w:rsid w:val="008D09BA"/>
    <w:rsid w:val="008D149E"/>
    <w:rsid w:val="008D32FA"/>
    <w:rsid w:val="008D41E7"/>
    <w:rsid w:val="008E002E"/>
    <w:rsid w:val="008E30D9"/>
    <w:rsid w:val="008E4B6B"/>
    <w:rsid w:val="008F2668"/>
    <w:rsid w:val="008F4226"/>
    <w:rsid w:val="008F7405"/>
    <w:rsid w:val="00901698"/>
    <w:rsid w:val="00916EAB"/>
    <w:rsid w:val="009219B5"/>
    <w:rsid w:val="0092268E"/>
    <w:rsid w:val="00925BF3"/>
    <w:rsid w:val="00931E29"/>
    <w:rsid w:val="00933BDD"/>
    <w:rsid w:val="009404B9"/>
    <w:rsid w:val="00940E47"/>
    <w:rsid w:val="00942AB5"/>
    <w:rsid w:val="00944EC7"/>
    <w:rsid w:val="00947BBB"/>
    <w:rsid w:val="009513C1"/>
    <w:rsid w:val="00962AFF"/>
    <w:rsid w:val="0096398C"/>
    <w:rsid w:val="009667A7"/>
    <w:rsid w:val="00966F47"/>
    <w:rsid w:val="00967C9D"/>
    <w:rsid w:val="00967F42"/>
    <w:rsid w:val="009737BF"/>
    <w:rsid w:val="009740E3"/>
    <w:rsid w:val="00980605"/>
    <w:rsid w:val="0098250D"/>
    <w:rsid w:val="00985C95"/>
    <w:rsid w:val="009905E1"/>
    <w:rsid w:val="00992717"/>
    <w:rsid w:val="009A0686"/>
    <w:rsid w:val="009A06B4"/>
    <w:rsid w:val="009A776F"/>
    <w:rsid w:val="009B2776"/>
    <w:rsid w:val="009B58FD"/>
    <w:rsid w:val="009B707F"/>
    <w:rsid w:val="009C4394"/>
    <w:rsid w:val="009C6B5C"/>
    <w:rsid w:val="009D277D"/>
    <w:rsid w:val="009D7E62"/>
    <w:rsid w:val="009E1C78"/>
    <w:rsid w:val="009F0C5F"/>
    <w:rsid w:val="009F2427"/>
    <w:rsid w:val="009F5465"/>
    <w:rsid w:val="009F5596"/>
    <w:rsid w:val="00A029ED"/>
    <w:rsid w:val="00A11081"/>
    <w:rsid w:val="00A145B1"/>
    <w:rsid w:val="00A15A55"/>
    <w:rsid w:val="00A17716"/>
    <w:rsid w:val="00A17F80"/>
    <w:rsid w:val="00A20951"/>
    <w:rsid w:val="00A21E6A"/>
    <w:rsid w:val="00A237A5"/>
    <w:rsid w:val="00A25997"/>
    <w:rsid w:val="00A32702"/>
    <w:rsid w:val="00A33F26"/>
    <w:rsid w:val="00A34826"/>
    <w:rsid w:val="00A35118"/>
    <w:rsid w:val="00A363C7"/>
    <w:rsid w:val="00A37FAF"/>
    <w:rsid w:val="00A416C8"/>
    <w:rsid w:val="00A43CD1"/>
    <w:rsid w:val="00A441A2"/>
    <w:rsid w:val="00A5453E"/>
    <w:rsid w:val="00A564B5"/>
    <w:rsid w:val="00A63C44"/>
    <w:rsid w:val="00A63E93"/>
    <w:rsid w:val="00A646B3"/>
    <w:rsid w:val="00A64EBA"/>
    <w:rsid w:val="00A65F34"/>
    <w:rsid w:val="00A66422"/>
    <w:rsid w:val="00A81658"/>
    <w:rsid w:val="00A8379C"/>
    <w:rsid w:val="00A855AF"/>
    <w:rsid w:val="00A90223"/>
    <w:rsid w:val="00A92019"/>
    <w:rsid w:val="00A93E70"/>
    <w:rsid w:val="00A95A80"/>
    <w:rsid w:val="00AA07C3"/>
    <w:rsid w:val="00AA4A7A"/>
    <w:rsid w:val="00AB1338"/>
    <w:rsid w:val="00AB771C"/>
    <w:rsid w:val="00AB7CC9"/>
    <w:rsid w:val="00AC0CCA"/>
    <w:rsid w:val="00AC60AD"/>
    <w:rsid w:val="00AC6B28"/>
    <w:rsid w:val="00AC7758"/>
    <w:rsid w:val="00AE04A1"/>
    <w:rsid w:val="00AE39EB"/>
    <w:rsid w:val="00AE4B29"/>
    <w:rsid w:val="00AE524D"/>
    <w:rsid w:val="00AE709D"/>
    <w:rsid w:val="00AE7827"/>
    <w:rsid w:val="00AE79A0"/>
    <w:rsid w:val="00AF0314"/>
    <w:rsid w:val="00AF24A8"/>
    <w:rsid w:val="00AF2E5F"/>
    <w:rsid w:val="00AF43D1"/>
    <w:rsid w:val="00AF5C6A"/>
    <w:rsid w:val="00B028F5"/>
    <w:rsid w:val="00B03A9A"/>
    <w:rsid w:val="00B04C7E"/>
    <w:rsid w:val="00B05FDF"/>
    <w:rsid w:val="00B0721A"/>
    <w:rsid w:val="00B11908"/>
    <w:rsid w:val="00B12C2D"/>
    <w:rsid w:val="00B2076B"/>
    <w:rsid w:val="00B2546E"/>
    <w:rsid w:val="00B30A86"/>
    <w:rsid w:val="00B32030"/>
    <w:rsid w:val="00B32310"/>
    <w:rsid w:val="00B34A8A"/>
    <w:rsid w:val="00B4703B"/>
    <w:rsid w:val="00B5095D"/>
    <w:rsid w:val="00B5136C"/>
    <w:rsid w:val="00B51D49"/>
    <w:rsid w:val="00B535B2"/>
    <w:rsid w:val="00B61459"/>
    <w:rsid w:val="00B62953"/>
    <w:rsid w:val="00B63293"/>
    <w:rsid w:val="00B63A45"/>
    <w:rsid w:val="00B7100B"/>
    <w:rsid w:val="00B752B2"/>
    <w:rsid w:val="00B77DEA"/>
    <w:rsid w:val="00B854C0"/>
    <w:rsid w:val="00B93310"/>
    <w:rsid w:val="00B9639B"/>
    <w:rsid w:val="00B9731F"/>
    <w:rsid w:val="00B974C2"/>
    <w:rsid w:val="00BA22AA"/>
    <w:rsid w:val="00BA243A"/>
    <w:rsid w:val="00BA51AB"/>
    <w:rsid w:val="00BA56E3"/>
    <w:rsid w:val="00BB0753"/>
    <w:rsid w:val="00BB12BF"/>
    <w:rsid w:val="00BB15C2"/>
    <w:rsid w:val="00BB493C"/>
    <w:rsid w:val="00BB6131"/>
    <w:rsid w:val="00BC24CF"/>
    <w:rsid w:val="00BC7C8C"/>
    <w:rsid w:val="00BD2B4B"/>
    <w:rsid w:val="00BD32ED"/>
    <w:rsid w:val="00BD4945"/>
    <w:rsid w:val="00BD59BD"/>
    <w:rsid w:val="00BE7417"/>
    <w:rsid w:val="00C00259"/>
    <w:rsid w:val="00C00937"/>
    <w:rsid w:val="00C010EA"/>
    <w:rsid w:val="00C02C8A"/>
    <w:rsid w:val="00C07899"/>
    <w:rsid w:val="00C07B0A"/>
    <w:rsid w:val="00C133C7"/>
    <w:rsid w:val="00C15002"/>
    <w:rsid w:val="00C15570"/>
    <w:rsid w:val="00C22B46"/>
    <w:rsid w:val="00C2310D"/>
    <w:rsid w:val="00C23DD6"/>
    <w:rsid w:val="00C26E12"/>
    <w:rsid w:val="00C40FF3"/>
    <w:rsid w:val="00C4423E"/>
    <w:rsid w:val="00C5210A"/>
    <w:rsid w:val="00C52BD5"/>
    <w:rsid w:val="00C6059D"/>
    <w:rsid w:val="00C648FF"/>
    <w:rsid w:val="00C670E4"/>
    <w:rsid w:val="00C74DE6"/>
    <w:rsid w:val="00C800C7"/>
    <w:rsid w:val="00C80D75"/>
    <w:rsid w:val="00C814E3"/>
    <w:rsid w:val="00C84146"/>
    <w:rsid w:val="00C84F64"/>
    <w:rsid w:val="00C8760B"/>
    <w:rsid w:val="00C91159"/>
    <w:rsid w:val="00C9361B"/>
    <w:rsid w:val="00C94C54"/>
    <w:rsid w:val="00C974A3"/>
    <w:rsid w:val="00CA518F"/>
    <w:rsid w:val="00CB16D0"/>
    <w:rsid w:val="00CC191D"/>
    <w:rsid w:val="00CC36E2"/>
    <w:rsid w:val="00CC7A2A"/>
    <w:rsid w:val="00CD142E"/>
    <w:rsid w:val="00CD3C2B"/>
    <w:rsid w:val="00CD42C5"/>
    <w:rsid w:val="00CD5291"/>
    <w:rsid w:val="00CF067B"/>
    <w:rsid w:val="00CF4A93"/>
    <w:rsid w:val="00D03BBC"/>
    <w:rsid w:val="00D0658C"/>
    <w:rsid w:val="00D10C40"/>
    <w:rsid w:val="00D14907"/>
    <w:rsid w:val="00D1696B"/>
    <w:rsid w:val="00D203D0"/>
    <w:rsid w:val="00D217BA"/>
    <w:rsid w:val="00D22DA1"/>
    <w:rsid w:val="00D30EE6"/>
    <w:rsid w:val="00D31E6C"/>
    <w:rsid w:val="00D32CD5"/>
    <w:rsid w:val="00D376CB"/>
    <w:rsid w:val="00D43243"/>
    <w:rsid w:val="00D43630"/>
    <w:rsid w:val="00D522DE"/>
    <w:rsid w:val="00D535F1"/>
    <w:rsid w:val="00D53A16"/>
    <w:rsid w:val="00D637B2"/>
    <w:rsid w:val="00D75364"/>
    <w:rsid w:val="00D7660D"/>
    <w:rsid w:val="00D833DD"/>
    <w:rsid w:val="00D871F8"/>
    <w:rsid w:val="00D96336"/>
    <w:rsid w:val="00DA03B0"/>
    <w:rsid w:val="00DA0896"/>
    <w:rsid w:val="00DA14F3"/>
    <w:rsid w:val="00DA33AB"/>
    <w:rsid w:val="00DA47D4"/>
    <w:rsid w:val="00DA775F"/>
    <w:rsid w:val="00DB203A"/>
    <w:rsid w:val="00DB5817"/>
    <w:rsid w:val="00DC058E"/>
    <w:rsid w:val="00DC32DE"/>
    <w:rsid w:val="00DC6BE5"/>
    <w:rsid w:val="00DC6C63"/>
    <w:rsid w:val="00DD00E7"/>
    <w:rsid w:val="00DD21B0"/>
    <w:rsid w:val="00DD4093"/>
    <w:rsid w:val="00DD4D51"/>
    <w:rsid w:val="00DD63EB"/>
    <w:rsid w:val="00DE24F3"/>
    <w:rsid w:val="00DE30E6"/>
    <w:rsid w:val="00DE3FE6"/>
    <w:rsid w:val="00DE667B"/>
    <w:rsid w:val="00DF0286"/>
    <w:rsid w:val="00DF02C0"/>
    <w:rsid w:val="00DF074D"/>
    <w:rsid w:val="00DF0FAF"/>
    <w:rsid w:val="00E01228"/>
    <w:rsid w:val="00E0125F"/>
    <w:rsid w:val="00E06C5D"/>
    <w:rsid w:val="00E06F40"/>
    <w:rsid w:val="00E114D9"/>
    <w:rsid w:val="00E20C87"/>
    <w:rsid w:val="00E26270"/>
    <w:rsid w:val="00E305B3"/>
    <w:rsid w:val="00E32E32"/>
    <w:rsid w:val="00E4395E"/>
    <w:rsid w:val="00E46679"/>
    <w:rsid w:val="00E478C4"/>
    <w:rsid w:val="00E72755"/>
    <w:rsid w:val="00E72DA3"/>
    <w:rsid w:val="00E7516F"/>
    <w:rsid w:val="00E76168"/>
    <w:rsid w:val="00E77AD6"/>
    <w:rsid w:val="00E8012A"/>
    <w:rsid w:val="00E84EBE"/>
    <w:rsid w:val="00EB1278"/>
    <w:rsid w:val="00EB276A"/>
    <w:rsid w:val="00EB4011"/>
    <w:rsid w:val="00EB4CBB"/>
    <w:rsid w:val="00EC09E0"/>
    <w:rsid w:val="00EC34DC"/>
    <w:rsid w:val="00EC3CE4"/>
    <w:rsid w:val="00EC42BD"/>
    <w:rsid w:val="00EC6753"/>
    <w:rsid w:val="00EC7E58"/>
    <w:rsid w:val="00ED37B4"/>
    <w:rsid w:val="00ED4A44"/>
    <w:rsid w:val="00ED5376"/>
    <w:rsid w:val="00EE18A8"/>
    <w:rsid w:val="00EE51B0"/>
    <w:rsid w:val="00EF20AA"/>
    <w:rsid w:val="00EF2395"/>
    <w:rsid w:val="00EF6E3D"/>
    <w:rsid w:val="00F07333"/>
    <w:rsid w:val="00F10D42"/>
    <w:rsid w:val="00F243BA"/>
    <w:rsid w:val="00F26067"/>
    <w:rsid w:val="00F30A40"/>
    <w:rsid w:val="00F31925"/>
    <w:rsid w:val="00F35E7E"/>
    <w:rsid w:val="00F35F3C"/>
    <w:rsid w:val="00F36769"/>
    <w:rsid w:val="00F4023A"/>
    <w:rsid w:val="00F41503"/>
    <w:rsid w:val="00F465A3"/>
    <w:rsid w:val="00F5184A"/>
    <w:rsid w:val="00F53BBA"/>
    <w:rsid w:val="00F544A8"/>
    <w:rsid w:val="00F65FED"/>
    <w:rsid w:val="00F66A9C"/>
    <w:rsid w:val="00F72D20"/>
    <w:rsid w:val="00F84BFB"/>
    <w:rsid w:val="00F93FDD"/>
    <w:rsid w:val="00F95A93"/>
    <w:rsid w:val="00FA2BD8"/>
    <w:rsid w:val="00FA7825"/>
    <w:rsid w:val="00FB2EBC"/>
    <w:rsid w:val="00FD3316"/>
    <w:rsid w:val="00FD4959"/>
    <w:rsid w:val="00FF4970"/>
    <w:rsid w:val="00FF65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9757"/>
  <w15:chartTrackingRefBased/>
  <w15:docId w15:val="{BCD40A59-44CB-4E0B-9C01-62CBD26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A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4ADB"/>
    <w:rPr>
      <w:sz w:val="16"/>
      <w:szCs w:val="16"/>
    </w:rPr>
  </w:style>
  <w:style w:type="paragraph" w:styleId="CommentText">
    <w:name w:val="annotation text"/>
    <w:basedOn w:val="Normal"/>
    <w:link w:val="CommentTextChar"/>
    <w:uiPriority w:val="99"/>
    <w:unhideWhenUsed/>
    <w:rsid w:val="00684ADB"/>
    <w:rPr>
      <w:sz w:val="20"/>
      <w:szCs w:val="20"/>
    </w:rPr>
  </w:style>
  <w:style w:type="character" w:customStyle="1" w:styleId="CommentTextChar">
    <w:name w:val="Comment Text Char"/>
    <w:basedOn w:val="DefaultParagraphFont"/>
    <w:link w:val="CommentText"/>
    <w:uiPriority w:val="99"/>
    <w:rsid w:val="00684ADB"/>
    <w:rPr>
      <w:sz w:val="20"/>
      <w:szCs w:val="20"/>
    </w:rPr>
  </w:style>
  <w:style w:type="paragraph" w:styleId="ListParagraph">
    <w:name w:val="List Paragraph"/>
    <w:aliases w:val="2,Strip"/>
    <w:basedOn w:val="Normal"/>
    <w:link w:val="ListParagraphChar"/>
    <w:uiPriority w:val="34"/>
    <w:qFormat/>
    <w:rsid w:val="00684ADB"/>
    <w:pPr>
      <w:ind w:left="720"/>
      <w:contextualSpacing/>
    </w:pPr>
  </w:style>
  <w:style w:type="character" w:styleId="Hyperlink">
    <w:name w:val="Hyperlink"/>
    <w:basedOn w:val="DefaultParagraphFont"/>
    <w:uiPriority w:val="99"/>
    <w:unhideWhenUsed/>
    <w:rsid w:val="00684ADB"/>
    <w:rPr>
      <w:color w:val="0563C1" w:themeColor="hyperlink"/>
      <w:u w:val="single"/>
    </w:rPr>
  </w:style>
  <w:style w:type="paragraph" w:styleId="Header">
    <w:name w:val="header"/>
    <w:basedOn w:val="Normal"/>
    <w:link w:val="HeaderChar"/>
    <w:uiPriority w:val="99"/>
    <w:unhideWhenUsed/>
    <w:rsid w:val="00684ADB"/>
    <w:pPr>
      <w:tabs>
        <w:tab w:val="center" w:pos="4153"/>
        <w:tab w:val="right" w:pos="8306"/>
      </w:tabs>
    </w:pPr>
  </w:style>
  <w:style w:type="character" w:customStyle="1" w:styleId="HeaderChar">
    <w:name w:val="Header Char"/>
    <w:basedOn w:val="DefaultParagraphFont"/>
    <w:link w:val="Header"/>
    <w:uiPriority w:val="99"/>
    <w:rsid w:val="00684ADB"/>
  </w:style>
  <w:style w:type="paragraph" w:styleId="Footer">
    <w:name w:val="footer"/>
    <w:basedOn w:val="Normal"/>
    <w:link w:val="FooterChar"/>
    <w:unhideWhenUsed/>
    <w:rsid w:val="00684ADB"/>
    <w:pPr>
      <w:tabs>
        <w:tab w:val="center" w:pos="4153"/>
        <w:tab w:val="right" w:pos="8306"/>
      </w:tabs>
    </w:pPr>
  </w:style>
  <w:style w:type="character" w:customStyle="1" w:styleId="FooterChar">
    <w:name w:val="Footer Char"/>
    <w:basedOn w:val="DefaultParagraphFont"/>
    <w:link w:val="Footer"/>
    <w:rsid w:val="00684ADB"/>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unhideWhenUsed/>
    <w:rsid w:val="00684ADB"/>
    <w:rPr>
      <w:sz w:val="20"/>
      <w:szCs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basedOn w:val="DefaultParagraphFont"/>
    <w:link w:val="FootnoteText"/>
    <w:uiPriority w:val="99"/>
    <w:rsid w:val="00684ADB"/>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684ADB"/>
    <w:rPr>
      <w:vertAlign w:val="superscript"/>
    </w:rPr>
  </w:style>
  <w:style w:type="character" w:customStyle="1" w:styleId="ListParagraphChar">
    <w:name w:val="List Paragraph Char"/>
    <w:aliases w:val="2 Char,Strip Char"/>
    <w:link w:val="ListParagraph"/>
    <w:uiPriority w:val="34"/>
    <w:qFormat/>
    <w:locked/>
    <w:rsid w:val="00684ADB"/>
  </w:style>
  <w:style w:type="paragraph" w:styleId="BodyText">
    <w:name w:val="Body Text"/>
    <w:basedOn w:val="Normal"/>
    <w:link w:val="BodyTextChar"/>
    <w:rsid w:val="00684ADB"/>
    <w:pPr>
      <w:spacing w:before="120" w:after="120" w:line="276" w:lineRule="auto"/>
    </w:pPr>
    <w:rPr>
      <w:rFonts w:eastAsia="Times New Roman" w:cs="Times New Roman"/>
      <w:b/>
      <w:bCs/>
      <w:szCs w:val="24"/>
      <w:lang w:val="en-GB"/>
    </w:rPr>
  </w:style>
  <w:style w:type="character" w:customStyle="1" w:styleId="BodyTextChar">
    <w:name w:val="Body Text Char"/>
    <w:basedOn w:val="DefaultParagraphFont"/>
    <w:link w:val="BodyText"/>
    <w:rsid w:val="00684ADB"/>
    <w:rPr>
      <w:rFonts w:eastAsia="Times New Roman" w:cs="Times New Roman"/>
      <w:b/>
      <w:bCs/>
      <w:szCs w:val="24"/>
      <w:lang w:val="en-GB"/>
    </w:rPr>
  </w:style>
  <w:style w:type="paragraph" w:styleId="BalloonText">
    <w:name w:val="Balloon Text"/>
    <w:basedOn w:val="Normal"/>
    <w:link w:val="BalloonTextChar"/>
    <w:uiPriority w:val="99"/>
    <w:semiHidden/>
    <w:unhideWhenUsed/>
    <w:rsid w:val="00684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AD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06B4"/>
    <w:rPr>
      <w:b/>
      <w:bCs/>
    </w:rPr>
  </w:style>
  <w:style w:type="character" w:customStyle="1" w:styleId="CommentSubjectChar">
    <w:name w:val="Comment Subject Char"/>
    <w:basedOn w:val="CommentTextChar"/>
    <w:link w:val="CommentSubject"/>
    <w:uiPriority w:val="99"/>
    <w:semiHidden/>
    <w:rsid w:val="009A06B4"/>
    <w:rPr>
      <w:b/>
      <w:bCs/>
      <w:sz w:val="20"/>
      <w:szCs w:val="20"/>
    </w:rPr>
  </w:style>
  <w:style w:type="character" w:styleId="FollowedHyperlink">
    <w:name w:val="FollowedHyperlink"/>
    <w:basedOn w:val="DefaultParagraphFont"/>
    <w:uiPriority w:val="99"/>
    <w:semiHidden/>
    <w:unhideWhenUsed/>
    <w:rsid w:val="000C7125"/>
    <w:rPr>
      <w:color w:val="954F72" w:themeColor="followedHyperlink"/>
      <w:u w:val="single"/>
    </w:rPr>
  </w:style>
  <w:style w:type="character" w:styleId="Strong">
    <w:name w:val="Strong"/>
    <w:uiPriority w:val="22"/>
    <w:qFormat/>
    <w:rsid w:val="00357ED9"/>
    <w:rPr>
      <w:b/>
      <w:bCs/>
    </w:rPr>
  </w:style>
  <w:style w:type="paragraph" w:styleId="NormalWeb">
    <w:name w:val="Normal (Web)"/>
    <w:basedOn w:val="Normal"/>
    <w:uiPriority w:val="99"/>
    <w:semiHidden/>
    <w:unhideWhenUsed/>
    <w:rsid w:val="00EC09E0"/>
    <w:pPr>
      <w:spacing w:before="100" w:beforeAutospacing="1" w:after="100" w:afterAutospacing="1"/>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6690">
      <w:bodyDiv w:val="1"/>
      <w:marLeft w:val="0"/>
      <w:marRight w:val="0"/>
      <w:marTop w:val="0"/>
      <w:marBottom w:val="0"/>
      <w:divBdr>
        <w:top w:val="none" w:sz="0" w:space="0" w:color="auto"/>
        <w:left w:val="none" w:sz="0" w:space="0" w:color="auto"/>
        <w:bottom w:val="none" w:sz="0" w:space="0" w:color="auto"/>
        <w:right w:val="none" w:sz="0" w:space="0" w:color="auto"/>
      </w:divBdr>
    </w:div>
    <w:div w:id="199560629">
      <w:bodyDiv w:val="1"/>
      <w:marLeft w:val="0"/>
      <w:marRight w:val="0"/>
      <w:marTop w:val="0"/>
      <w:marBottom w:val="0"/>
      <w:divBdr>
        <w:top w:val="none" w:sz="0" w:space="0" w:color="auto"/>
        <w:left w:val="none" w:sz="0" w:space="0" w:color="auto"/>
        <w:bottom w:val="none" w:sz="0" w:space="0" w:color="auto"/>
        <w:right w:val="none" w:sz="0" w:space="0" w:color="auto"/>
      </w:divBdr>
    </w:div>
    <w:div w:id="228420615">
      <w:bodyDiv w:val="1"/>
      <w:marLeft w:val="0"/>
      <w:marRight w:val="0"/>
      <w:marTop w:val="0"/>
      <w:marBottom w:val="0"/>
      <w:divBdr>
        <w:top w:val="none" w:sz="0" w:space="0" w:color="auto"/>
        <w:left w:val="none" w:sz="0" w:space="0" w:color="auto"/>
        <w:bottom w:val="none" w:sz="0" w:space="0" w:color="auto"/>
        <w:right w:val="none" w:sz="0" w:space="0" w:color="auto"/>
      </w:divBdr>
    </w:div>
    <w:div w:id="589630166">
      <w:bodyDiv w:val="1"/>
      <w:marLeft w:val="0"/>
      <w:marRight w:val="0"/>
      <w:marTop w:val="0"/>
      <w:marBottom w:val="0"/>
      <w:divBdr>
        <w:top w:val="none" w:sz="0" w:space="0" w:color="auto"/>
        <w:left w:val="none" w:sz="0" w:space="0" w:color="auto"/>
        <w:bottom w:val="none" w:sz="0" w:space="0" w:color="auto"/>
        <w:right w:val="none" w:sz="0" w:space="0" w:color="auto"/>
      </w:divBdr>
    </w:div>
    <w:div w:id="617487913">
      <w:bodyDiv w:val="1"/>
      <w:marLeft w:val="0"/>
      <w:marRight w:val="0"/>
      <w:marTop w:val="0"/>
      <w:marBottom w:val="0"/>
      <w:divBdr>
        <w:top w:val="none" w:sz="0" w:space="0" w:color="auto"/>
        <w:left w:val="none" w:sz="0" w:space="0" w:color="auto"/>
        <w:bottom w:val="none" w:sz="0" w:space="0" w:color="auto"/>
        <w:right w:val="none" w:sz="0" w:space="0" w:color="auto"/>
      </w:divBdr>
    </w:div>
    <w:div w:id="745347740">
      <w:bodyDiv w:val="1"/>
      <w:marLeft w:val="0"/>
      <w:marRight w:val="0"/>
      <w:marTop w:val="0"/>
      <w:marBottom w:val="0"/>
      <w:divBdr>
        <w:top w:val="none" w:sz="0" w:space="0" w:color="auto"/>
        <w:left w:val="none" w:sz="0" w:space="0" w:color="auto"/>
        <w:bottom w:val="none" w:sz="0" w:space="0" w:color="auto"/>
        <w:right w:val="none" w:sz="0" w:space="0" w:color="auto"/>
      </w:divBdr>
    </w:div>
    <w:div w:id="894580589">
      <w:bodyDiv w:val="1"/>
      <w:marLeft w:val="0"/>
      <w:marRight w:val="0"/>
      <w:marTop w:val="0"/>
      <w:marBottom w:val="0"/>
      <w:divBdr>
        <w:top w:val="none" w:sz="0" w:space="0" w:color="auto"/>
        <w:left w:val="none" w:sz="0" w:space="0" w:color="auto"/>
        <w:bottom w:val="none" w:sz="0" w:space="0" w:color="auto"/>
        <w:right w:val="none" w:sz="0" w:space="0" w:color="auto"/>
      </w:divBdr>
    </w:div>
    <w:div w:id="1006782271">
      <w:bodyDiv w:val="1"/>
      <w:marLeft w:val="0"/>
      <w:marRight w:val="0"/>
      <w:marTop w:val="0"/>
      <w:marBottom w:val="0"/>
      <w:divBdr>
        <w:top w:val="none" w:sz="0" w:space="0" w:color="auto"/>
        <w:left w:val="none" w:sz="0" w:space="0" w:color="auto"/>
        <w:bottom w:val="none" w:sz="0" w:space="0" w:color="auto"/>
        <w:right w:val="none" w:sz="0" w:space="0" w:color="auto"/>
      </w:divBdr>
    </w:div>
    <w:div w:id="1187791643">
      <w:bodyDiv w:val="1"/>
      <w:marLeft w:val="0"/>
      <w:marRight w:val="0"/>
      <w:marTop w:val="0"/>
      <w:marBottom w:val="0"/>
      <w:divBdr>
        <w:top w:val="none" w:sz="0" w:space="0" w:color="auto"/>
        <w:left w:val="none" w:sz="0" w:space="0" w:color="auto"/>
        <w:bottom w:val="none" w:sz="0" w:space="0" w:color="auto"/>
        <w:right w:val="none" w:sz="0" w:space="0" w:color="auto"/>
      </w:divBdr>
    </w:div>
    <w:div w:id="1363508377">
      <w:bodyDiv w:val="1"/>
      <w:marLeft w:val="0"/>
      <w:marRight w:val="0"/>
      <w:marTop w:val="0"/>
      <w:marBottom w:val="0"/>
      <w:divBdr>
        <w:top w:val="none" w:sz="0" w:space="0" w:color="auto"/>
        <w:left w:val="none" w:sz="0" w:space="0" w:color="auto"/>
        <w:bottom w:val="none" w:sz="0" w:space="0" w:color="auto"/>
        <w:right w:val="none" w:sz="0" w:space="0" w:color="auto"/>
      </w:divBdr>
    </w:div>
    <w:div w:id="1396314128">
      <w:bodyDiv w:val="1"/>
      <w:marLeft w:val="0"/>
      <w:marRight w:val="0"/>
      <w:marTop w:val="0"/>
      <w:marBottom w:val="0"/>
      <w:divBdr>
        <w:top w:val="none" w:sz="0" w:space="0" w:color="auto"/>
        <w:left w:val="none" w:sz="0" w:space="0" w:color="auto"/>
        <w:bottom w:val="none" w:sz="0" w:space="0" w:color="auto"/>
        <w:right w:val="none" w:sz="0" w:space="0" w:color="auto"/>
      </w:divBdr>
    </w:div>
    <w:div w:id="1406800547">
      <w:bodyDiv w:val="1"/>
      <w:marLeft w:val="0"/>
      <w:marRight w:val="0"/>
      <w:marTop w:val="0"/>
      <w:marBottom w:val="0"/>
      <w:divBdr>
        <w:top w:val="none" w:sz="0" w:space="0" w:color="auto"/>
        <w:left w:val="none" w:sz="0" w:space="0" w:color="auto"/>
        <w:bottom w:val="none" w:sz="0" w:space="0" w:color="auto"/>
        <w:right w:val="none" w:sz="0" w:space="0" w:color="auto"/>
      </w:divBdr>
    </w:div>
    <w:div w:id="1594050983">
      <w:bodyDiv w:val="1"/>
      <w:marLeft w:val="0"/>
      <w:marRight w:val="0"/>
      <w:marTop w:val="0"/>
      <w:marBottom w:val="0"/>
      <w:divBdr>
        <w:top w:val="none" w:sz="0" w:space="0" w:color="auto"/>
        <w:left w:val="none" w:sz="0" w:space="0" w:color="auto"/>
        <w:bottom w:val="none" w:sz="0" w:space="0" w:color="auto"/>
        <w:right w:val="none" w:sz="0" w:space="0" w:color="auto"/>
      </w:divBdr>
    </w:div>
    <w:div w:id="1761488890">
      <w:bodyDiv w:val="1"/>
      <w:marLeft w:val="0"/>
      <w:marRight w:val="0"/>
      <w:marTop w:val="0"/>
      <w:marBottom w:val="0"/>
      <w:divBdr>
        <w:top w:val="none" w:sz="0" w:space="0" w:color="auto"/>
        <w:left w:val="none" w:sz="0" w:space="0" w:color="auto"/>
        <w:bottom w:val="none" w:sz="0" w:space="0" w:color="auto"/>
        <w:right w:val="none" w:sz="0" w:space="0" w:color="auto"/>
      </w:divBdr>
    </w:div>
    <w:div w:id="19665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va.Ziepniece@f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fondi.lv/page.php?id=106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esfondi.lv/zinojumi-Ministru-kabinetam" TargetMode="External"/><Relationship Id="rId3" Type="http://schemas.openxmlformats.org/officeDocument/2006/relationships/hyperlink" Target="http://www.esfondi.lv/finansu-un-raditaju-plani-to-izpilde" TargetMode="External"/><Relationship Id="rId7" Type="http://schemas.openxmlformats.org/officeDocument/2006/relationships/hyperlink" Target="http://www.cfla.gov.lv/lv/es-fondi-2014-2020/izsludinatas-atlases" TargetMode="External"/><Relationship Id="rId2" Type="http://schemas.openxmlformats.org/officeDocument/2006/relationships/hyperlink" Target="http://www.esfondi.lv/finansu-un-raditaju-plani-to-izpilde" TargetMode="External"/><Relationship Id="rId1" Type="http://schemas.openxmlformats.org/officeDocument/2006/relationships/hyperlink" Target="http://www.esfondi.lv/zinojumi-Ministru-kabinetam" TargetMode="External"/><Relationship Id="rId6" Type="http://schemas.openxmlformats.org/officeDocument/2006/relationships/hyperlink" Target="http://www.cfla.gov.lv/lv/es-fondi-2014-2020/projektu-iesniegumu-atlase" TargetMode="External"/><Relationship Id="rId11" Type="http://schemas.openxmlformats.org/officeDocument/2006/relationships/hyperlink" Target="http://www.esfondi.lv/zinojumi-Ministru-kabinetam" TargetMode="External"/><Relationship Id="rId5" Type="http://schemas.openxmlformats.org/officeDocument/2006/relationships/hyperlink" Target="http://www.esfondi.lv/finansu-un-raditaju-plani-to-izpilde" TargetMode="External"/><Relationship Id="rId10" Type="http://schemas.openxmlformats.org/officeDocument/2006/relationships/hyperlink" Target="http://www.esfondi.lv/kopejie-ek-veiktie-maksajumi-dalibvalstim" TargetMode="External"/><Relationship Id="rId4" Type="http://schemas.openxmlformats.org/officeDocument/2006/relationships/hyperlink" Target="http://www.esfondi.lv/planosanas-dokumenti" TargetMode="External"/><Relationship Id="rId9" Type="http://schemas.openxmlformats.org/officeDocument/2006/relationships/hyperlink" Target="http://likumi.lv/ta/id/277740-par-integreto-teritorialo-investiciju-specifisko-atbalsta-merku-finansejuma-kopejo-apjomu-katram-nacionalas-nozimes-attistiba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s\FUD\2014-2020\INFORMACIJA\NMS_grafiki_14_20\2016\2016.12.08_EK%20kop&#275;jie%20maks&#257;jumi_14_20%20vis&#257;m%20ES%20DV.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sz="1200" b="1"/>
              <a:t>Kopā: 4 471,2 (101,2%)</a:t>
            </a:r>
          </a:p>
        </c:rich>
      </c:tx>
      <c:layout>
        <c:manualLayout>
          <c:xMode val="edge"/>
          <c:yMode val="edge"/>
          <c:x val="0.77682288359575336"/>
          <c:y val="4.647571661843402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bar"/>
        <c:grouping val="stacked"/>
        <c:varyColors val="0"/>
        <c:ser>
          <c:idx val="0"/>
          <c:order val="0"/>
          <c:tx>
            <c:strRef>
              <c:f>LV_izvilkts_08.12!$N$3</c:f>
              <c:strCache>
                <c:ptCount val="1"/>
                <c:pt idx="0">
                  <c:v>Pieejamais ES fondu finansējums</c:v>
                </c:pt>
              </c:strCache>
            </c:strRef>
          </c:tx>
          <c:spPr>
            <a:solidFill>
              <a:schemeClr val="accent1"/>
            </a:solidFill>
            <a:ln>
              <a:noFill/>
            </a:ln>
            <a:effectLst/>
          </c:spPr>
          <c:invertIfNegative val="0"/>
          <c:dLbls>
            <c:dLbl>
              <c:idx val="8"/>
              <c:tx>
                <c:rich>
                  <a:bodyPr/>
                  <a:lstStyle/>
                  <a:p>
                    <a:fld id="{21984038-6180-4717-99FC-777F7F5C6774}" type="VALUE">
                      <a:rPr lang="en-US"/>
                      <a:pPr/>
                      <a:t>[VALUE]</a:t>
                    </a:fld>
                    <a:r>
                      <a:rPr lang="en-US"/>
                      <a:t> (100%)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CEF-4A74-8AD6-6AA46D862305}"/>
                </c:ext>
                <c:ext xmlns:c15="http://schemas.microsoft.com/office/drawing/2012/chart" uri="{CE6537A1-D6FC-4f65-9D91-7224C49458BB}">
                  <c15:dlblFieldTable/>
                  <c15:showDataLabelsRange val="0"/>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LV_izvilkts_08.12!$D$3:$O$3</c:f>
              <c:strCache>
                <c:ptCount val="12"/>
                <c:pt idx="0">
                  <c:v>Veikti maksājumi projektos</c:v>
                </c:pt>
                <c:pt idx="1">
                  <c:v>Noslēgti līgumi, skaits - 142</c:v>
                </c:pt>
                <c:pt idx="2">
                  <c:v>Apstiprināti projekti, skaits - 159</c:v>
                </c:pt>
                <c:pt idx="3">
                  <c:v>Noraidīti/atsaukti projekti, skaits - 283</c:v>
                </c:pt>
                <c:pt idx="4">
                  <c:v>Iesniegti projekti, skaits - 793</c:v>
                </c:pt>
                <c:pt idx="5">
                  <c:v>MKN uzsākta projektu atlase, skaits - 91</c:v>
                </c:pt>
                <c:pt idx="6">
                  <c:v>Apstiprināti MKN, skaits - 94</c:v>
                </c:pt>
                <c:pt idx="7">
                  <c:v>MKN VSS, skaits - 101</c:v>
                </c:pt>
                <c:pt idx="8">
                  <c:v>Apstiprinātie kritēriji, skaits - 100</c:v>
                </c:pt>
                <c:pt idx="9">
                  <c:v>Iesniegti kritēriji, skaits - 104</c:v>
                </c:pt>
                <c:pt idx="10">
                  <c:v>Pieejamais ES fondu finansējums</c:v>
                </c:pt>
                <c:pt idx="11">
                  <c:v>Pieejamais ''virssaistību'' apjoms</c:v>
                </c:pt>
              </c:strCache>
            </c:strRef>
          </c:cat>
          <c:val>
            <c:numRef>
              <c:f>LV_izvilkts_08.12!$D$4:$N$4</c:f>
              <c:numCache>
                <c:formatCode>General</c:formatCode>
                <c:ptCount val="11"/>
              </c:numCache>
            </c:numRef>
          </c:val>
          <c:extLst xmlns:c16r2="http://schemas.microsoft.com/office/drawing/2015/06/chart">
            <c:ext xmlns:c16="http://schemas.microsoft.com/office/drawing/2014/chart" uri="{C3380CC4-5D6E-409C-BE32-E72D297353CC}">
              <c16:uniqueId val="{00000001-2CEF-4A74-8AD6-6AA46D862305}"/>
            </c:ext>
          </c:extLst>
        </c:ser>
        <c:ser>
          <c:idx val="1"/>
          <c:order val="1"/>
          <c:tx>
            <c:strRef>
              <c:f>LV_izvilkts_08.12!$C$5:$C$9</c:f>
              <c:strCache>
                <c:ptCount val="1"/>
                <c:pt idx="0">
                  <c:v>Mil EUR Esošais mēnesis (30.11..)/ % Iepriekšējais mēn(31.10.)/ % Pieaugums</c:v>
                </c:pt>
              </c:strCache>
            </c:strRef>
          </c:tx>
          <c:spPr>
            <a:solidFill>
              <a:schemeClr val="accent2"/>
            </a:solidFill>
            <a:ln>
              <a:noFill/>
            </a:ln>
            <a:effectLst/>
          </c:spPr>
          <c:invertIfNegative val="0"/>
          <c:dPt>
            <c:idx val="0"/>
            <c:invertIfNegative val="0"/>
            <c:bubble3D val="0"/>
            <c:spPr>
              <a:solidFill>
                <a:srgbClr val="FFD966"/>
              </a:solidFill>
              <a:ln>
                <a:noFill/>
              </a:ln>
              <a:effectLst/>
            </c:spPr>
            <c:extLst xmlns:c16r2="http://schemas.microsoft.com/office/drawing/2015/06/chart">
              <c:ext xmlns:c16="http://schemas.microsoft.com/office/drawing/2014/chart" uri="{C3380CC4-5D6E-409C-BE32-E72D297353CC}">
                <c16:uniqueId val="{00000003-2CEF-4A74-8AD6-6AA46D862305}"/>
              </c:ext>
            </c:extLst>
          </c:dPt>
          <c:dPt>
            <c:idx val="1"/>
            <c:invertIfNegative val="0"/>
            <c:bubble3D val="0"/>
            <c:spPr>
              <a:solidFill>
                <a:srgbClr val="C9C9C9"/>
              </a:solidFill>
              <a:ln>
                <a:noFill/>
              </a:ln>
              <a:effectLst/>
            </c:spPr>
            <c:extLst xmlns:c16r2="http://schemas.microsoft.com/office/drawing/2015/06/chart">
              <c:ext xmlns:c16="http://schemas.microsoft.com/office/drawing/2014/chart" uri="{C3380CC4-5D6E-409C-BE32-E72D297353CC}">
                <c16:uniqueId val="{00000005-2CEF-4A74-8AD6-6AA46D862305}"/>
              </c:ext>
            </c:extLst>
          </c:dPt>
          <c:dPt>
            <c:idx val="2"/>
            <c:invertIfNegative val="0"/>
            <c:bubble3D val="0"/>
            <c:spPr>
              <a:solidFill>
                <a:schemeClr val="accent6">
                  <a:lumMod val="60000"/>
                  <a:lumOff val="40000"/>
                </a:schemeClr>
              </a:solidFill>
              <a:ln>
                <a:noFill/>
              </a:ln>
              <a:effectLst/>
            </c:spPr>
            <c:extLst xmlns:c16r2="http://schemas.microsoft.com/office/drawing/2015/06/chart">
              <c:ext xmlns:c16="http://schemas.microsoft.com/office/drawing/2014/chart" uri="{C3380CC4-5D6E-409C-BE32-E72D297353CC}">
                <c16:uniqueId val="{00000007-2CEF-4A74-8AD6-6AA46D862305}"/>
              </c:ext>
            </c:extLst>
          </c:dPt>
          <c:dPt>
            <c:idx val="3"/>
            <c:invertIfNegative val="0"/>
            <c:bubble3D val="0"/>
            <c:spPr>
              <a:solidFill>
                <a:srgbClr val="5B9BD5"/>
              </a:solidFill>
              <a:ln>
                <a:noFill/>
              </a:ln>
              <a:effectLst/>
            </c:spPr>
            <c:extLst xmlns:c16r2="http://schemas.microsoft.com/office/drawing/2015/06/chart">
              <c:ext xmlns:c16="http://schemas.microsoft.com/office/drawing/2014/chart" uri="{C3380CC4-5D6E-409C-BE32-E72D297353CC}">
                <c16:uniqueId val="{00000009-2CEF-4A74-8AD6-6AA46D862305}"/>
              </c:ext>
            </c:extLst>
          </c:dPt>
          <c:dPt>
            <c:idx val="4"/>
            <c:invertIfNegative val="0"/>
            <c:bubble3D val="0"/>
            <c:spPr>
              <a:solidFill>
                <a:srgbClr val="A9D18E"/>
              </a:solidFill>
              <a:ln>
                <a:noFill/>
              </a:ln>
              <a:effectLst/>
            </c:spPr>
            <c:extLst xmlns:c16r2="http://schemas.microsoft.com/office/drawing/2015/06/chart">
              <c:ext xmlns:c16="http://schemas.microsoft.com/office/drawing/2014/chart" uri="{C3380CC4-5D6E-409C-BE32-E72D297353CC}">
                <c16:uniqueId val="{0000000B-2CEF-4A74-8AD6-6AA46D862305}"/>
              </c:ext>
            </c:extLst>
          </c:dPt>
          <c:dPt>
            <c:idx val="5"/>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D-2CEF-4A74-8AD6-6AA46D862305}"/>
              </c:ext>
            </c:extLst>
          </c:dPt>
          <c:dPt>
            <c:idx val="6"/>
            <c:invertIfNegative val="0"/>
            <c:bubble3D val="0"/>
            <c:spPr>
              <a:solidFill>
                <a:schemeClr val="bg1">
                  <a:lumMod val="65000"/>
                </a:schemeClr>
              </a:solidFill>
              <a:ln>
                <a:noFill/>
              </a:ln>
              <a:effectLst/>
            </c:spPr>
            <c:extLst xmlns:c16r2="http://schemas.microsoft.com/office/drawing/2015/06/chart">
              <c:ext xmlns:c16="http://schemas.microsoft.com/office/drawing/2014/chart" uri="{C3380CC4-5D6E-409C-BE32-E72D297353CC}">
                <c16:uniqueId val="{0000000F-2CEF-4A74-8AD6-6AA46D862305}"/>
              </c:ext>
            </c:extLst>
          </c:dPt>
          <c:dPt>
            <c:idx val="7"/>
            <c:invertIfNegative val="0"/>
            <c:bubble3D val="0"/>
            <c:spPr>
              <a:solidFill>
                <a:srgbClr val="F79646"/>
              </a:solidFill>
              <a:ln>
                <a:noFill/>
              </a:ln>
              <a:effectLst/>
            </c:spPr>
            <c:extLst xmlns:c16r2="http://schemas.microsoft.com/office/drawing/2015/06/chart">
              <c:ext xmlns:c16="http://schemas.microsoft.com/office/drawing/2014/chart" uri="{C3380CC4-5D6E-409C-BE32-E72D297353CC}">
                <c16:uniqueId val="{00000011-2CEF-4A74-8AD6-6AA46D862305}"/>
              </c:ext>
            </c:extLst>
          </c:dPt>
          <c:dPt>
            <c:idx val="8"/>
            <c:invertIfNegative val="0"/>
            <c:bubble3D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13-2CEF-4A74-8AD6-6AA46D862305}"/>
              </c:ext>
            </c:extLst>
          </c:dPt>
          <c:dPt>
            <c:idx val="9"/>
            <c:invertIfNegative val="0"/>
            <c:bubble3D val="0"/>
            <c:spPr>
              <a:solidFill>
                <a:srgbClr val="9BBB59"/>
              </a:solidFill>
              <a:ln>
                <a:noFill/>
              </a:ln>
              <a:effectLst/>
            </c:spPr>
            <c:extLst xmlns:c16r2="http://schemas.microsoft.com/office/drawing/2015/06/chart">
              <c:ext xmlns:c16="http://schemas.microsoft.com/office/drawing/2014/chart" uri="{C3380CC4-5D6E-409C-BE32-E72D297353CC}">
                <c16:uniqueId val="{00000015-2CEF-4A74-8AD6-6AA46D862305}"/>
              </c:ext>
            </c:extLst>
          </c:dPt>
          <c:dPt>
            <c:idx val="10"/>
            <c:invertIfNegative val="0"/>
            <c:bubble3D val="0"/>
            <c:spPr>
              <a:solidFill>
                <a:schemeClr val="accent1">
                  <a:lumMod val="60000"/>
                  <a:lumOff val="40000"/>
                </a:schemeClr>
              </a:solidFill>
              <a:ln>
                <a:noFill/>
              </a:ln>
              <a:effectLst/>
            </c:spPr>
            <c:extLst xmlns:c16r2="http://schemas.microsoft.com/office/drawing/2015/06/chart">
              <c:ext xmlns:c16="http://schemas.microsoft.com/office/drawing/2014/chart" uri="{C3380CC4-5D6E-409C-BE32-E72D297353CC}">
                <c16:uniqueId val="{00000017-2CEF-4A74-8AD6-6AA46D862305}"/>
              </c:ext>
            </c:extLst>
          </c:dPt>
          <c:dLbls>
            <c:dLbl>
              <c:idx val="0"/>
              <c:layout>
                <c:manualLayout>
                  <c:x val="0.11831344753403401"/>
                  <c:y val="1.5467904098994587E-3"/>
                </c:manualLayout>
              </c:layout>
              <c:tx>
                <c:rich>
                  <a:bodyPr/>
                  <a:lstStyle/>
                  <a:p>
                    <a:fld id="{489F327E-AEEF-46CE-B86F-88FCE2FAE9F5}" type="VALUE">
                      <a:rPr lang="en-US"/>
                      <a:pPr/>
                      <a:t>[VALUE]</a:t>
                    </a:fld>
                    <a:r>
                      <a:rPr lang="en-US"/>
                      <a:t> (5,0%) </a:t>
                    </a:r>
                    <a:r>
                      <a:rPr lang="en-US">
                        <a:latin typeface="Times New Roman" panose="02020603050405020304" pitchFamily="18" charset="0"/>
                        <a:cs typeface="Times New Roman" panose="02020603050405020304" pitchFamily="18" charset="0"/>
                      </a:rPr>
                      <a:t>↑0,4%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CEF-4A74-8AD6-6AA46D862305}"/>
                </c:ext>
                <c:ext xmlns:c15="http://schemas.microsoft.com/office/drawing/2012/chart" uri="{CE6537A1-D6FC-4f65-9D91-7224C49458BB}">
                  <c15:layout>
                    <c:manualLayout>
                      <c:w val="0.20557174314563337"/>
                      <c:h val="5.3488012374323282E-2"/>
                    </c:manualLayout>
                  </c15:layout>
                  <c15:dlblFieldTable/>
                  <c15:showDataLabelsRange val="0"/>
                </c:ext>
              </c:extLst>
            </c:dLbl>
            <c:dLbl>
              <c:idx val="1"/>
              <c:layout>
                <c:manualLayout>
                  <c:x val="0.16288113744236077"/>
                  <c:y val="-1.5466686153791074E-3"/>
                </c:manualLayout>
              </c:layout>
              <c:tx>
                <c:rich>
                  <a:bodyPr/>
                  <a:lstStyle/>
                  <a:p>
                    <a:fld id="{5FA50F4E-52FE-4052-AA61-C6665E5C0E21}" type="VALUE">
                      <a:rPr lang="en-US"/>
                      <a:pPr/>
                      <a:t>[VALUE]</a:t>
                    </a:fld>
                    <a:r>
                      <a:rPr lang="en-US"/>
                      <a:t> (27,6%) </a:t>
                    </a:r>
                    <a:r>
                      <a:rPr lang="en-US">
                        <a:latin typeface="Times New Roman" panose="02020603050405020304" pitchFamily="18" charset="0"/>
                        <a:cs typeface="Times New Roman" panose="02020603050405020304" pitchFamily="18" charset="0"/>
                      </a:rPr>
                      <a:t>↑1,2%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CEF-4A74-8AD6-6AA46D862305}"/>
                </c:ext>
                <c:ext xmlns:c15="http://schemas.microsoft.com/office/drawing/2012/chart" uri="{CE6537A1-D6FC-4f65-9D91-7224C49458BB}">
                  <c15:layout>
                    <c:manualLayout>
                      <c:w val="0.30165316291985239"/>
                      <c:h val="5.9675174013921105E-2"/>
                    </c:manualLayout>
                  </c15:layout>
                  <c15:dlblFieldTable/>
                  <c15:showDataLabelsRange val="0"/>
                </c:ext>
              </c:extLst>
            </c:dLbl>
            <c:dLbl>
              <c:idx val="2"/>
              <c:layout>
                <c:manualLayout>
                  <c:x val="0.17199450226450391"/>
                  <c:y val="-1.4592690925181696E-3"/>
                </c:manualLayout>
              </c:layout>
              <c:tx>
                <c:rich>
                  <a:bodyPr/>
                  <a:lstStyle/>
                  <a:p>
                    <a:fld id="{5C685BE9-56FF-4DE9-BE00-C617ED8DBE3A}" type="VALUE">
                      <a:rPr lang="en-US"/>
                      <a:pPr/>
                      <a:t>[VALUE]</a:t>
                    </a:fld>
                    <a:r>
                      <a:rPr lang="en-US" baseline="0"/>
                      <a:t> (29,3%) </a:t>
                    </a:r>
                    <a:r>
                      <a:rPr lang="en-US" baseline="0">
                        <a:latin typeface="Times New Roman" panose="02020603050405020304" pitchFamily="18" charset="0"/>
                        <a:cs typeface="Times New Roman" panose="02020603050405020304" pitchFamily="18" charset="0"/>
                      </a:rPr>
                      <a:t>↑2,1%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CEF-4A74-8AD6-6AA46D862305}"/>
                </c:ext>
                <c:ext xmlns:c15="http://schemas.microsoft.com/office/drawing/2012/chart" uri="{CE6537A1-D6FC-4f65-9D91-7224C49458BB}">
                  <c15:layout>
                    <c:manualLayout>
                      <c:w val="0.27141806800963758"/>
                      <c:h val="5.0394428179156583E-2"/>
                    </c:manualLayout>
                  </c15:layout>
                  <c15:dlblFieldTable/>
                  <c15:showDataLabelsRange val="0"/>
                </c:ext>
              </c:extLst>
            </c:dLbl>
            <c:dLbl>
              <c:idx val="3"/>
              <c:layout>
                <c:manualLayout>
                  <c:x val="0.21353568974225226"/>
                  <c:y val="-2.4542197814187774E-3"/>
                </c:manualLayout>
              </c:layout>
              <c:tx>
                <c:rich>
                  <a:bodyPr rot="0" spcFirstLastPara="1" vertOverflow="ellipsis" vert="horz" wrap="square" anchor="ctr" anchorCtr="0"/>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0C9B7711-314F-41F0-91B3-78DD8C02498D}" type="VALUE">
                      <a:rPr lang="en-US" sz="1100"/>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solidFill>
                        </a:defRPr>
                      </a:pPr>
                      <a:t>[VALUE]</a:t>
                    </a:fld>
                    <a:r>
                      <a:rPr lang="en-US" sz="1100"/>
                      <a:t> (7,3</a:t>
                    </a:r>
                    <a:r>
                      <a:rPr lang="en-US" sz="1100">
                        <a:latin typeface="Times New Roman" panose="02020603050405020304" pitchFamily="18" charset="0"/>
                        <a:cs typeface="Times New Roman" panose="02020603050405020304" pitchFamily="18" charset="0"/>
                      </a:rPr>
                      <a:t>% no iesniegtajiem projektiem</a:t>
                    </a:r>
                    <a:r>
                      <a:rPr lang="en-US" sz="1100"/>
                      <a:t>)</a:t>
                    </a:r>
                  </a:p>
                </c:rich>
              </c:tx>
              <c:numFmt formatCode="#,##0.0" sourceLinked="0"/>
              <c:spPr>
                <a:noFill/>
                <a:ln>
                  <a:noFill/>
                </a:ln>
                <a:effectLst/>
              </c:spPr>
              <c:txPr>
                <a:bodyPr rot="0" spcFirstLastPara="1" vertOverflow="ellipsis" vert="horz" wrap="square" anchor="ctr" anchorCtr="0"/>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CEF-4A74-8AD6-6AA46D862305}"/>
                </c:ext>
                <c:ext xmlns:c15="http://schemas.microsoft.com/office/drawing/2012/chart" uri="{CE6537A1-D6FC-4f65-9D91-7224C49458BB}">
                  <c15:layout>
                    <c:manualLayout>
                      <c:w val="0.4230800566332994"/>
                      <c:h val="4.7153655446648846E-2"/>
                    </c:manualLayout>
                  </c15:layout>
                  <c15:dlblFieldTable/>
                  <c15:showDataLabelsRange val="0"/>
                </c:ext>
              </c:extLst>
            </c:dLbl>
            <c:dLbl>
              <c:idx val="4"/>
              <c:layout>
                <c:manualLayout>
                  <c:x val="0.19537173825779744"/>
                  <c:y val="3.0652271679470363E-3"/>
                </c:manualLayout>
              </c:layout>
              <c:tx>
                <c:rich>
                  <a:bodyPr/>
                  <a:lstStyle/>
                  <a:p>
                    <a:fld id="{3A7F3F90-B631-4989-9B3D-A825AC04F2D3}" type="VALUE">
                      <a:rPr lang="en-US"/>
                      <a:pPr/>
                      <a:t>[VALUE]</a:t>
                    </a:fld>
                    <a:r>
                      <a:rPr lang="en-US"/>
                      <a:t> (45,1%) </a:t>
                    </a:r>
                    <a:r>
                      <a:rPr lang="en-US">
                        <a:latin typeface="Times New Roman" panose="02020603050405020304" pitchFamily="18" charset="0"/>
                        <a:cs typeface="Times New Roman" panose="02020603050405020304" pitchFamily="18" charset="0"/>
                      </a:rPr>
                      <a:t>↑6,0%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CEF-4A74-8AD6-6AA46D862305}"/>
                </c:ext>
                <c:ext xmlns:c15="http://schemas.microsoft.com/office/drawing/2012/chart" uri="{CE6537A1-D6FC-4f65-9D91-7224C49458BB}">
                  <c15:layout>
                    <c:manualLayout>
                      <c:w val="0.25310696573023012"/>
                      <c:h val="5.0394428179156583E-2"/>
                    </c:manualLayout>
                  </c15:layout>
                  <c15:dlblFieldTable/>
                  <c15:showDataLabelsRange val="0"/>
                </c:ext>
              </c:extLst>
            </c:dLbl>
            <c:dLbl>
              <c:idx val="5"/>
              <c:layout>
                <c:manualLayout>
                  <c:x val="0.24480704107570142"/>
                  <c:y val="-1.5609827062610809E-3"/>
                </c:manualLayout>
              </c:layout>
              <c:tx>
                <c:rich>
                  <a:bodyPr/>
                  <a:lstStyle/>
                  <a:p>
                    <a:fld id="{24243CAE-B4D2-401D-B9BA-E772618E40DC}" type="VALUE">
                      <a:rPr lang="en-US"/>
                      <a:pPr/>
                      <a:t>[VALUE]</a:t>
                    </a:fld>
                    <a:r>
                      <a:rPr lang="en-US"/>
                      <a:t> (68,2%) </a:t>
                    </a:r>
                    <a:r>
                      <a:rPr lang="en-US">
                        <a:latin typeface="Times New Roman" panose="02020603050405020304" pitchFamily="18" charset="0"/>
                        <a:cs typeface="Times New Roman" panose="02020603050405020304" pitchFamily="18" charset="0"/>
                      </a:rPr>
                      <a:t>↑5,6%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CEF-4A74-8AD6-6AA46D862305}"/>
                </c:ext>
                <c:ext xmlns:c15="http://schemas.microsoft.com/office/drawing/2012/chart" uri="{CE6537A1-D6FC-4f65-9D91-7224C49458BB}">
                  <c15:layout>
                    <c:manualLayout>
                      <c:w val="0.25663164344204609"/>
                      <c:h val="4.7300831045080101E-2"/>
                    </c:manualLayout>
                  </c15:layout>
                  <c15:dlblFieldTable/>
                  <c15:showDataLabelsRange val="0"/>
                </c:ext>
              </c:extLst>
            </c:dLbl>
            <c:dLbl>
              <c:idx val="6"/>
              <c:layout>
                <c:manualLayout>
                  <c:x val="0.27187254195749189"/>
                  <c:y val="-4.6403957011147846E-3"/>
                </c:manualLayout>
              </c:layout>
              <c:tx>
                <c:rich>
                  <a:bodyPr/>
                  <a:lstStyle/>
                  <a:p>
                    <a:fld id="{FB32D4EF-3BF3-4D25-8786-5FA103E5C866}" type="VALUE">
                      <a:rPr lang="en-US"/>
                      <a:pPr/>
                      <a:t>[VALUE]</a:t>
                    </a:fld>
                    <a:r>
                      <a:rPr lang="en-US"/>
                      <a:t> (80,7%) </a:t>
                    </a:r>
                    <a:r>
                      <a:rPr lang="en-US">
                        <a:latin typeface="Times New Roman" panose="02020603050405020304" pitchFamily="18" charset="0"/>
                        <a:cs typeface="Times New Roman" panose="02020603050405020304" pitchFamily="18" charset="0"/>
                      </a:rPr>
                      <a:t>↑0,4%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CEF-4A74-8AD6-6AA46D862305}"/>
                </c:ext>
                <c:ext xmlns:c15="http://schemas.microsoft.com/office/drawing/2012/chart" uri="{CE6537A1-D6FC-4f65-9D91-7224C49458BB}">
                  <c15:layout>
                    <c:manualLayout>
                      <c:w val="0.25859609031520897"/>
                      <c:h val="5.3488025313233066E-2"/>
                    </c:manualLayout>
                  </c15:layout>
                  <c15:dlblFieldTable/>
                  <c15:showDataLabelsRange val="0"/>
                </c:ext>
              </c:extLst>
            </c:dLbl>
            <c:dLbl>
              <c:idx val="7"/>
              <c:layout>
                <c:manualLayout>
                  <c:x val="0.29046623115328252"/>
                  <c:y val="-1.0195607766119304E-3"/>
                </c:manualLayout>
              </c:layout>
              <c:tx>
                <c:rich>
                  <a:bodyPr/>
                  <a:lstStyle/>
                  <a:p>
                    <a:fld id="{B434583B-C039-486E-A272-E8B566240919}" type="VALUE">
                      <a:rPr lang="en-US"/>
                      <a:pPr/>
                      <a:t>[VALUE]</a:t>
                    </a:fld>
                    <a:r>
                      <a:rPr lang="en-US"/>
                      <a:t> (94,9%) </a:t>
                    </a:r>
                    <a:r>
                      <a:rPr lang="en-US">
                        <a:latin typeface="Times New Roman" panose="02020603050405020304" pitchFamily="18" charset="0"/>
                        <a:cs typeface="Times New Roman" panose="02020603050405020304" pitchFamily="18" charset="0"/>
                      </a:rPr>
                      <a:t>↑11,5%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2CEF-4A74-8AD6-6AA46D862305}"/>
                </c:ext>
                <c:ext xmlns:c15="http://schemas.microsoft.com/office/drawing/2012/chart" uri="{CE6537A1-D6FC-4f65-9D91-7224C49458BB}">
                  <c15:layout>
                    <c:manualLayout>
                      <c:w val="0.24136615415186666"/>
                      <c:h val="4.1142247519291034E-2"/>
                    </c:manualLayout>
                  </c15:layout>
                  <c15:dlblFieldTable/>
                  <c15:showDataLabelsRange val="0"/>
                </c:ext>
              </c:extLst>
            </c:dLbl>
            <c:dLbl>
              <c:idx val="8"/>
              <c:layout>
                <c:manualLayout>
                  <c:x val="0.29223569057022442"/>
                  <c:y val="-4.1062476890158048E-3"/>
                </c:manualLayout>
              </c:layout>
              <c:tx>
                <c:rich>
                  <a:bodyPr/>
                  <a:lstStyle/>
                  <a:p>
                    <a:fld id="{40ABC9B8-FF40-4B67-AF4E-81083BD3D975}" type="VALUE">
                      <a:rPr lang="en-US"/>
                      <a:pPr/>
                      <a:t>[VALUE]</a:t>
                    </a:fld>
                    <a:r>
                      <a:rPr lang="en-US"/>
                      <a:t> (91,3%) </a:t>
                    </a:r>
                    <a:r>
                      <a:rPr lang="en-US">
                        <a:latin typeface="Times New Roman" panose="02020603050405020304" pitchFamily="18" charset="0"/>
                        <a:cs typeface="Times New Roman" panose="02020603050405020304" pitchFamily="18" charset="0"/>
                      </a:rPr>
                      <a:t>↑10,9%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2CEF-4A74-8AD6-6AA46D862305}"/>
                </c:ext>
                <c:ext xmlns:c15="http://schemas.microsoft.com/office/drawing/2012/chart" uri="{CE6537A1-D6FC-4f65-9D91-7224C49458BB}">
                  <c15:layout>
                    <c:manualLayout>
                      <c:w val="0.25262508590211707"/>
                      <c:h val="5.3240954580446496E-2"/>
                    </c:manualLayout>
                  </c15:layout>
                  <c15:dlblFieldTable/>
                  <c15:showDataLabelsRange val="0"/>
                </c:ext>
              </c:extLst>
            </c:dLbl>
            <c:dLbl>
              <c:idx val="9"/>
              <c:layout>
                <c:manualLayout>
                  <c:x val="0.29216241502935164"/>
                  <c:y val="-2.4397931782776574E-3"/>
                </c:manualLayout>
              </c:layout>
              <c:tx>
                <c:rich>
                  <a:bodyPr/>
                  <a:lstStyle/>
                  <a:p>
                    <a:fld id="{872381E1-255C-4F6E-92F7-7D7A216B19D9}" type="VALUE">
                      <a:rPr lang="en-US"/>
                      <a:pPr/>
                      <a:t>[VALUE]</a:t>
                    </a:fld>
                    <a:r>
                      <a:rPr lang="en-US"/>
                      <a:t> (95,9%) </a:t>
                    </a:r>
                    <a:r>
                      <a:rPr lang="en-US">
                        <a:latin typeface="Times New Roman" panose="02020603050405020304" pitchFamily="18" charset="0"/>
                        <a:cs typeface="Times New Roman" panose="02020603050405020304" pitchFamily="18" charset="0"/>
                      </a:rPr>
                      <a:t>↑0,2%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2CEF-4A74-8AD6-6AA46D862305}"/>
                </c:ext>
                <c:ext xmlns:c15="http://schemas.microsoft.com/office/drawing/2012/chart" uri="{CE6537A1-D6FC-4f65-9D91-7224C49458BB}">
                  <c15:layout>
                    <c:manualLayout>
                      <c:w val="0.23447957806536013"/>
                      <c:h val="5.6320246343341027E-2"/>
                    </c:manualLayout>
                  </c15:layout>
                  <c15:dlblFieldTable/>
                  <c15:showDataLabelsRange val="0"/>
                </c:ext>
              </c:extLst>
            </c:dLbl>
            <c:dLbl>
              <c:idx val="10"/>
              <c:layout/>
              <c:tx>
                <c:rich>
                  <a:bodyPr/>
                  <a:lstStyle/>
                  <a:p>
                    <a:fld id="{1DBBE3E3-6395-4E39-A2E7-CD57422C3C25}" type="VALUE">
                      <a:rPr lang="en-US"/>
                      <a:pPr/>
                      <a:t>[VALUE]</a:t>
                    </a:fld>
                    <a:r>
                      <a:rPr lang="en-US"/>
                      <a:t> (100%)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2CEF-4A74-8AD6-6AA46D862305}"/>
                </c:ext>
                <c:ext xmlns:c15="http://schemas.microsoft.com/office/drawing/2012/chart" uri="{CE6537A1-D6FC-4f65-9D91-7224C49458BB}">
                  <c15:layout/>
                  <c15:dlblFieldTable/>
                  <c15:showDataLabelsRange val="0"/>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LV_izvilkts_08.12!$D$3:$O$3</c:f>
              <c:strCache>
                <c:ptCount val="12"/>
                <c:pt idx="0">
                  <c:v>Veikti maksājumi projektos</c:v>
                </c:pt>
                <c:pt idx="1">
                  <c:v>Noslēgti līgumi, skaits - 142</c:v>
                </c:pt>
                <c:pt idx="2">
                  <c:v>Apstiprināti projekti, skaits - 159</c:v>
                </c:pt>
                <c:pt idx="3">
                  <c:v>Noraidīti/atsaukti projekti, skaits - 283</c:v>
                </c:pt>
                <c:pt idx="4">
                  <c:v>Iesniegti projekti, skaits - 793</c:v>
                </c:pt>
                <c:pt idx="5">
                  <c:v>MKN uzsākta projektu atlase, skaits - 91</c:v>
                </c:pt>
                <c:pt idx="6">
                  <c:v>Apstiprināti MKN, skaits - 94</c:v>
                </c:pt>
                <c:pt idx="7">
                  <c:v>MKN VSS, skaits - 101</c:v>
                </c:pt>
                <c:pt idx="8">
                  <c:v>Apstiprinātie kritēriji, skaits - 100</c:v>
                </c:pt>
                <c:pt idx="9">
                  <c:v>Iesniegti kritēriji, skaits - 104</c:v>
                </c:pt>
                <c:pt idx="10">
                  <c:v>Pieejamais ES fondu finansējums</c:v>
                </c:pt>
                <c:pt idx="11">
                  <c:v>Pieejamais ''virssaistību'' apjoms</c:v>
                </c:pt>
              </c:strCache>
            </c:strRef>
          </c:cat>
          <c:val>
            <c:numRef>
              <c:f>LV_izvilkts_08.12!$D$5:$N$5</c:f>
              <c:numCache>
                <c:formatCode>General</c:formatCode>
                <c:ptCount val="11"/>
                <c:pt idx="0" formatCode="#,##0.00">
                  <c:v>222374350.80000001</c:v>
                </c:pt>
                <c:pt idx="1">
                  <c:v>1217283637.24</c:v>
                </c:pt>
                <c:pt idx="2">
                  <c:v>1292531939.1300001</c:v>
                </c:pt>
                <c:pt idx="3" formatCode="#,##0.00">
                  <c:v>144746231.5</c:v>
                </c:pt>
                <c:pt idx="4">
                  <c:v>1991364467</c:v>
                </c:pt>
                <c:pt idx="5" formatCode="#,##0">
                  <c:v>3011481756</c:v>
                </c:pt>
                <c:pt idx="6" formatCode="#,##0">
                  <c:v>3566332980</c:v>
                </c:pt>
                <c:pt idx="7" formatCode="#,##0">
                  <c:v>4191208571</c:v>
                </c:pt>
                <c:pt idx="8" formatCode="#,##0">
                  <c:v>4035341873</c:v>
                </c:pt>
                <c:pt idx="9" formatCode="#,##0">
                  <c:v>4236388294</c:v>
                </c:pt>
                <c:pt idx="10" formatCode="#,##0">
                  <c:v>4418233214</c:v>
                </c:pt>
              </c:numCache>
            </c:numRef>
          </c:val>
          <c:extLst xmlns:c16r2="http://schemas.microsoft.com/office/drawing/2015/06/chart">
            <c:ext xmlns:c16="http://schemas.microsoft.com/office/drawing/2014/chart" uri="{C3380CC4-5D6E-409C-BE32-E72D297353CC}">
              <c16:uniqueId val="{00000018-2CEF-4A74-8AD6-6AA46D862305}"/>
            </c:ext>
          </c:extLst>
        </c:ser>
        <c:ser>
          <c:idx val="2"/>
          <c:order val="2"/>
          <c:tx>
            <c:strRef>
              <c:f>LV_izvilkts_08.12!$O$3</c:f>
              <c:strCache>
                <c:ptCount val="1"/>
                <c:pt idx="0">
                  <c:v>Pieejamais ''virssaistību'' apjoms</c:v>
                </c:pt>
              </c:strCache>
            </c:strRef>
          </c:tx>
          <c:spPr>
            <a:solidFill>
              <a:srgbClr val="FF0000"/>
            </a:solidFill>
            <a:ln>
              <a:noFill/>
            </a:ln>
            <a:effectLst/>
          </c:spPr>
          <c:invertIfNegative val="0"/>
          <c:dLbls>
            <c:dLbl>
              <c:idx val="8"/>
              <c:layout>
                <c:manualLayout>
                  <c:x val="5.2511415525114152E-2"/>
                  <c:y val="0"/>
                </c:manualLayout>
              </c:layout>
              <c:tx>
                <c:rich>
                  <a:bodyPr/>
                  <a:lstStyle/>
                  <a:p>
                    <a:fld id="{B96E0241-0EDD-4867-9595-D7F9D488EC81}" type="VALUE">
                      <a:rPr lang="en-US">
                        <a:solidFill>
                          <a:schemeClr val="tx1">
                            <a:lumMod val="95000"/>
                            <a:lumOff val="5000"/>
                          </a:schemeClr>
                        </a:solidFill>
                        <a:latin typeface="Times New Roman" panose="02020603050405020304" pitchFamily="18" charset="0"/>
                        <a:cs typeface="Times New Roman" panose="02020603050405020304" pitchFamily="18" charset="0"/>
                      </a:rPr>
                      <a:pPr/>
                      <a:t>[VALUE]</a:t>
                    </a:fld>
                    <a:r>
                      <a:rPr lang="en-US">
                        <a:solidFill>
                          <a:schemeClr val="tx1">
                            <a:lumMod val="95000"/>
                            <a:lumOff val="5000"/>
                          </a:schemeClr>
                        </a:solidFill>
                        <a:latin typeface="Times New Roman" panose="02020603050405020304" pitchFamily="18" charset="0"/>
                        <a:cs typeface="Times New Roman" panose="02020603050405020304" pitchFamily="18" charset="0"/>
                      </a:rPr>
                      <a:t> (1,2%)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2CEF-4A74-8AD6-6AA46D862305}"/>
                </c:ext>
                <c:ext xmlns:c15="http://schemas.microsoft.com/office/drawing/2012/chart" uri="{CE6537A1-D6FC-4f65-9D91-7224C49458BB}">
                  <c15:dlblFieldTable/>
                  <c15:showDataLabelsRange val="0"/>
                </c:ext>
              </c:extLst>
            </c:dLbl>
            <c:dLbl>
              <c:idx val="9"/>
              <c:layout>
                <c:manualLayout>
                  <c:x val="5.1522241909649581E-2"/>
                  <c:y val="-2.3526611851271323E-17"/>
                </c:manualLayout>
              </c:layout>
              <c:tx>
                <c:rich>
                  <a:bodyPr/>
                  <a:lstStyle/>
                  <a:p>
                    <a:fld id="{B060E773-9110-48CD-8C3E-82AF6EBFF400}" type="VALUE">
                      <a:rPr lang="en-US"/>
                      <a:pPr/>
                      <a:t>[VALUE]</a:t>
                    </a:fld>
                    <a:r>
                      <a:rPr lang="en-US"/>
                      <a:t> (1,2%)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2CEF-4A74-8AD6-6AA46D862305}"/>
                </c:ext>
                <c:ext xmlns:c15="http://schemas.microsoft.com/office/drawing/2012/chart" uri="{CE6537A1-D6FC-4f65-9D91-7224C49458BB}">
                  <c15:dlblFieldTable/>
                  <c15:showDataLabelsRange val="0"/>
                </c:ext>
              </c:extLst>
            </c:dLbl>
            <c:dLbl>
              <c:idx val="10"/>
              <c:layout>
                <c:manualLayout>
                  <c:x val="7.3702774534886453E-2"/>
                  <c:y val="-3.0792917628945341E-3"/>
                </c:manualLayout>
              </c:layout>
              <c:tx>
                <c:rich>
                  <a:bodyPr/>
                  <a:lstStyle/>
                  <a:p>
                    <a:fld id="{2A33641C-09A9-41A5-88F1-67B7E35E633C}" type="VALUE">
                      <a:rPr lang="en-US"/>
                      <a:pPr/>
                      <a:t>[VALUE]</a:t>
                    </a:fld>
                    <a:r>
                      <a:rPr lang="en-US"/>
                      <a:t> (1,2%)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2CEF-4A74-8AD6-6AA46D862305}"/>
                </c:ext>
                <c:ext xmlns:c15="http://schemas.microsoft.com/office/drawing/2012/chart" uri="{CE6537A1-D6FC-4f65-9D91-7224C49458BB}">
                  <c15:layout/>
                  <c15:dlblFieldTable/>
                  <c15:showDataLabelsRange val="0"/>
                </c:ext>
              </c:extLst>
            </c:dLbl>
            <c:numFmt formatCode="#,##0.0" sourceLinked="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LV_izvilkts_08.12!$D$3:$O$3</c:f>
              <c:strCache>
                <c:ptCount val="12"/>
                <c:pt idx="0">
                  <c:v>Veikti maksājumi projektos</c:v>
                </c:pt>
                <c:pt idx="1">
                  <c:v>Noslēgti līgumi, skaits - 142</c:v>
                </c:pt>
                <c:pt idx="2">
                  <c:v>Apstiprināti projekti, skaits - 159</c:v>
                </c:pt>
                <c:pt idx="3">
                  <c:v>Noraidīti/atsaukti projekti, skaits - 283</c:v>
                </c:pt>
                <c:pt idx="4">
                  <c:v>Iesniegti projekti, skaits - 793</c:v>
                </c:pt>
                <c:pt idx="5">
                  <c:v>MKN uzsākta projektu atlase, skaits - 91</c:v>
                </c:pt>
                <c:pt idx="6">
                  <c:v>Apstiprināti MKN, skaits - 94</c:v>
                </c:pt>
                <c:pt idx="7">
                  <c:v>MKN VSS, skaits - 101</c:v>
                </c:pt>
                <c:pt idx="8">
                  <c:v>Apstiprinātie kritēriji, skaits - 100</c:v>
                </c:pt>
                <c:pt idx="9">
                  <c:v>Iesniegti kritēriji, skaits - 104</c:v>
                </c:pt>
                <c:pt idx="10">
                  <c:v>Pieejamais ES fondu finansējums</c:v>
                </c:pt>
                <c:pt idx="11">
                  <c:v>Pieejamais ''virssaistību'' apjoms</c:v>
                </c:pt>
              </c:strCache>
            </c:strRef>
          </c:cat>
          <c:val>
            <c:numRef>
              <c:f>LV_izvilkts_08.12!$D$6:$N$6</c:f>
              <c:numCache>
                <c:formatCode>General</c:formatCode>
                <c:ptCount val="11"/>
                <c:pt idx="10" formatCode="#,##0">
                  <c:v>53000000</c:v>
                </c:pt>
              </c:numCache>
            </c:numRef>
          </c:val>
          <c:extLst xmlns:c16r2="http://schemas.microsoft.com/office/drawing/2015/06/chart">
            <c:ext xmlns:c16="http://schemas.microsoft.com/office/drawing/2014/chart" uri="{C3380CC4-5D6E-409C-BE32-E72D297353CC}">
              <c16:uniqueId val="{0000001C-2CEF-4A74-8AD6-6AA46D862305}"/>
            </c:ext>
          </c:extLst>
        </c:ser>
        <c:ser>
          <c:idx val="3"/>
          <c:order val="3"/>
          <c:tx>
            <c:strRef>
              <c:f>'Ikmēneša ziņojumam - lielais gr'!#REF!</c:f>
              <c:strCache>
                <c:ptCount val="1"/>
                <c:pt idx="0">
                  <c:v>#REF!</c:v>
                </c:pt>
              </c:strCache>
            </c:strRef>
          </c:tx>
          <c:spPr>
            <a:solidFill>
              <a:schemeClr val="accent4"/>
            </a:solidFill>
            <a:ln>
              <a:noFill/>
            </a:ln>
            <a:effectLst/>
          </c:spPr>
          <c:invertIfNegative val="0"/>
          <c:cat>
            <c:strRef>
              <c:f>LV_izvilkts_08.12!$D$3:$O$3</c:f>
              <c:strCache>
                <c:ptCount val="12"/>
                <c:pt idx="0">
                  <c:v>Veikti maksājumi projektos</c:v>
                </c:pt>
                <c:pt idx="1">
                  <c:v>Noslēgti līgumi, skaits - 142</c:v>
                </c:pt>
                <c:pt idx="2">
                  <c:v>Apstiprināti projekti, skaits - 159</c:v>
                </c:pt>
                <c:pt idx="3">
                  <c:v>Noraidīti/atsaukti projekti, skaits - 283</c:v>
                </c:pt>
                <c:pt idx="4">
                  <c:v>Iesniegti projekti, skaits - 793</c:v>
                </c:pt>
                <c:pt idx="5">
                  <c:v>MKN uzsākta projektu atlase, skaits - 91</c:v>
                </c:pt>
                <c:pt idx="6">
                  <c:v>Apstiprināti MKN, skaits - 94</c:v>
                </c:pt>
                <c:pt idx="7">
                  <c:v>MKN VSS, skaits - 101</c:v>
                </c:pt>
                <c:pt idx="8">
                  <c:v>Apstiprinātie kritēriji, skaits - 100</c:v>
                </c:pt>
                <c:pt idx="9">
                  <c:v>Iesniegti kritēriji, skaits - 104</c:v>
                </c:pt>
                <c:pt idx="10">
                  <c:v>Pieejamais ES fondu finansējums</c:v>
                </c:pt>
                <c:pt idx="11">
                  <c:v>Pieejamais ''virssaistību'' apjoms</c:v>
                </c:pt>
              </c:strCache>
            </c:strRef>
          </c:cat>
          <c:val>
            <c:numRef>
              <c:f>'Ikmēneša ziņojumam - lielais gr'!#REF!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1D-2CEF-4A74-8AD6-6AA46D862305}"/>
            </c:ext>
          </c:extLst>
        </c:ser>
        <c:ser>
          <c:idx val="4"/>
          <c:order val="4"/>
          <c:tx>
            <c:strRef>
              <c:f>LV_izvilkts_08.12!$C$7</c:f>
              <c:strCache>
                <c:ptCount val="1"/>
                <c:pt idx="0">
                  <c:v>Esošais mēnesis (30.11..)/ %</c:v>
                </c:pt>
              </c:strCache>
            </c:strRef>
          </c:tx>
          <c:spPr>
            <a:solidFill>
              <a:schemeClr val="accent5"/>
            </a:solidFill>
            <a:ln>
              <a:noFill/>
            </a:ln>
            <a:effectLst/>
          </c:spPr>
          <c:invertIfNegative val="0"/>
          <c:cat>
            <c:strRef>
              <c:f>LV_izvilkts_08.12!$D$3:$O$3</c:f>
              <c:strCache>
                <c:ptCount val="12"/>
                <c:pt idx="0">
                  <c:v>Veikti maksājumi projektos</c:v>
                </c:pt>
                <c:pt idx="1">
                  <c:v>Noslēgti līgumi, skaits - 142</c:v>
                </c:pt>
                <c:pt idx="2">
                  <c:v>Apstiprināti projekti, skaits - 159</c:v>
                </c:pt>
                <c:pt idx="3">
                  <c:v>Noraidīti/atsaukti projekti, skaits - 283</c:v>
                </c:pt>
                <c:pt idx="4">
                  <c:v>Iesniegti projekti, skaits - 793</c:v>
                </c:pt>
                <c:pt idx="5">
                  <c:v>MKN uzsākta projektu atlase, skaits - 91</c:v>
                </c:pt>
                <c:pt idx="6">
                  <c:v>Apstiprināti MKN, skaits - 94</c:v>
                </c:pt>
                <c:pt idx="7">
                  <c:v>MKN VSS, skaits - 101</c:v>
                </c:pt>
                <c:pt idx="8">
                  <c:v>Apstiprinātie kritēriji, skaits - 100</c:v>
                </c:pt>
                <c:pt idx="9">
                  <c:v>Iesniegti kritēriji, skaits - 104</c:v>
                </c:pt>
                <c:pt idx="10">
                  <c:v>Pieejamais ES fondu finansējums</c:v>
                </c:pt>
                <c:pt idx="11">
                  <c:v>Pieejamais ''virssaistību'' apjoms</c:v>
                </c:pt>
              </c:strCache>
            </c:strRef>
          </c:cat>
          <c:val>
            <c:numRef>
              <c:f>LV_izvilkts_08.12!$D$7:$N$7</c:f>
              <c:numCache>
                <c:formatCode>0.0%</c:formatCode>
                <c:ptCount val="11"/>
                <c:pt idx="0">
                  <c:v>5.0331057694140091E-2</c:v>
                </c:pt>
                <c:pt idx="1">
                  <c:v>0.27551366763139817</c:v>
                </c:pt>
                <c:pt idx="2">
                  <c:v>0.29254497816782743</c:v>
                </c:pt>
                <c:pt idx="3">
                  <c:v>7.2686961075518683E-2</c:v>
                </c:pt>
                <c:pt idx="4">
                  <c:v>0.45071510953518445</c:v>
                </c:pt>
                <c:pt idx="5">
                  <c:v>0.68160316808482535</c:v>
                </c:pt>
                <c:pt idx="6">
                  <c:v>0.80718531758337375</c:v>
                </c:pt>
                <c:pt idx="7">
                  <c:v>0.94861641927804308</c:v>
                </c:pt>
                <c:pt idx="8">
                  <c:v>0.91333835891986481</c:v>
                </c:pt>
                <c:pt idx="9">
                  <c:v>0.9588421635544746</c:v>
                </c:pt>
              </c:numCache>
            </c:numRef>
          </c:val>
          <c:extLst xmlns:c16r2="http://schemas.microsoft.com/office/drawing/2015/06/chart">
            <c:ext xmlns:c16="http://schemas.microsoft.com/office/drawing/2014/chart" uri="{C3380CC4-5D6E-409C-BE32-E72D297353CC}">
              <c16:uniqueId val="{0000001E-2CEF-4A74-8AD6-6AA46D862305}"/>
            </c:ext>
          </c:extLst>
        </c:ser>
        <c:ser>
          <c:idx val="5"/>
          <c:order val="5"/>
          <c:tx>
            <c:strRef>
              <c:f>LV_izvilkts_08.12!$C$8</c:f>
              <c:strCache>
                <c:ptCount val="1"/>
                <c:pt idx="0">
                  <c:v>Iepriekšējais mēn(31.10.)/ %</c:v>
                </c:pt>
              </c:strCache>
            </c:strRef>
          </c:tx>
          <c:spPr>
            <a:solidFill>
              <a:schemeClr val="accent6"/>
            </a:solidFill>
            <a:ln>
              <a:noFill/>
            </a:ln>
            <a:effectLst/>
          </c:spPr>
          <c:invertIfNegative val="0"/>
          <c:cat>
            <c:strRef>
              <c:f>LV_izvilkts_08.12!$D$3:$O$3</c:f>
              <c:strCache>
                <c:ptCount val="12"/>
                <c:pt idx="0">
                  <c:v>Veikti maksājumi projektos</c:v>
                </c:pt>
                <c:pt idx="1">
                  <c:v>Noslēgti līgumi, skaits - 142</c:v>
                </c:pt>
                <c:pt idx="2">
                  <c:v>Apstiprināti projekti, skaits - 159</c:v>
                </c:pt>
                <c:pt idx="3">
                  <c:v>Noraidīti/atsaukti projekti, skaits - 283</c:v>
                </c:pt>
                <c:pt idx="4">
                  <c:v>Iesniegti projekti, skaits - 793</c:v>
                </c:pt>
                <c:pt idx="5">
                  <c:v>MKN uzsākta projektu atlase, skaits - 91</c:v>
                </c:pt>
                <c:pt idx="6">
                  <c:v>Apstiprināti MKN, skaits - 94</c:v>
                </c:pt>
                <c:pt idx="7">
                  <c:v>MKN VSS, skaits - 101</c:v>
                </c:pt>
                <c:pt idx="8">
                  <c:v>Apstiprinātie kritēriji, skaits - 100</c:v>
                </c:pt>
                <c:pt idx="9">
                  <c:v>Iesniegti kritēriji, skaits - 104</c:v>
                </c:pt>
                <c:pt idx="10">
                  <c:v>Pieejamais ES fondu finansējums</c:v>
                </c:pt>
                <c:pt idx="11">
                  <c:v>Pieejamais ''virssaistību'' apjoms</c:v>
                </c:pt>
              </c:strCache>
            </c:strRef>
          </c:cat>
          <c:val>
            <c:numRef>
              <c:f>LV_izvilkts_08.12!$D$8:$N$8</c:f>
              <c:numCache>
                <c:formatCode>0.0%</c:formatCode>
                <c:ptCount val="11"/>
                <c:pt idx="0">
                  <c:v>4.5999999999999999E-2</c:v>
                </c:pt>
                <c:pt idx="1">
                  <c:v>0.26400000000000001</c:v>
                </c:pt>
                <c:pt idx="2">
                  <c:v>0.27200000000000002</c:v>
                </c:pt>
                <c:pt idx="4">
                  <c:v>0.39100000000000001</c:v>
                </c:pt>
                <c:pt idx="5">
                  <c:v>0.626</c:v>
                </c:pt>
                <c:pt idx="6">
                  <c:v>0.80300000000000005</c:v>
                </c:pt>
                <c:pt idx="7">
                  <c:v>0.83399999999999996</c:v>
                </c:pt>
                <c:pt idx="8">
                  <c:v>0.80400000000000005</c:v>
                </c:pt>
                <c:pt idx="9">
                  <c:v>0.95699999999999996</c:v>
                </c:pt>
              </c:numCache>
            </c:numRef>
          </c:val>
          <c:extLst xmlns:c16r2="http://schemas.microsoft.com/office/drawing/2015/06/chart">
            <c:ext xmlns:c16="http://schemas.microsoft.com/office/drawing/2014/chart" uri="{C3380CC4-5D6E-409C-BE32-E72D297353CC}">
              <c16:uniqueId val="{0000001F-2CEF-4A74-8AD6-6AA46D862305}"/>
            </c:ext>
          </c:extLst>
        </c:ser>
        <c:ser>
          <c:idx val="6"/>
          <c:order val="6"/>
          <c:tx>
            <c:strRef>
              <c:f>LV_izvilkts_08.12!$C$9</c:f>
              <c:strCache>
                <c:ptCount val="1"/>
                <c:pt idx="0">
                  <c:v>Pieaugums</c:v>
                </c:pt>
              </c:strCache>
            </c:strRef>
          </c:tx>
          <c:spPr>
            <a:solidFill>
              <a:schemeClr val="accent1">
                <a:lumMod val="60000"/>
              </a:schemeClr>
            </a:solidFill>
            <a:ln>
              <a:noFill/>
            </a:ln>
            <a:effectLst/>
          </c:spPr>
          <c:invertIfNegative val="0"/>
          <c:cat>
            <c:strRef>
              <c:f>LV_izvilkts_08.12!$D$3:$O$3</c:f>
              <c:strCache>
                <c:ptCount val="12"/>
                <c:pt idx="0">
                  <c:v>Veikti maksājumi projektos</c:v>
                </c:pt>
                <c:pt idx="1">
                  <c:v>Noslēgti līgumi, skaits - 142</c:v>
                </c:pt>
                <c:pt idx="2">
                  <c:v>Apstiprināti projekti, skaits - 159</c:v>
                </c:pt>
                <c:pt idx="3">
                  <c:v>Noraidīti/atsaukti projekti, skaits - 283</c:v>
                </c:pt>
                <c:pt idx="4">
                  <c:v>Iesniegti projekti, skaits - 793</c:v>
                </c:pt>
                <c:pt idx="5">
                  <c:v>MKN uzsākta projektu atlase, skaits - 91</c:v>
                </c:pt>
                <c:pt idx="6">
                  <c:v>Apstiprināti MKN, skaits - 94</c:v>
                </c:pt>
                <c:pt idx="7">
                  <c:v>MKN VSS, skaits - 101</c:v>
                </c:pt>
                <c:pt idx="8">
                  <c:v>Apstiprinātie kritēriji, skaits - 100</c:v>
                </c:pt>
                <c:pt idx="9">
                  <c:v>Iesniegti kritēriji, skaits - 104</c:v>
                </c:pt>
                <c:pt idx="10">
                  <c:v>Pieejamais ES fondu finansējums</c:v>
                </c:pt>
                <c:pt idx="11">
                  <c:v>Pieejamais ''virssaistību'' apjoms</c:v>
                </c:pt>
              </c:strCache>
            </c:strRef>
          </c:cat>
          <c:val>
            <c:numRef>
              <c:f>LV_izvilkts_08.12!$D$9:$N$9</c:f>
              <c:numCache>
                <c:formatCode>0.0%</c:formatCode>
                <c:ptCount val="11"/>
                <c:pt idx="0">
                  <c:v>4.3310576941400919E-3</c:v>
                </c:pt>
                <c:pt idx="1">
                  <c:v>1.1513667631398161E-2</c:v>
                </c:pt>
                <c:pt idx="2">
                  <c:v>2.054497816782741E-2</c:v>
                </c:pt>
                <c:pt idx="4">
                  <c:v>5.9715109535184441E-2</c:v>
                </c:pt>
                <c:pt idx="5">
                  <c:v>5.560316808482535E-2</c:v>
                </c:pt>
                <c:pt idx="6">
                  <c:v>4.1853175833737044E-3</c:v>
                </c:pt>
                <c:pt idx="7">
                  <c:v>0.11461641927804311</c:v>
                </c:pt>
                <c:pt idx="8">
                  <c:v>0.10933835891986476</c:v>
                </c:pt>
                <c:pt idx="9">
                  <c:v>1.8421635544746406E-3</c:v>
                </c:pt>
              </c:numCache>
            </c:numRef>
          </c:val>
          <c:extLst xmlns:c16r2="http://schemas.microsoft.com/office/drawing/2015/06/chart">
            <c:ext xmlns:c16="http://schemas.microsoft.com/office/drawing/2014/chart" uri="{C3380CC4-5D6E-409C-BE32-E72D297353CC}">
              <c16:uniqueId val="{00000020-2CEF-4A74-8AD6-6AA46D862305}"/>
            </c:ext>
          </c:extLst>
        </c:ser>
        <c:dLbls>
          <c:showLegendKey val="0"/>
          <c:showVal val="0"/>
          <c:showCatName val="0"/>
          <c:showSerName val="0"/>
          <c:showPercent val="0"/>
          <c:showBubbleSize val="0"/>
        </c:dLbls>
        <c:gapWidth val="150"/>
        <c:overlap val="100"/>
        <c:axId val="282629072"/>
        <c:axId val="282629464"/>
      </c:barChart>
      <c:catAx>
        <c:axId val="282629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82629464"/>
        <c:crosses val="autoZero"/>
        <c:auto val="1"/>
        <c:lblAlgn val="ctr"/>
        <c:lblOffset val="100"/>
        <c:noMultiLvlLbl val="0"/>
      </c:catAx>
      <c:valAx>
        <c:axId val="282629464"/>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82629072"/>
        <c:crosses val="autoZero"/>
        <c:crossBetween val="between"/>
        <c:majorUnit val="2000000000"/>
        <c:dispUnits>
          <c:builtInUnit val="millions"/>
        </c:dispUnits>
      </c:valAx>
      <c:spPr>
        <a:noFill/>
        <a:ln>
          <a:noFill/>
        </a:ln>
        <a:effectLst/>
      </c:spPr>
    </c:plotArea>
    <c:legend>
      <c:legendPos val="b"/>
      <c:legendEntry>
        <c:idx val="1"/>
        <c:delete val="1"/>
      </c:legendEntry>
      <c:legendEntry>
        <c:idx val="3"/>
        <c:delete val="1"/>
      </c:legendEntry>
      <c:legendEntry>
        <c:idx val="4"/>
        <c:delete val="1"/>
      </c:legendEntry>
      <c:legendEntry>
        <c:idx val="5"/>
        <c:delete val="1"/>
      </c:legendEntry>
      <c:legendEntry>
        <c:idx val="6"/>
        <c:delete val="1"/>
      </c:legendEntry>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872998907982536E-2"/>
          <c:y val="2.7715174504420143E-2"/>
          <c:w val="0.91103661763574639"/>
          <c:h val="0.64134070750793781"/>
        </c:manualLayout>
      </c:layout>
      <c:barChart>
        <c:barDir val="col"/>
        <c:grouping val="clustered"/>
        <c:varyColors val="0"/>
        <c:ser>
          <c:idx val="0"/>
          <c:order val="0"/>
          <c:tx>
            <c:strRef>
              <c:f>'Kopā (4)'!$A$53</c:f>
              <c:strCache>
                <c:ptCount val="1"/>
                <c:pt idx="0">
                  <c:v>Plānotais MK noteikumu apstiprināšanas skaits</c:v>
                </c:pt>
              </c:strCache>
            </c:strRef>
          </c:tx>
          <c:spPr>
            <a:solidFill>
              <a:schemeClr val="accent5">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'Kopā (4)'!$B$52:$L$52</c:f>
              <c:strCache>
                <c:ptCount val="11"/>
                <c:pt idx="0">
                  <c:v>2014-2015</c:v>
                </c:pt>
                <c:pt idx="1">
                  <c:v>I cet.</c:v>
                </c:pt>
                <c:pt idx="2">
                  <c:v>Aprīlis</c:v>
                </c:pt>
                <c:pt idx="3">
                  <c:v>Maijs</c:v>
                </c:pt>
                <c:pt idx="4">
                  <c:v>Jūnijs</c:v>
                </c:pt>
                <c:pt idx="5">
                  <c:v>Jūlijs</c:v>
                </c:pt>
                <c:pt idx="6">
                  <c:v>Augusts</c:v>
                </c:pt>
                <c:pt idx="7">
                  <c:v>Septembris</c:v>
                </c:pt>
                <c:pt idx="8">
                  <c:v>Oktobris</c:v>
                </c:pt>
                <c:pt idx="9">
                  <c:v>Novembris</c:v>
                </c:pt>
                <c:pt idx="10">
                  <c:v>Decembris</c:v>
                </c:pt>
              </c:strCache>
            </c:strRef>
          </c:cat>
          <c:val>
            <c:numRef>
              <c:f>'Kopā (4)'!$B$53:$L$53</c:f>
              <c:numCache>
                <c:formatCode>General</c:formatCode>
                <c:ptCount val="11"/>
                <c:pt idx="0">
                  <c:v>35</c:v>
                </c:pt>
                <c:pt idx="1">
                  <c:v>58</c:v>
                </c:pt>
                <c:pt idx="2">
                  <c:v>63</c:v>
                </c:pt>
                <c:pt idx="3">
                  <c:v>77</c:v>
                </c:pt>
                <c:pt idx="4">
                  <c:v>86</c:v>
                </c:pt>
                <c:pt idx="5">
                  <c:v>91</c:v>
                </c:pt>
                <c:pt idx="6">
                  <c:v>97</c:v>
                </c:pt>
                <c:pt idx="7">
                  <c:v>103</c:v>
                </c:pt>
                <c:pt idx="8">
                  <c:v>104</c:v>
                </c:pt>
                <c:pt idx="9">
                  <c:v>104</c:v>
                </c:pt>
                <c:pt idx="10">
                  <c:v>104</c:v>
                </c:pt>
              </c:numCache>
            </c:numRef>
          </c:val>
          <c:extLst xmlns:c16r2="http://schemas.microsoft.com/office/drawing/2015/06/chart">
            <c:ext xmlns:c16="http://schemas.microsoft.com/office/drawing/2014/chart" uri="{C3380CC4-5D6E-409C-BE32-E72D297353CC}">
              <c16:uniqueId val="{00000000-B6CC-4F4E-89BC-0114117C36B8}"/>
            </c:ext>
          </c:extLst>
        </c:ser>
        <c:ser>
          <c:idx val="2"/>
          <c:order val="2"/>
          <c:tx>
            <c:strRef>
              <c:f>'Kopā (4)'!$A$55</c:f>
              <c:strCache>
                <c:ptCount val="1"/>
                <c:pt idx="0">
                  <c:v>Apstiprināti MK noteikumi</c:v>
                </c:pt>
              </c:strCache>
            </c:strRef>
          </c:tx>
          <c:spPr>
            <a:solidFill>
              <a:schemeClr val="accent6">
                <a:lumMod val="40000"/>
                <a:lumOff val="60000"/>
              </a:schemeClr>
            </a:solidFill>
            <a:ln>
              <a:noFill/>
            </a:ln>
            <a:effectLst/>
          </c:spPr>
          <c:invertIfNegative val="0"/>
          <c:dPt>
            <c:idx val="1"/>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2-B6CC-4F4E-89BC-0114117C36B8}"/>
              </c:ext>
            </c:extLst>
          </c:dPt>
          <c:dPt>
            <c:idx val="2"/>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4-B6CC-4F4E-89BC-0114117C36B8}"/>
              </c:ext>
            </c:extLst>
          </c:dPt>
          <c:dPt>
            <c:idx val="3"/>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6-B6CC-4F4E-89BC-0114117C36B8}"/>
              </c:ext>
            </c:extLst>
          </c:dPt>
          <c:dPt>
            <c:idx val="4"/>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8-B6CC-4F4E-89BC-0114117C36B8}"/>
              </c:ext>
            </c:extLst>
          </c:dPt>
          <c:dPt>
            <c:idx val="5"/>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A-B6CC-4F4E-89BC-0114117C36B8}"/>
              </c:ext>
            </c:extLst>
          </c:dPt>
          <c:dPt>
            <c:idx val="6"/>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C-B6CC-4F4E-89BC-0114117C36B8}"/>
              </c:ext>
            </c:extLst>
          </c:dPt>
          <c:dPt>
            <c:idx val="7"/>
            <c:invertIfNegative val="0"/>
            <c:bubble3D val="0"/>
            <c:spPr>
              <a:solidFill>
                <a:schemeClr val="accent6">
                  <a:lumMod val="40000"/>
                  <a:lumOff val="60000"/>
                </a:schemeClr>
              </a:solidFill>
              <a:ln>
                <a:noFill/>
              </a:ln>
              <a:effectLst/>
            </c:spPr>
            <c:extLst xmlns:c16r2="http://schemas.microsoft.com/office/drawing/2015/06/chart">
              <c:ext xmlns:c16="http://schemas.microsoft.com/office/drawing/2014/chart" uri="{C3380CC4-5D6E-409C-BE32-E72D297353CC}">
                <c16:uniqueId val="{0000000E-B6CC-4F4E-89BC-0114117C36B8}"/>
              </c:ext>
            </c:extLst>
          </c:dPt>
          <c:dPt>
            <c:idx val="9"/>
            <c:invertIfNegative val="0"/>
            <c:bubble3D val="0"/>
            <c:spPr>
              <a:solidFill>
                <a:srgbClr val="70AD47">
                  <a:lumMod val="40000"/>
                  <a:lumOff val="60000"/>
                </a:srgbClr>
              </a:solidFill>
              <a:ln>
                <a:noFill/>
              </a:ln>
              <a:effectLst/>
            </c:spPr>
            <c:extLst xmlns:c16r2="http://schemas.microsoft.com/office/drawing/2015/06/chart">
              <c:ext xmlns:c16="http://schemas.microsoft.com/office/drawing/2014/chart" uri="{C3380CC4-5D6E-409C-BE32-E72D297353CC}">
                <c16:uniqueId val="{00000010-B6CC-4F4E-89BC-0114117C36B8}"/>
              </c:ext>
            </c:extLst>
          </c:dPt>
          <c:dPt>
            <c:idx val="10"/>
            <c:invertIfNegative val="0"/>
            <c:bubble3D val="0"/>
            <c:spPr>
              <a:solidFill>
                <a:srgbClr val="ED7D31">
                  <a:lumMod val="60000"/>
                  <a:lumOff val="40000"/>
                </a:srgbClr>
              </a:solidFill>
              <a:ln>
                <a:noFill/>
              </a:ln>
              <a:effectLst/>
            </c:spPr>
            <c:extLst xmlns:c16r2="http://schemas.microsoft.com/office/drawing/2015/06/chart">
              <c:ext xmlns:c16="http://schemas.microsoft.com/office/drawing/2014/chart" uri="{C3380CC4-5D6E-409C-BE32-E72D297353CC}">
                <c16:uniqueId val="{00000011-DC67-45DA-91B0-6E7A7A045590}"/>
              </c:ext>
            </c:extLst>
          </c:dPt>
          <c:dLbls>
            <c:dLbl>
              <c:idx val="7"/>
              <c:layout>
                <c:manualLayout>
                  <c:x val="1.0690613641222927E-2"/>
                  <c:y val="0.49169464360517001"/>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B6CC-4F4E-89BC-0114117C36B8}"/>
                </c:ext>
                <c:ext xmlns:c15="http://schemas.microsoft.com/office/drawing/2012/chart" uri="{CE6537A1-D6FC-4f65-9D91-7224C49458BB}">
                  <c15:layout/>
                </c:ext>
              </c:extLst>
            </c:dLbl>
            <c:dLbl>
              <c:idx val="8"/>
              <c:layout>
                <c:manualLayout>
                  <c:x val="1.2828736369467608E-2"/>
                  <c:y val="0.4980029626211912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6CC-4F4E-89BC-0114117C36B8}"/>
                </c:ext>
                <c:ext xmlns:c15="http://schemas.microsoft.com/office/drawing/2012/chart" uri="{CE6537A1-D6FC-4f65-9D91-7224C49458BB}">
                  <c15:layout/>
                </c:ext>
              </c:extLst>
            </c:dLbl>
            <c:dLbl>
              <c:idx val="9"/>
              <c:layout>
                <c:manualLayout>
                  <c:x val="1.282873636946745E-2"/>
                  <c:y val="0.50045592797430771"/>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6CC-4F4E-89BC-0114117C36B8}"/>
                </c:ext>
                <c:ext xmlns:c15="http://schemas.microsoft.com/office/drawing/2012/chart" uri="{CE6537A1-D6FC-4f65-9D91-7224C49458BB}">
                  <c15:layout/>
                </c:ext>
              </c:extLst>
            </c:dLbl>
            <c:dLbl>
              <c:idx val="10"/>
              <c:layout>
                <c:manualLayout>
                  <c:x val="1.0565240359218173E-2"/>
                  <c:y val="0.51841705382395065"/>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DC67-45DA-91B0-6E7A7A04559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'Kopā (4)'!$B$52:$L$52</c:f>
              <c:strCache>
                <c:ptCount val="11"/>
                <c:pt idx="0">
                  <c:v>2014-2015</c:v>
                </c:pt>
                <c:pt idx="1">
                  <c:v>I cet.</c:v>
                </c:pt>
                <c:pt idx="2">
                  <c:v>Aprīlis</c:v>
                </c:pt>
                <c:pt idx="3">
                  <c:v>Maijs</c:v>
                </c:pt>
                <c:pt idx="4">
                  <c:v>Jūnijs</c:v>
                </c:pt>
                <c:pt idx="5">
                  <c:v>Jūlijs</c:v>
                </c:pt>
                <c:pt idx="6">
                  <c:v>Augusts</c:v>
                </c:pt>
                <c:pt idx="7">
                  <c:v>Septembris</c:v>
                </c:pt>
                <c:pt idx="8">
                  <c:v>Oktobris</c:v>
                </c:pt>
                <c:pt idx="9">
                  <c:v>Novembris</c:v>
                </c:pt>
                <c:pt idx="10">
                  <c:v>Decembris</c:v>
                </c:pt>
              </c:strCache>
            </c:strRef>
          </c:cat>
          <c:val>
            <c:numRef>
              <c:f>'Kopā (4)'!$B$55:$L$55</c:f>
              <c:numCache>
                <c:formatCode>General</c:formatCode>
                <c:ptCount val="11"/>
                <c:pt idx="0">
                  <c:v>31</c:v>
                </c:pt>
                <c:pt idx="1">
                  <c:v>48</c:v>
                </c:pt>
                <c:pt idx="2">
                  <c:v>56</c:v>
                </c:pt>
                <c:pt idx="3">
                  <c:v>69</c:v>
                </c:pt>
                <c:pt idx="4">
                  <c:v>73</c:v>
                </c:pt>
                <c:pt idx="5">
                  <c:v>78</c:v>
                </c:pt>
                <c:pt idx="6">
                  <c:v>90</c:v>
                </c:pt>
                <c:pt idx="7">
                  <c:v>92</c:v>
                </c:pt>
                <c:pt idx="8">
                  <c:v>93</c:v>
                </c:pt>
                <c:pt idx="9">
                  <c:v>94</c:v>
                </c:pt>
                <c:pt idx="10">
                  <c:v>98</c:v>
                </c:pt>
              </c:numCache>
            </c:numRef>
          </c:val>
          <c:extLst xmlns:c16r2="http://schemas.microsoft.com/office/drawing/2015/06/chart">
            <c:ext xmlns:c16="http://schemas.microsoft.com/office/drawing/2014/chart" uri="{C3380CC4-5D6E-409C-BE32-E72D297353CC}">
              <c16:uniqueId val="{00000012-B6CC-4F4E-89BC-0114117C36B8}"/>
            </c:ext>
          </c:extLst>
        </c:ser>
        <c:dLbls>
          <c:showLegendKey val="0"/>
          <c:showVal val="0"/>
          <c:showCatName val="0"/>
          <c:showSerName val="0"/>
          <c:showPercent val="0"/>
          <c:showBubbleSize val="0"/>
        </c:dLbls>
        <c:gapWidth val="150"/>
        <c:axId val="282630248"/>
        <c:axId val="282630640"/>
      </c:barChart>
      <c:lineChart>
        <c:grouping val="standard"/>
        <c:varyColors val="0"/>
        <c:ser>
          <c:idx val="1"/>
          <c:order val="1"/>
          <c:tx>
            <c:strRef>
              <c:f>'Kopā (4)'!$A$54</c:f>
              <c:strCache>
                <c:ptCount val="1"/>
                <c:pt idx="0">
                  <c:v>Plānotais apstiprināto MK noteikumu finansējums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7519212101089808E-2"/>
                  <c:y val="-3.77934197787547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6CC-4F4E-89BC-0114117C36B8}"/>
                </c:ext>
                <c:ext xmlns:c15="http://schemas.microsoft.com/office/drawing/2012/chart" uri="{CE6537A1-D6FC-4f65-9D91-7224C49458BB}">
                  <c15:layout/>
                </c:ext>
              </c:extLst>
            </c:dLbl>
            <c:dLbl>
              <c:idx val="1"/>
              <c:layout>
                <c:manualLayout>
                  <c:x val="-5.031445987174215E-2"/>
                  <c:y val="-2.77151745044201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6CC-4F4E-89BC-0114117C36B8}"/>
                </c:ext>
                <c:ext xmlns:c15="http://schemas.microsoft.com/office/drawing/2012/chart" uri="{CE6537A1-D6FC-4f65-9D91-7224C49458BB}">
                  <c15:layout/>
                </c:ext>
              </c:extLst>
            </c:dLbl>
            <c:dLbl>
              <c:idx val="2"/>
              <c:layout>
                <c:manualLayout>
                  <c:x val="-3.7735844903806638E-2"/>
                  <c:y val="-4.24014395225927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B6CC-4F4E-89BC-0114117C36B8}"/>
                </c:ext>
                <c:ext xmlns:c15="http://schemas.microsoft.com/office/drawing/2012/chart" uri="{CE6537A1-D6FC-4f65-9D91-7224C49458BB}">
                  <c15:layout/>
                </c:ext>
              </c:extLst>
            </c:dLbl>
            <c:dLbl>
              <c:idx val="3"/>
              <c:layout>
                <c:manualLayout>
                  <c:x val="-5.5904955413046881E-2"/>
                  <c:y val="-2.01564905486692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6CC-4F4E-89BC-0114117C36B8}"/>
                </c:ext>
                <c:ext xmlns:c15="http://schemas.microsoft.com/office/drawing/2012/chart" uri="{CE6537A1-D6FC-4f65-9D91-7224C49458BB}">
                  <c15:layout/>
                </c:ext>
              </c:extLst>
            </c:dLbl>
            <c:dLbl>
              <c:idx val="4"/>
              <c:layout>
                <c:manualLayout>
                  <c:x val="-5.031445987174215E-2"/>
                  <c:y val="-2.0156490548669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6CC-4F4E-89BC-0114117C36B8}"/>
                </c:ext>
                <c:ext xmlns:c15="http://schemas.microsoft.com/office/drawing/2012/chart" uri="{CE6537A1-D6FC-4f65-9D91-7224C49458BB}">
                  <c15:layout/>
                </c:ext>
              </c:extLst>
            </c:dLbl>
            <c:dLbl>
              <c:idx val="5"/>
              <c:layout>
                <c:manualLayout>
                  <c:x val="-4.4723964330437516E-2"/>
                  <c:y val="-4.03129810973384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6CC-4F4E-89BC-0114117C36B8}"/>
                </c:ext>
                <c:ext xmlns:c15="http://schemas.microsoft.com/office/drawing/2012/chart" uri="{CE6537A1-D6FC-4f65-9D91-7224C49458BB}">
                  <c15:layout/>
                </c:ext>
              </c:extLst>
            </c:dLbl>
            <c:dLbl>
              <c:idx val="6"/>
              <c:layout>
                <c:manualLayout>
                  <c:x val="-4.7519212101089808E-2"/>
                  <c:y val="-2.26760518672528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6CC-4F4E-89BC-0114117C36B8}"/>
                </c:ext>
                <c:ext xmlns:c15="http://schemas.microsoft.com/office/drawing/2012/chart" uri="{CE6537A1-D6FC-4f65-9D91-7224C49458BB}">
                  <c15:layout/>
                </c:ext>
              </c:extLst>
            </c:dLbl>
            <c:dLbl>
              <c:idx val="7"/>
              <c:layout>
                <c:manualLayout>
                  <c:x val="-5.031445987174215E-2"/>
                  <c:y val="-2.26760518672528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6CC-4F4E-89BC-0114117C36B8}"/>
                </c:ext>
                <c:ext xmlns:c15="http://schemas.microsoft.com/office/drawing/2012/chart" uri="{CE6537A1-D6FC-4f65-9D91-7224C49458BB}">
                  <c15:layout/>
                </c:ext>
              </c:extLst>
            </c:dLbl>
            <c:dLbl>
              <c:idx val="8"/>
              <c:layout>
                <c:manualLayout>
                  <c:x val="-4.891683598641608E-2"/>
                  <c:y val="-2.26760518672528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6CC-4F4E-89BC-0114117C36B8}"/>
                </c:ext>
                <c:ext xmlns:c15="http://schemas.microsoft.com/office/drawing/2012/chart" uri="{CE6537A1-D6FC-4f65-9D91-7224C49458BB}">
                  <c15:layout/>
                </c:ext>
              </c:extLst>
            </c:dLbl>
            <c:dLbl>
              <c:idx val="9"/>
              <c:layout>
                <c:manualLayout>
                  <c:x val="-3.2145349362502032E-2"/>
                  <c:y val="-2.267605186725284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B6CC-4F4E-89BC-0114117C36B8}"/>
                </c:ext>
                <c:ext xmlns:c15="http://schemas.microsoft.com/office/drawing/2012/chart" uri="{CE6537A1-D6FC-4f65-9D91-7224C49458BB}">
                  <c15:layout/>
                </c:ext>
              </c:extLst>
            </c:dLbl>
            <c:dLbl>
              <c:idx val="10"/>
              <c:layout>
                <c:manualLayout>
                  <c:x val="-2.3243528790280132E-2"/>
                  <c:y val="-2.21606648199445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CCF-4F08-B8FD-F64BE38A0DD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'Kopā (4)'!$B$52:$L$52</c:f>
              <c:strCache>
                <c:ptCount val="11"/>
                <c:pt idx="0">
                  <c:v>2014-2015</c:v>
                </c:pt>
                <c:pt idx="1">
                  <c:v>I cet.</c:v>
                </c:pt>
                <c:pt idx="2">
                  <c:v>Aprīlis</c:v>
                </c:pt>
                <c:pt idx="3">
                  <c:v>Maijs</c:v>
                </c:pt>
                <c:pt idx="4">
                  <c:v>Jūnijs</c:v>
                </c:pt>
                <c:pt idx="5">
                  <c:v>Jūlijs</c:v>
                </c:pt>
                <c:pt idx="6">
                  <c:v>Augusts</c:v>
                </c:pt>
                <c:pt idx="7">
                  <c:v>Septembris</c:v>
                </c:pt>
                <c:pt idx="8">
                  <c:v>Oktobris</c:v>
                </c:pt>
                <c:pt idx="9">
                  <c:v>Novembris</c:v>
                </c:pt>
                <c:pt idx="10">
                  <c:v>Decembris</c:v>
                </c:pt>
              </c:strCache>
            </c:strRef>
          </c:cat>
          <c:val>
            <c:numRef>
              <c:f>'Kopā (4)'!$B$54:$L$54</c:f>
              <c:numCache>
                <c:formatCode>#,##0</c:formatCode>
                <c:ptCount val="11"/>
                <c:pt idx="0">
                  <c:v>1242750225</c:v>
                </c:pt>
                <c:pt idx="1">
                  <c:v>2155188793</c:v>
                </c:pt>
                <c:pt idx="2">
                  <c:v>2230708065</c:v>
                </c:pt>
                <c:pt idx="3">
                  <c:v>2961503567</c:v>
                </c:pt>
                <c:pt idx="4">
                  <c:v>3301851179</c:v>
                </c:pt>
                <c:pt idx="5">
                  <c:v>3351385016</c:v>
                </c:pt>
                <c:pt idx="6">
                  <c:v>3628926739</c:v>
                </c:pt>
                <c:pt idx="7">
                  <c:v>3879332431</c:v>
                </c:pt>
                <c:pt idx="8">
                  <c:v>4225971779</c:v>
                </c:pt>
                <c:pt idx="9">
                  <c:v>4225971779</c:v>
                </c:pt>
                <c:pt idx="10">
                  <c:v>4225971779</c:v>
                </c:pt>
              </c:numCache>
            </c:numRef>
          </c:val>
          <c:smooth val="0"/>
          <c:extLst xmlns:c16r2="http://schemas.microsoft.com/office/drawing/2015/06/chart">
            <c:ext xmlns:c16="http://schemas.microsoft.com/office/drawing/2014/chart" uri="{C3380CC4-5D6E-409C-BE32-E72D297353CC}">
              <c16:uniqueId val="{0000001D-B6CC-4F4E-89BC-0114117C36B8}"/>
            </c:ext>
          </c:extLst>
        </c:ser>
        <c:ser>
          <c:idx val="3"/>
          <c:order val="3"/>
          <c:tx>
            <c:strRef>
              <c:f>'Kopā (4)'!$A$56</c:f>
              <c:strCache>
                <c:ptCount val="1"/>
                <c:pt idx="0">
                  <c:v>Apstiprināto MK noteikumu finansējums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1"/>
              <c:layout>
                <c:manualLayout>
                  <c:x val="-2.7952477706523673E-3"/>
                  <c:y val="2.519561318583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B6CC-4F4E-89BC-0114117C36B8}"/>
                </c:ext>
                <c:ext xmlns:c15="http://schemas.microsoft.com/office/drawing/2012/chart" uri="{CE6537A1-D6FC-4f65-9D91-7224C49458BB}">
                  <c15:layout/>
                </c:ext>
              </c:extLst>
            </c:dLbl>
            <c:dLbl>
              <c:idx val="2"/>
              <c:layout>
                <c:manualLayout>
                  <c:x val="1.3976238853261708E-3"/>
                  <c:y val="2.01564905486691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B6CC-4F4E-89BC-0114117C36B8}"/>
                </c:ext>
                <c:ext xmlns:c15="http://schemas.microsoft.com/office/drawing/2012/chart" uri="{CE6537A1-D6FC-4f65-9D91-7224C49458BB}">
                  <c15:layout/>
                </c:ext>
              </c:extLst>
            </c:dLbl>
            <c:dLbl>
              <c:idx val="3"/>
              <c:layout>
                <c:manualLayout>
                  <c:x val="0"/>
                  <c:y val="1.00782452743345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B6CC-4F4E-89BC-0114117C36B8}"/>
                </c:ext>
                <c:ext xmlns:c15="http://schemas.microsoft.com/office/drawing/2012/chart" uri="{CE6537A1-D6FC-4f65-9D91-7224C49458BB}">
                  <c15:layout/>
                </c:ext>
              </c:extLst>
            </c:dLbl>
            <c:dLbl>
              <c:idx val="4"/>
              <c:layout>
                <c:manualLayout>
                  <c:x val="-2.7952477706523929E-3"/>
                  <c:y val="1.51173679115018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B6CC-4F4E-89BC-0114117C36B8}"/>
                </c:ext>
                <c:ext xmlns:c15="http://schemas.microsoft.com/office/drawing/2012/chart" uri="{CE6537A1-D6FC-4f65-9D91-7224C49458BB}">
                  <c15:layout/>
                </c:ext>
              </c:extLst>
            </c:dLbl>
            <c:dLbl>
              <c:idx val="6"/>
              <c:layout>
                <c:manualLayout>
                  <c:x val="-8.3857433119570238E-3"/>
                  <c:y val="2.267605186725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B6CC-4F4E-89BC-0114117C36B8}"/>
                </c:ext>
                <c:ext xmlns:c15="http://schemas.microsoft.com/office/drawing/2012/chart" uri="{CE6537A1-D6FC-4f65-9D91-7224C49458BB}">
                  <c15:layout/>
                </c:ext>
              </c:extLst>
            </c:dLbl>
            <c:dLbl>
              <c:idx val="7"/>
              <c:layout>
                <c:manualLayout>
                  <c:x val="-2.7952477706523417E-3"/>
                  <c:y val="-2.77151745044201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B6CC-4F4E-89BC-0114117C36B8}"/>
                </c:ext>
                <c:ext xmlns:c15="http://schemas.microsoft.com/office/drawing/2012/chart" uri="{CE6537A1-D6FC-4f65-9D91-7224C49458BB}">
                  <c15:layout/>
                </c:ext>
              </c:extLst>
            </c:dLbl>
            <c:dLbl>
              <c:idx val="8"/>
              <c:layout>
                <c:manualLayout>
                  <c:x val="-6.9881194266309564E-3"/>
                  <c:y val="-3.52738584601710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B6CC-4F4E-89BC-0114117C36B8}"/>
                </c:ext>
                <c:ext xmlns:c15="http://schemas.microsoft.com/office/drawing/2012/chart" uri="{CE6537A1-D6FC-4f65-9D91-7224C49458BB}">
                  <c15:layout/>
                </c:ext>
              </c:extLst>
            </c:dLbl>
            <c:dLbl>
              <c:idx val="9"/>
              <c:layout>
                <c:manualLayout>
                  <c:x val="-1.6929508217178084E-2"/>
                  <c:y val="-3.77423459186715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B6CC-4F4E-89BC-0114117C36B8}"/>
                </c:ext>
                <c:ext xmlns:c15="http://schemas.microsoft.com/office/drawing/2012/chart" uri="{CE6537A1-D6FC-4f65-9D91-7224C49458BB}">
                  <c15:layout/>
                </c:ext>
              </c:extLst>
            </c:dLbl>
            <c:dLbl>
              <c:idx val="10"/>
              <c:layout>
                <c:manualLayout>
                  <c:x val="-1.0565240359218327E-2"/>
                  <c:y val="-1.47737765466297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DC67-45DA-91B0-6E7A7A045590}"/>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'Kopā (4)'!$B$52:$L$52</c:f>
              <c:strCache>
                <c:ptCount val="11"/>
                <c:pt idx="0">
                  <c:v>2014-2015</c:v>
                </c:pt>
                <c:pt idx="1">
                  <c:v>I cet.</c:v>
                </c:pt>
                <c:pt idx="2">
                  <c:v>Aprīlis</c:v>
                </c:pt>
                <c:pt idx="3">
                  <c:v>Maijs</c:v>
                </c:pt>
                <c:pt idx="4">
                  <c:v>Jūnijs</c:v>
                </c:pt>
                <c:pt idx="5">
                  <c:v>Jūlijs</c:v>
                </c:pt>
                <c:pt idx="6">
                  <c:v>Augusts</c:v>
                </c:pt>
                <c:pt idx="7">
                  <c:v>Septembris</c:v>
                </c:pt>
                <c:pt idx="8">
                  <c:v>Oktobris</c:v>
                </c:pt>
                <c:pt idx="9">
                  <c:v>Novembris</c:v>
                </c:pt>
                <c:pt idx="10">
                  <c:v>Decembris</c:v>
                </c:pt>
              </c:strCache>
            </c:strRef>
          </c:cat>
          <c:val>
            <c:numRef>
              <c:f>'Kopā (4)'!$B$56:$L$56</c:f>
              <c:numCache>
                <c:formatCode>#,##0</c:formatCode>
                <c:ptCount val="11"/>
                <c:pt idx="0">
                  <c:v>1076187422</c:v>
                </c:pt>
                <c:pt idx="1">
                  <c:v>1966937422</c:v>
                </c:pt>
                <c:pt idx="2">
                  <c:v>2114180016</c:v>
                </c:pt>
                <c:pt idx="3">
                  <c:v>2643746354</c:v>
                </c:pt>
                <c:pt idx="4">
                  <c:v>2934472660</c:v>
                </c:pt>
                <c:pt idx="5">
                  <c:v>3020809120</c:v>
                </c:pt>
                <c:pt idx="6">
                  <c:v>3478651893</c:v>
                </c:pt>
                <c:pt idx="7">
                  <c:v>3512481923</c:v>
                </c:pt>
                <c:pt idx="8">
                  <c:v>3546981923</c:v>
                </c:pt>
                <c:pt idx="9">
                  <c:v>3566332980</c:v>
                </c:pt>
                <c:pt idx="10">
                  <c:v>3755277172</c:v>
                </c:pt>
              </c:numCache>
            </c:numRef>
          </c:val>
          <c:smooth val="0"/>
          <c:extLst xmlns:c16r2="http://schemas.microsoft.com/office/drawing/2015/06/chart">
            <c:ext xmlns:c16="http://schemas.microsoft.com/office/drawing/2014/chart" uri="{C3380CC4-5D6E-409C-BE32-E72D297353CC}">
              <c16:uniqueId val="{00000026-B6CC-4F4E-89BC-0114117C36B8}"/>
            </c:ext>
          </c:extLst>
        </c:ser>
        <c:dLbls>
          <c:showLegendKey val="0"/>
          <c:showVal val="0"/>
          <c:showCatName val="0"/>
          <c:showSerName val="0"/>
          <c:showPercent val="0"/>
          <c:showBubbleSize val="0"/>
        </c:dLbls>
        <c:marker val="1"/>
        <c:smooth val="0"/>
        <c:axId val="282631424"/>
        <c:axId val="282631032"/>
      </c:lineChart>
      <c:catAx>
        <c:axId val="282630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82630640"/>
        <c:crosses val="autoZero"/>
        <c:auto val="1"/>
        <c:lblAlgn val="ctr"/>
        <c:lblOffset val="100"/>
        <c:noMultiLvlLbl val="0"/>
      </c:catAx>
      <c:valAx>
        <c:axId val="28263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82630248"/>
        <c:crosses val="autoZero"/>
        <c:crossBetween val="between"/>
      </c:valAx>
      <c:valAx>
        <c:axId val="28263103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82631424"/>
        <c:crosses val="max"/>
        <c:crossBetween val="between"/>
        <c:dispUnits>
          <c:builtInUnit val="millions"/>
        </c:dispUnits>
      </c:valAx>
      <c:catAx>
        <c:axId val="282631424"/>
        <c:scaling>
          <c:orientation val="minMax"/>
        </c:scaling>
        <c:delete val="1"/>
        <c:axPos val="b"/>
        <c:numFmt formatCode="General" sourceLinked="1"/>
        <c:majorTickMark val="out"/>
        <c:minorTickMark val="none"/>
        <c:tickLblPos val="nextTo"/>
        <c:crossAx val="282631032"/>
        <c:crosses val="autoZero"/>
        <c:auto val="1"/>
        <c:lblAlgn val="ctr"/>
        <c:lblOffset val="100"/>
        <c:noMultiLvlLbl val="0"/>
      </c:catAx>
      <c:spPr>
        <a:noFill/>
        <a:ln>
          <a:noFill/>
        </a:ln>
        <a:effectLst/>
      </c:spPr>
    </c:plotArea>
    <c:legend>
      <c:legendPos val="b"/>
      <c:layout>
        <c:manualLayout>
          <c:xMode val="edge"/>
          <c:yMode val="edge"/>
          <c:x val="1.9347367632928613E-2"/>
          <c:y val="0.82388158014558122"/>
          <c:w val="0.96664927977505188"/>
          <c:h val="0.1716171905104660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'Avansi un starpposms'!$D$5</c:f>
              <c:strCache>
                <c:ptCount val="1"/>
                <c:pt idx="0">
                  <c:v> Sākotnējais avanss </c:v>
                </c:pt>
              </c:strCache>
            </c:strRef>
          </c:tx>
          <c:spPr>
            <a:solidFill>
              <a:srgbClr val="8EB4E3"/>
            </a:solidFill>
            <a:ln w="25400">
              <a:noFill/>
            </a:ln>
          </c:spPr>
          <c:invertIfNegative val="0"/>
          <c:dLbls>
            <c:spPr>
              <a:noFill/>
              <a:ln w="25400">
                <a:noFill/>
              </a:ln>
            </c:spPr>
            <c:txPr>
              <a:bodyPr rot="0" vert="horz"/>
              <a:lstStyle/>
              <a:p>
                <a:pPr>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'Avansi un starpposms'!$C$6:$C$33</c:f>
              <c:strCache>
                <c:ptCount val="28"/>
                <c:pt idx="0">
                  <c:v>Somija (4,7%)</c:v>
                </c:pt>
                <c:pt idx="1">
                  <c:v>Nīderlande (4,7%)</c:v>
                </c:pt>
                <c:pt idx="2">
                  <c:v>Austrija (4,7%)</c:v>
                </c:pt>
                <c:pt idx="3">
                  <c:v>Malta (4,7%)</c:v>
                </c:pt>
                <c:pt idx="4">
                  <c:v>Slovēnija (4,8%)</c:v>
                </c:pt>
                <c:pt idx="5">
                  <c:v>Ungārija (4,8%)</c:v>
                </c:pt>
                <c:pt idx="6">
                  <c:v>Čehija (4,9%)</c:v>
                </c:pt>
                <c:pt idx="7">
                  <c:v>Horvātija (5,0%)</c:v>
                </c:pt>
                <c:pt idx="8">
                  <c:v>Dānija (5,3%)</c:v>
                </c:pt>
                <c:pt idx="9">
                  <c:v>Vācija (5,4)</c:v>
                </c:pt>
                <c:pt idx="10">
                  <c:v>Itālija (5,6%)</c:v>
                </c:pt>
                <c:pt idx="11">
                  <c:v>Francija (5,6%)</c:v>
                </c:pt>
                <c:pt idx="12">
                  <c:v>Lielbritānija (5,7%)</c:v>
                </c:pt>
                <c:pt idx="13">
                  <c:v>Slovākija (5,7%)</c:v>
                </c:pt>
                <c:pt idx="14">
                  <c:v>Beļģija (5,8%)</c:v>
                </c:pt>
                <c:pt idx="15">
                  <c:v>Rumānija (5,8%)</c:v>
                </c:pt>
                <c:pt idx="16">
                  <c:v>Zviedrija (6,1%)</c:v>
                </c:pt>
                <c:pt idx="17">
                  <c:v>Polija (6,8%)</c:v>
                </c:pt>
                <c:pt idx="18">
                  <c:v>Kipra (7,0%)</c:v>
                </c:pt>
                <c:pt idx="19">
                  <c:v>Īrija (7,2%)</c:v>
                </c:pt>
                <c:pt idx="20">
                  <c:v>Luksemburga (7,3%)</c:v>
                </c:pt>
                <c:pt idx="21">
                  <c:v>Latvija (7,9%)</c:v>
                </c:pt>
                <c:pt idx="22">
                  <c:v>Bulgārija (8,2%)</c:v>
                </c:pt>
                <c:pt idx="23">
                  <c:v>Spānija (8,5%)</c:v>
                </c:pt>
                <c:pt idx="24">
                  <c:v>Portugāle (8,9%)</c:v>
                </c:pt>
                <c:pt idx="25">
                  <c:v>Igaunija (9,2%)</c:v>
                </c:pt>
                <c:pt idx="26">
                  <c:v>Lietuva (9,8%)</c:v>
                </c:pt>
                <c:pt idx="27">
                  <c:v>Grieķija (14,9%)</c:v>
                </c:pt>
              </c:strCache>
            </c:strRef>
          </c:cat>
          <c:val>
            <c:numRef>
              <c:f>'Avansi un starpposms'!$D$6:$D$33</c:f>
              <c:numCache>
                <c:formatCode>0.0%</c:formatCode>
                <c:ptCount val="28"/>
                <c:pt idx="0">
                  <c:v>2.8199999947104416E-2</c:v>
                </c:pt>
                <c:pt idx="1">
                  <c:v>2.819999998107697E-2</c:v>
                </c:pt>
                <c:pt idx="2">
                  <c:v>2.8199999997546889E-2</c:v>
                </c:pt>
                <c:pt idx="3">
                  <c:v>2.8200000010169646E-2</c:v>
                </c:pt>
                <c:pt idx="4">
                  <c:v>2.9097940559355294E-2</c:v>
                </c:pt>
                <c:pt idx="5">
                  <c:v>2.8878194951025799E-2</c:v>
                </c:pt>
                <c:pt idx="6">
                  <c:v>2.838448990390055E-2</c:v>
                </c:pt>
                <c:pt idx="7">
                  <c:v>3.0495760624640249E-2</c:v>
                </c:pt>
                <c:pt idx="8">
                  <c:v>2.8200000066790621E-2</c:v>
                </c:pt>
                <c:pt idx="9">
                  <c:v>2.8199999996781508E-2</c:v>
                </c:pt>
                <c:pt idx="10">
                  <c:v>3.3458479110226105E-2</c:v>
                </c:pt>
                <c:pt idx="11">
                  <c:v>3.4375460789004025E-2</c:v>
                </c:pt>
                <c:pt idx="12">
                  <c:v>3.3713840604497343E-2</c:v>
                </c:pt>
                <c:pt idx="13">
                  <c:v>2.9745625054801363E-2</c:v>
                </c:pt>
                <c:pt idx="14">
                  <c:v>3.4365524629170564E-2</c:v>
                </c:pt>
                <c:pt idx="15">
                  <c:v>3.896271707121083E-2</c:v>
                </c:pt>
                <c:pt idx="16">
                  <c:v>3.5552539151188056E-2</c:v>
                </c:pt>
                <c:pt idx="17">
                  <c:v>2.9164214341176196E-2</c:v>
                </c:pt>
                <c:pt idx="18">
                  <c:v>4.2381980534857942E-2</c:v>
                </c:pt>
                <c:pt idx="19">
                  <c:v>5.2559352970705027E-2</c:v>
                </c:pt>
                <c:pt idx="20">
                  <c:v>2.8199999666318032E-2</c:v>
                </c:pt>
                <c:pt idx="21">
                  <c:v>3.0127812123681163E-2</c:v>
                </c:pt>
                <c:pt idx="22">
                  <c:v>3.0382927540857488E-2</c:v>
                </c:pt>
                <c:pt idx="23">
                  <c:v>4.2837112401939735E-2</c:v>
                </c:pt>
                <c:pt idx="24">
                  <c:v>3.5116192023120565E-2</c:v>
                </c:pt>
                <c:pt idx="25">
                  <c:v>2.8199999992361145E-2</c:v>
                </c:pt>
                <c:pt idx="26">
                  <c:v>2.9590792980947456E-2</c:v>
                </c:pt>
                <c:pt idx="27">
                  <c:v>0.10616434919455298</c:v>
                </c:pt>
              </c:numCache>
            </c:numRef>
          </c:val>
          <c:extLst xmlns:c16r2="http://schemas.microsoft.com/office/drawing/2015/06/chart">
            <c:ext xmlns:c16="http://schemas.microsoft.com/office/drawing/2014/chart" uri="{C3380CC4-5D6E-409C-BE32-E72D297353CC}">
              <c16:uniqueId val="{00000000-854B-472F-821F-8CAFFC802D8A}"/>
            </c:ext>
          </c:extLst>
        </c:ser>
        <c:ser>
          <c:idx val="1"/>
          <c:order val="1"/>
          <c:tx>
            <c:strRef>
              <c:f>'Avansi un starpposms'!$E$5</c:f>
              <c:strCache>
                <c:ptCount val="1"/>
                <c:pt idx="0">
                  <c:v>Ikgadējais avanss</c:v>
                </c:pt>
              </c:strCache>
            </c:strRef>
          </c:tx>
          <c:spPr>
            <a:solidFill>
              <a:srgbClr val="FAC090"/>
            </a:solidFill>
            <a:ln w="25400">
              <a:noFill/>
            </a:ln>
          </c:spPr>
          <c:invertIfNegative val="0"/>
          <c:dLbls>
            <c:spPr>
              <a:noFill/>
              <a:ln w="25400">
                <a:noFill/>
              </a:ln>
            </c:spPr>
            <c:txPr>
              <a:bodyPr rot="0" vert="horz"/>
              <a:lstStyle/>
              <a:p>
                <a:pPr>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'Avansi un starpposms'!$C$6:$C$33</c:f>
              <c:strCache>
                <c:ptCount val="28"/>
                <c:pt idx="0">
                  <c:v>Somija (4,7%)</c:v>
                </c:pt>
                <c:pt idx="1">
                  <c:v>Nīderlande (4,7%)</c:v>
                </c:pt>
                <c:pt idx="2">
                  <c:v>Austrija (4,7%)</c:v>
                </c:pt>
                <c:pt idx="3">
                  <c:v>Malta (4,7%)</c:v>
                </c:pt>
                <c:pt idx="4">
                  <c:v>Slovēnija (4,8%)</c:v>
                </c:pt>
                <c:pt idx="5">
                  <c:v>Ungārija (4,8%)</c:v>
                </c:pt>
                <c:pt idx="6">
                  <c:v>Čehija (4,9%)</c:v>
                </c:pt>
                <c:pt idx="7">
                  <c:v>Horvātija (5,0%)</c:v>
                </c:pt>
                <c:pt idx="8">
                  <c:v>Dānija (5,3%)</c:v>
                </c:pt>
                <c:pt idx="9">
                  <c:v>Vācija (5,4)</c:v>
                </c:pt>
                <c:pt idx="10">
                  <c:v>Itālija (5,6%)</c:v>
                </c:pt>
                <c:pt idx="11">
                  <c:v>Francija (5,6%)</c:v>
                </c:pt>
                <c:pt idx="12">
                  <c:v>Lielbritānija (5,7%)</c:v>
                </c:pt>
                <c:pt idx="13">
                  <c:v>Slovākija (5,7%)</c:v>
                </c:pt>
                <c:pt idx="14">
                  <c:v>Beļģija (5,8%)</c:v>
                </c:pt>
                <c:pt idx="15">
                  <c:v>Rumānija (5,8%)</c:v>
                </c:pt>
                <c:pt idx="16">
                  <c:v>Zviedrija (6,1%)</c:v>
                </c:pt>
                <c:pt idx="17">
                  <c:v>Polija (6,8%)</c:v>
                </c:pt>
                <c:pt idx="18">
                  <c:v>Kipra (7,0%)</c:v>
                </c:pt>
                <c:pt idx="19">
                  <c:v>Īrija (7,2%)</c:v>
                </c:pt>
                <c:pt idx="20">
                  <c:v>Luksemburga (7,3%)</c:v>
                </c:pt>
                <c:pt idx="21">
                  <c:v>Latvija (7,9%)</c:v>
                </c:pt>
                <c:pt idx="22">
                  <c:v>Bulgārija (8,2%)</c:v>
                </c:pt>
                <c:pt idx="23">
                  <c:v>Spānija (8,5%)</c:v>
                </c:pt>
                <c:pt idx="24">
                  <c:v>Portugāle (8,9%)</c:v>
                </c:pt>
                <c:pt idx="25">
                  <c:v>Igaunija (9,2%)</c:v>
                </c:pt>
                <c:pt idx="26">
                  <c:v>Lietuva (9,8%)</c:v>
                </c:pt>
                <c:pt idx="27">
                  <c:v>Grieķija (14,9%)</c:v>
                </c:pt>
              </c:strCache>
            </c:strRef>
          </c:cat>
          <c:val>
            <c:numRef>
              <c:f>'Avansi un starpposms'!$E$6:$E$33</c:f>
              <c:numCache>
                <c:formatCode>0.0%</c:formatCode>
                <c:ptCount val="28"/>
                <c:pt idx="0">
                  <c:v>1.8799999964736271E-2</c:v>
                </c:pt>
                <c:pt idx="1">
                  <c:v>1.8799999987384644E-2</c:v>
                </c:pt>
                <c:pt idx="2">
                  <c:v>1.879999999836459E-2</c:v>
                </c:pt>
                <c:pt idx="3">
                  <c:v>1.8800000006779762E-2</c:v>
                </c:pt>
                <c:pt idx="4">
                  <c:v>1.8807340111990076E-2</c:v>
                </c:pt>
                <c:pt idx="5">
                  <c:v>1.8805543831843723E-2</c:v>
                </c:pt>
                <c:pt idx="6">
                  <c:v>1.8801508092240848E-2</c:v>
                </c:pt>
                <c:pt idx="7">
                  <c:v>1.8818766426940609E-2</c:v>
                </c:pt>
                <c:pt idx="8">
                  <c:v>1.8800000044527081E-2</c:v>
                </c:pt>
                <c:pt idx="9">
                  <c:v>1.8799999997854339E-2</c:v>
                </c:pt>
                <c:pt idx="10">
                  <c:v>1.8842989058925338E-2</c:v>
                </c:pt>
                <c:pt idx="11">
                  <c:v>1.8855209935916186E-2</c:v>
                </c:pt>
                <c:pt idx="12">
                  <c:v>1.8845072265369713E-2</c:v>
                </c:pt>
                <c:pt idx="13">
                  <c:v>1.8816938929797522E-2</c:v>
                </c:pt>
                <c:pt idx="14">
                  <c:v>1.8850398912882146E-2</c:v>
                </c:pt>
                <c:pt idx="15">
                  <c:v>1.8811285442216372E-2</c:v>
                </c:pt>
                <c:pt idx="16">
                  <c:v>1.8860101954114288E-2</c:v>
                </c:pt>
                <c:pt idx="17">
                  <c:v>1.8807881859706586E-2</c:v>
                </c:pt>
                <c:pt idx="18">
                  <c:v>1.883835514680918E-2</c:v>
                </c:pt>
                <c:pt idx="19">
                  <c:v>1.8960375400739096E-2</c:v>
                </c:pt>
                <c:pt idx="20">
                  <c:v>1.8799999777545356E-2</c:v>
                </c:pt>
                <c:pt idx="21">
                  <c:v>1.8815758673982934E-2</c:v>
                </c:pt>
                <c:pt idx="22">
                  <c:v>1.8817844092263572E-2</c:v>
                </c:pt>
                <c:pt idx="23">
                  <c:v>1.888239066997045E-2</c:v>
                </c:pt>
                <c:pt idx="24">
                  <c:v>1.8818079067672595E-2</c:v>
                </c:pt>
                <c:pt idx="25">
                  <c:v>1.8799999994907429E-2</c:v>
                </c:pt>
                <c:pt idx="26">
                  <c:v>1.8811368879482156E-2</c:v>
                </c:pt>
                <c:pt idx="27">
                  <c:v>1.8862815701533808E-2</c:v>
                </c:pt>
              </c:numCache>
            </c:numRef>
          </c:val>
          <c:extLst xmlns:c16r2="http://schemas.microsoft.com/office/drawing/2015/06/chart">
            <c:ext xmlns:c16="http://schemas.microsoft.com/office/drawing/2014/chart" uri="{C3380CC4-5D6E-409C-BE32-E72D297353CC}">
              <c16:uniqueId val="{00000001-854B-472F-821F-8CAFFC802D8A}"/>
            </c:ext>
          </c:extLst>
        </c:ser>
        <c:ser>
          <c:idx val="2"/>
          <c:order val="2"/>
          <c:tx>
            <c:strRef>
              <c:f>'Avansi un starpposms'!$F$5</c:f>
              <c:strCache>
                <c:ptCount val="1"/>
                <c:pt idx="0">
                  <c:v>Starpposma maksājumi </c:v>
                </c:pt>
              </c:strCache>
            </c:strRef>
          </c:tx>
          <c:spPr>
            <a:solidFill>
              <a:srgbClr val="9BBB59"/>
            </a:solidFill>
            <a:ln w="25400">
              <a:noFill/>
            </a:ln>
          </c:spPr>
          <c:invertIfNegative val="0"/>
          <c:dLbls>
            <c:dLbl>
              <c:idx val="0"/>
              <c:delete val="1"/>
              <c:extLst xmlns:c16r2="http://schemas.microsoft.com/office/drawing/2015/06/chart">
                <c:ext xmlns:c16="http://schemas.microsoft.com/office/drawing/2014/chart" uri="{C3380CC4-5D6E-409C-BE32-E72D297353CC}">
                  <c16:uniqueId val="{00000002-854B-472F-821F-8CAFFC802D8A}"/>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3-854B-472F-821F-8CAFFC802D8A}"/>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4-854B-472F-821F-8CAFFC802D8A}"/>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5-854B-472F-821F-8CAFFC802D8A}"/>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6-854B-472F-821F-8CAFFC802D8A}"/>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7-854B-472F-821F-8CAFFC802D8A}"/>
                </c:ext>
                <c:ext xmlns:c15="http://schemas.microsoft.com/office/drawing/2012/chart" uri="{CE6537A1-D6FC-4f65-9D91-7224C49458BB}"/>
              </c:extLst>
            </c:dLbl>
            <c:dLbl>
              <c:idx val="6"/>
              <c:layout>
                <c:manualLayout>
                  <c:x val="4.0997610678618526E-2"/>
                  <c:y val="-7.6587452940151604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54B-472F-821F-8CAFFC802D8A}"/>
                </c:ext>
                <c:ext xmlns:c15="http://schemas.microsoft.com/office/drawing/2012/chart" uri="{CE6537A1-D6FC-4f65-9D91-7224C49458BB}">
                  <c15:layout/>
                </c:ext>
              </c:extLst>
            </c:dLbl>
            <c:dLbl>
              <c:idx val="7"/>
              <c:layout>
                <c:manualLayout>
                  <c:x val="3.3542986075500492E-2"/>
                  <c:y val="-7.6587452940151604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54B-472F-821F-8CAFFC802D8A}"/>
                </c:ext>
                <c:ext xmlns:c15="http://schemas.microsoft.com/office/drawing/2012/chart" uri="{CE6537A1-D6FC-4f65-9D91-7224C49458BB}">
                  <c15:layout/>
                </c:ext>
              </c:extLst>
            </c:dLbl>
            <c:dLbl>
              <c:idx val="8"/>
              <c:layout>
                <c:manualLayout>
                  <c:x val="4.3778184848542075E-2"/>
                  <c:y val="1.6629592319236091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54B-472F-821F-8CAFFC802D8A}"/>
                </c:ext>
                <c:ext xmlns:c15="http://schemas.microsoft.com/office/drawing/2012/chart" uri="{CE6537A1-D6FC-4f65-9D91-7224C49458BB}">
                  <c15:layout/>
                </c:ext>
              </c:extLst>
            </c:dLbl>
            <c:dLbl>
              <c:idx val="9"/>
              <c:layout>
                <c:manualLayout>
                  <c:x val="4.8421244961853585E-2"/>
                  <c:y val="-2.0882794350445865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54B-472F-821F-8CAFFC802D8A}"/>
                </c:ext>
                <c:ext xmlns:c15="http://schemas.microsoft.com/office/drawing/2012/chart" uri="{CE6537A1-D6FC-4f65-9D91-7224C49458BB}">
                  <c15:layout/>
                </c:ext>
              </c:extLst>
            </c:dLbl>
            <c:dLbl>
              <c:idx val="10"/>
              <c:layout>
                <c:manualLayout>
                  <c:x val="3.8725148628444304E-2"/>
                  <c:y val="-2.5140930490738264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854B-472F-821F-8CAFFC802D8A}"/>
                </c:ext>
                <c:ext xmlns:c15="http://schemas.microsoft.com/office/drawing/2012/chart" uri="{CE6537A1-D6FC-4f65-9D91-7224C49458BB}">
                  <c15:layout/>
                </c:ext>
              </c:extLst>
            </c:dLbl>
            <c:dLbl>
              <c:idx val="11"/>
              <c:layout>
                <c:manualLayout>
                  <c:x val="3.8947730144687595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54B-472F-821F-8CAFFC802D8A}"/>
                </c:ext>
                <c:ext xmlns:c15="http://schemas.microsoft.com/office/drawing/2012/chart" uri="{CE6537A1-D6FC-4f65-9D91-7224C49458BB}">
                  <c15:layout/>
                </c:ext>
              </c:extLst>
            </c:dLbl>
            <c:dLbl>
              <c:idx val="12"/>
              <c:layout>
                <c:manualLayout>
                  <c:x val="3.8672712350584587E-2"/>
                  <c:y val="1.9464720194647203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854B-472F-821F-8CAFFC802D8A}"/>
                </c:ext>
                <c:ext xmlns:c15="http://schemas.microsoft.com/office/drawing/2012/chart" uri="{CE6537A1-D6FC-4f65-9D91-7224C49458BB}">
                  <c15:layout/>
                </c:ext>
              </c:extLst>
            </c:dLbl>
            <c:dLbl>
              <c:idx val="13"/>
              <c:layout>
                <c:manualLayout>
                  <c:x val="5.1505104606049276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854B-472F-821F-8CAFFC802D8A}"/>
                </c:ext>
                <c:ext xmlns:c15="http://schemas.microsoft.com/office/drawing/2012/chart" uri="{CE6537A1-D6FC-4f65-9D91-7224C49458BB}">
                  <c15:layout/>
                </c:ext>
              </c:extLst>
            </c:dLbl>
            <c:dLbl>
              <c:idx val="14"/>
              <c:layout>
                <c:manualLayout>
                  <c:x val="5.4150638290956662E-2"/>
                  <c:y val="1.8047014196217459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854B-472F-821F-8CAFFC802D8A}"/>
                </c:ext>
                <c:ext xmlns:c15="http://schemas.microsoft.com/office/drawing/2012/chart" uri="{CE6537A1-D6FC-4f65-9D91-7224C49458BB}">
                  <c15:layout/>
                </c:ext>
              </c:extLst>
            </c:dLbl>
            <c:dLbl>
              <c:idx val="15"/>
              <c:delete val="1"/>
              <c:extLst xmlns:c16r2="http://schemas.microsoft.com/office/drawing/2015/06/chart">
                <c:ext xmlns:c16="http://schemas.microsoft.com/office/drawing/2014/chart" uri="{C3380CC4-5D6E-409C-BE32-E72D297353CC}">
                  <c16:uniqueId val="{00000011-854B-472F-821F-8CAFFC802D8A}"/>
                </c:ext>
                <c:ext xmlns:c15="http://schemas.microsoft.com/office/drawing/2012/chart" uri="{CE6537A1-D6FC-4f65-9D91-7224C49458BB}"/>
              </c:extLst>
            </c:dLbl>
            <c:dLbl>
              <c:idx val="16"/>
              <c:layout>
                <c:manualLayout>
                  <c:x val="4.919713281434232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854B-472F-821F-8CAFFC802D8A}"/>
                </c:ext>
                <c:ext xmlns:c15="http://schemas.microsoft.com/office/drawing/2012/chart" uri="{CE6537A1-D6FC-4f65-9D91-7224C49458BB}">
                  <c15:layout/>
                </c:ext>
              </c:extLst>
            </c:dLbl>
            <c:dLbl>
              <c:idx val="17"/>
              <c:layout>
                <c:manualLayout>
                  <c:x val="7.2168868835569402E-2"/>
                  <c:y val="3.8244387192817445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854B-472F-821F-8CAFFC802D8A}"/>
                </c:ext>
                <c:ext xmlns:c15="http://schemas.microsoft.com/office/drawing/2012/chart" uri="{CE6537A1-D6FC-4f65-9D91-7224C49458BB}">
                  <c15:layout/>
                </c:ext>
              </c:extLst>
            </c:dLbl>
            <c:dLbl>
              <c:idx val="18"/>
              <c:layout>
                <c:manualLayout>
                  <c:x val="4.5890641378805976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854B-472F-821F-8CAFFC802D8A}"/>
                </c:ext>
                <c:ext xmlns:c15="http://schemas.microsoft.com/office/drawing/2012/chart" uri="{CE6537A1-D6FC-4f65-9D91-7224C49458BB}">
                  <c15:layout/>
                </c:ext>
              </c:extLst>
            </c:dLbl>
            <c:dLbl>
              <c:idx val="19"/>
              <c:delete val="1"/>
              <c:extLst xmlns:c16r2="http://schemas.microsoft.com/office/drawing/2015/06/chart">
                <c:ext xmlns:c16="http://schemas.microsoft.com/office/drawing/2014/chart" uri="{C3380CC4-5D6E-409C-BE32-E72D297353CC}">
                  <c16:uniqueId val="{00000015-854B-472F-821F-8CAFFC802D8A}"/>
                </c:ext>
                <c:ext xmlns:c15="http://schemas.microsoft.com/office/drawing/2012/chart" uri="{CE6537A1-D6FC-4f65-9D91-7224C49458BB}"/>
              </c:extLst>
            </c:dLbl>
            <c:dLbl>
              <c:idx val="20"/>
              <c:layout>
                <c:manualLayout>
                  <c:x val="9.4639433277437776E-2"/>
                  <c:y val="-3.8244387192817445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854B-472F-821F-8CAFFC802D8A}"/>
                </c:ext>
                <c:ext xmlns:c15="http://schemas.microsoft.com/office/drawing/2012/chart" uri="{CE6537A1-D6FC-4f65-9D91-7224C49458BB}">
                  <c15:layout/>
                </c:ext>
              </c:extLst>
            </c:dLbl>
            <c:dLbl>
              <c:idx val="21"/>
              <c:layout>
                <c:manualLayout>
                  <c:x val="0.1024940266965465"/>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854B-472F-821F-8CAFFC802D8A}"/>
                </c:ext>
                <c:ext xmlns:c15="http://schemas.microsoft.com/office/drawing/2012/chart" uri="{CE6537A1-D6FC-4f65-9D91-7224C49458BB}">
                  <c15:layout/>
                </c:ext>
              </c:extLst>
            </c:dLbl>
            <c:dLbl>
              <c:idx val="22"/>
              <c:layout>
                <c:manualLayout>
                  <c:x val="0.10520680954172573"/>
                  <c:y val="-3.8244387192817445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854B-472F-821F-8CAFFC802D8A}"/>
                </c:ext>
                <c:ext xmlns:c15="http://schemas.microsoft.com/office/drawing/2012/chart" uri="{CE6537A1-D6FC-4f65-9D91-7224C49458BB}">
                  <c15:layout/>
                </c:ext>
              </c:extLst>
            </c:dLbl>
            <c:dLbl>
              <c:idx val="23"/>
              <c:layout>
                <c:manualLayout>
                  <c:x val="8.0525925097365211E-2"/>
                  <c:y val="-1.4175499251065774E-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854B-472F-821F-8CAFFC802D8A}"/>
                </c:ext>
                <c:ext xmlns:c15="http://schemas.microsoft.com/office/drawing/2012/chart" uri="{CE6537A1-D6FC-4f65-9D91-7224C49458BB}">
                  <c15:layout/>
                </c:ext>
              </c:extLst>
            </c:dLbl>
            <c:dLbl>
              <c:idx val="24"/>
              <c:layout>
                <c:manualLayout>
                  <c:x val="0.10624931945426326"/>
                  <c:y val="-4.2531179952870853E-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854B-472F-821F-8CAFFC802D8A}"/>
                </c:ext>
                <c:ext xmlns:c15="http://schemas.microsoft.com/office/drawing/2012/chart" uri="{CE6537A1-D6FC-4f65-9D91-7224C49458BB}">
                  <c15:layout/>
                </c:ext>
              </c:extLst>
            </c:dLbl>
            <c:dLbl>
              <c:idx val="25"/>
              <c:layout>
                <c:manualLayout>
                  <c:x val="0.13582024194078163"/>
                  <c:y val="-4.2312961843268257E-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854B-472F-821F-8CAFFC802D8A}"/>
                </c:ext>
                <c:ext xmlns:c15="http://schemas.microsoft.com/office/drawing/2012/chart" uri="{CE6537A1-D6FC-4f65-9D91-7224C49458BB}">
                  <c15:layout/>
                </c:ext>
              </c:extLst>
            </c:dLbl>
            <c:dLbl>
              <c:idx val="26"/>
              <c:layout>
                <c:manualLayout>
                  <c:x val="0.13874600814217117"/>
                  <c:y val="-2.0882426193076318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854B-472F-821F-8CAFFC802D8A}"/>
                </c:ext>
                <c:ext xmlns:c15="http://schemas.microsoft.com/office/drawing/2012/chart" uri="{CE6537A1-D6FC-4f65-9D91-7224C49458BB}">
                  <c15:layout/>
                </c:ext>
              </c:extLst>
            </c:dLbl>
            <c:dLbl>
              <c:idx val="27"/>
              <c:layout>
                <c:manualLayout>
                  <c:x val="7.7884498183857051E-2"/>
                  <c:y val="-5.0577619403413988E-6"/>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854B-472F-821F-8CAFFC802D8A}"/>
                </c:ext>
                <c:ext xmlns:c15="http://schemas.microsoft.com/office/drawing/2012/chart" uri="{CE6537A1-D6FC-4f65-9D91-7224C49458BB}">
                  <c15:layout/>
                </c:ext>
              </c:extLst>
            </c:dLbl>
            <c:spPr>
              <a:noFill/>
              <a:ln w="25400">
                <a:noFill/>
              </a:ln>
            </c:spPr>
            <c:txPr>
              <a:bodyPr rot="0" vert="horz"/>
              <a:lstStyle/>
              <a:p>
                <a:pPr>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'Avansi un starpposms'!$C$6:$C$33</c:f>
              <c:strCache>
                <c:ptCount val="28"/>
                <c:pt idx="0">
                  <c:v>Somija (4,7%)</c:v>
                </c:pt>
                <c:pt idx="1">
                  <c:v>Nīderlande (4,7%)</c:v>
                </c:pt>
                <c:pt idx="2">
                  <c:v>Austrija (4,7%)</c:v>
                </c:pt>
                <c:pt idx="3">
                  <c:v>Malta (4,7%)</c:v>
                </c:pt>
                <c:pt idx="4">
                  <c:v>Slovēnija (4,8%)</c:v>
                </c:pt>
                <c:pt idx="5">
                  <c:v>Ungārija (4,8%)</c:v>
                </c:pt>
                <c:pt idx="6">
                  <c:v>Čehija (4,9%)</c:v>
                </c:pt>
                <c:pt idx="7">
                  <c:v>Horvātija (5,0%)</c:v>
                </c:pt>
                <c:pt idx="8">
                  <c:v>Dānija (5,3%)</c:v>
                </c:pt>
                <c:pt idx="9">
                  <c:v>Vācija (5,4)</c:v>
                </c:pt>
                <c:pt idx="10">
                  <c:v>Itālija (5,6%)</c:v>
                </c:pt>
                <c:pt idx="11">
                  <c:v>Francija (5,6%)</c:v>
                </c:pt>
                <c:pt idx="12">
                  <c:v>Lielbritānija (5,7%)</c:v>
                </c:pt>
                <c:pt idx="13">
                  <c:v>Slovākija (5,7%)</c:v>
                </c:pt>
                <c:pt idx="14">
                  <c:v>Beļģija (5,8%)</c:v>
                </c:pt>
                <c:pt idx="15">
                  <c:v>Rumānija (5,8%)</c:v>
                </c:pt>
                <c:pt idx="16">
                  <c:v>Zviedrija (6,1%)</c:v>
                </c:pt>
                <c:pt idx="17">
                  <c:v>Polija (6,8%)</c:v>
                </c:pt>
                <c:pt idx="18">
                  <c:v>Kipra (7,0%)</c:v>
                </c:pt>
                <c:pt idx="19">
                  <c:v>Īrija (7,2%)</c:v>
                </c:pt>
                <c:pt idx="20">
                  <c:v>Luksemburga (7,3%)</c:v>
                </c:pt>
                <c:pt idx="21">
                  <c:v>Latvija (7,9%)</c:v>
                </c:pt>
                <c:pt idx="22">
                  <c:v>Bulgārija (8,2%)</c:v>
                </c:pt>
                <c:pt idx="23">
                  <c:v>Spānija (8,5%)</c:v>
                </c:pt>
                <c:pt idx="24">
                  <c:v>Portugāle (8,9%)</c:v>
                </c:pt>
                <c:pt idx="25">
                  <c:v>Igaunija (9,2%)</c:v>
                </c:pt>
                <c:pt idx="26">
                  <c:v>Lietuva (9,8%)</c:v>
                </c:pt>
                <c:pt idx="27">
                  <c:v>Grieķija (14,9%)</c:v>
                </c:pt>
              </c:strCache>
            </c:strRef>
          </c:cat>
          <c:val>
            <c:numRef>
              <c:f>'Avansi un starpposms'!$F$6:$F$33</c:f>
              <c:numCache>
                <c:formatCode>0.0%</c:formatCode>
                <c:ptCount val="28"/>
                <c:pt idx="0">
                  <c:v>0</c:v>
                </c:pt>
                <c:pt idx="1">
                  <c:v>0</c:v>
                </c:pt>
                <c:pt idx="2">
                  <c:v>0</c:v>
                </c:pt>
                <c:pt idx="3">
                  <c:v>0</c:v>
                </c:pt>
                <c:pt idx="4">
                  <c:v>0</c:v>
                </c:pt>
                <c:pt idx="5">
                  <c:v>3.7944977295888886E-4</c:v>
                </c:pt>
                <c:pt idx="6">
                  <c:v>1.3278035796947083E-3</c:v>
                </c:pt>
                <c:pt idx="7">
                  <c:v>1.0240168771191349E-3</c:v>
                </c:pt>
                <c:pt idx="8">
                  <c:v>5.5670423885843291E-3</c:v>
                </c:pt>
                <c:pt idx="9">
                  <c:v>7.1735014232633164E-3</c:v>
                </c:pt>
                <c:pt idx="10">
                  <c:v>3.3260743988256947E-3</c:v>
                </c:pt>
                <c:pt idx="11">
                  <c:v>3.0005653705369867E-3</c:v>
                </c:pt>
                <c:pt idx="12">
                  <c:v>3.9787958792183858E-3</c:v>
                </c:pt>
                <c:pt idx="13">
                  <c:v>8.7975404181908374E-3</c:v>
                </c:pt>
                <c:pt idx="14">
                  <c:v>4.5550319554461772E-3</c:v>
                </c:pt>
                <c:pt idx="15">
                  <c:v>0</c:v>
                </c:pt>
                <c:pt idx="16">
                  <c:v>6.237157893964459E-3</c:v>
                </c:pt>
                <c:pt idx="17">
                  <c:v>1.955021238796956E-2</c:v>
                </c:pt>
                <c:pt idx="18">
                  <c:v>8.4825175475078743E-3</c:v>
                </c:pt>
                <c:pt idx="19">
                  <c:v>0</c:v>
                </c:pt>
                <c:pt idx="20">
                  <c:v>2.5852368330487516E-2</c:v>
                </c:pt>
                <c:pt idx="21">
                  <c:v>2.9934109804553202E-2</c:v>
                </c:pt>
                <c:pt idx="22">
                  <c:v>3.2493164158790604E-2</c:v>
                </c:pt>
                <c:pt idx="23">
                  <c:v>2.3155198900481327E-2</c:v>
                </c:pt>
                <c:pt idx="24">
                  <c:v>3.5250719734381875E-2</c:v>
                </c:pt>
                <c:pt idx="25">
                  <c:v>4.5010044274856664E-2</c:v>
                </c:pt>
                <c:pt idx="26">
                  <c:v>4.9738324858752979E-2</c:v>
                </c:pt>
                <c:pt idx="27">
                  <c:v>2.3574250614463457E-2</c:v>
                </c:pt>
              </c:numCache>
            </c:numRef>
          </c:val>
          <c:extLst xmlns:c16r2="http://schemas.microsoft.com/office/drawing/2015/06/chart">
            <c:ext xmlns:c16="http://schemas.microsoft.com/office/drawing/2014/chart" uri="{C3380CC4-5D6E-409C-BE32-E72D297353CC}">
              <c16:uniqueId val="{0000001E-854B-472F-821F-8CAFFC802D8A}"/>
            </c:ext>
          </c:extLst>
        </c:ser>
        <c:dLbls>
          <c:showLegendKey val="0"/>
          <c:showVal val="0"/>
          <c:showCatName val="0"/>
          <c:showSerName val="0"/>
          <c:showPercent val="0"/>
          <c:showBubbleSize val="0"/>
        </c:dLbls>
        <c:gapWidth val="150"/>
        <c:overlap val="100"/>
        <c:axId val="283683128"/>
        <c:axId val="283683520"/>
      </c:barChart>
      <c:catAx>
        <c:axId val="2836831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lv-LV"/>
          </a:p>
        </c:txPr>
        <c:crossAx val="283683520"/>
        <c:crosses val="autoZero"/>
        <c:auto val="1"/>
        <c:lblAlgn val="ctr"/>
        <c:lblOffset val="100"/>
        <c:noMultiLvlLbl val="0"/>
      </c:catAx>
      <c:valAx>
        <c:axId val="28368352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9525">
            <a:noFill/>
          </a:ln>
        </c:spPr>
        <c:txPr>
          <a:bodyPr rot="-60000000" vert="horz"/>
          <a:lstStyle/>
          <a:p>
            <a:pPr>
              <a:defRPr/>
            </a:pPr>
            <a:endParaRPr lang="lv-LV"/>
          </a:p>
        </c:txPr>
        <c:crossAx val="283683128"/>
        <c:crosses val="autoZero"/>
        <c:crossBetween val="between"/>
      </c:valAx>
      <c:spPr>
        <a:noFill/>
        <a:ln w="25400">
          <a:noFill/>
        </a:ln>
      </c:spPr>
    </c:plotArea>
    <c:legend>
      <c:legendPos val="b"/>
      <c:layout/>
      <c:overlay val="0"/>
      <c:spPr>
        <a:noFill/>
        <a:ln w="25400">
          <a:noFill/>
        </a:ln>
      </c:spPr>
      <c:txPr>
        <a:bodyPr rot="0" vert="horz"/>
        <a:lstStyle/>
        <a:p>
          <a:pPr>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0.00117</cdr:x>
      <cdr:y>0.50703</cdr:y>
    </cdr:from>
    <cdr:to>
      <cdr:x>1</cdr:x>
      <cdr:y>0.50863</cdr:y>
    </cdr:to>
    <cdr:cxnSp macro="">
      <cdr:nvCxnSpPr>
        <cdr:cNvPr id="5" name="Straight Connector 4"/>
        <cdr:cNvCxnSpPr/>
      </cdr:nvCxnSpPr>
      <cdr:spPr>
        <a:xfrm xmlns:a="http://schemas.openxmlformats.org/drawingml/2006/main" flipV="1">
          <a:off x="6921" y="2081493"/>
          <a:ext cx="5908104" cy="6568"/>
        </a:xfrm>
        <a:prstGeom xmlns:a="http://schemas.openxmlformats.org/drawingml/2006/main" prst="line">
          <a:avLst/>
        </a:prstGeom>
        <a:ln xmlns:a="http://schemas.openxmlformats.org/drawingml/2006/main">
          <a:solidFill>
            <a:schemeClr val="tx1">
              <a:lumMod val="95000"/>
              <a:lumOff val="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0.13312</cdr:x>
      <cdr:y>0.86947</cdr:y>
    </cdr:from>
    <cdr:to>
      <cdr:x>0.48323</cdr:x>
      <cdr:y>0.94316</cdr:y>
    </cdr:to>
    <cdr:sp macro="" textlink="">
      <cdr:nvSpPr>
        <cdr:cNvPr id="2" name="TextBox 1"/>
        <cdr:cNvSpPr txBox="1"/>
      </cdr:nvSpPr>
      <cdr:spPr>
        <a:xfrm xmlns:a="http://schemas.openxmlformats.org/drawingml/2006/main">
          <a:off x="1209676" y="3933826"/>
          <a:ext cx="318135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v-LV" sz="1100"/>
        </a:p>
      </cdr:txBody>
    </cdr:sp>
  </cdr:relSizeAnchor>
</c:userShapes>
</file>

<file path=word/drawings/drawing3.xml><?xml version="1.0" encoding="utf-8"?>
<c:userShapes xmlns:c="http://schemas.openxmlformats.org/drawingml/2006/chart">
  <cdr:relSizeAnchor xmlns:cdr="http://schemas.openxmlformats.org/drawingml/2006/chartDrawing">
    <cdr:from>
      <cdr:x>0.66692</cdr:x>
      <cdr:y>0.31224</cdr:y>
    </cdr:from>
    <cdr:to>
      <cdr:x>0.96673</cdr:x>
      <cdr:y>0.38009</cdr:y>
    </cdr:to>
    <cdr:sp macro="" textlink="">
      <cdr:nvSpPr>
        <cdr:cNvPr id="2" name="TextBox 1"/>
        <cdr:cNvSpPr txBox="1"/>
      </cdr:nvSpPr>
      <cdr:spPr>
        <a:xfrm xmlns:a="http://schemas.openxmlformats.org/drawingml/2006/main">
          <a:off x="2979278" y="1409700"/>
          <a:ext cx="1339319" cy="3063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v-LV" sz="1100">
              <a:latin typeface="Times New Roman" panose="02020603050405020304" pitchFamily="18" charset="0"/>
              <a:cs typeface="Times New Roman" panose="02020603050405020304" pitchFamily="18" charset="0"/>
            </a:rPr>
            <a:t>ES</a:t>
          </a:r>
          <a:r>
            <a:rPr lang="lv-LV" sz="1100" baseline="0">
              <a:latin typeface="Times New Roman" panose="02020603050405020304" pitchFamily="18" charset="0"/>
              <a:cs typeface="Times New Roman" panose="02020603050405020304" pitchFamily="18" charset="0"/>
            </a:rPr>
            <a:t> vidējais - 6,59%</a:t>
          </a:r>
          <a:endParaRPr lang="lv-LV"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cdr:x>
      <cdr:y>0.36569</cdr:y>
    </cdr:from>
    <cdr:to>
      <cdr:x>1</cdr:x>
      <cdr:y>0.36882</cdr:y>
    </cdr:to>
    <cdr:cxnSp macro="">
      <cdr:nvCxnSpPr>
        <cdr:cNvPr id="8" name="Straight Connector 7"/>
        <cdr:cNvCxnSpPr>
          <a:cxnSpLocks xmlns:a="http://schemas.openxmlformats.org/drawingml/2006/main" noChangeShapeType="1"/>
        </cdr:cNvCxnSpPr>
      </cdr:nvCxnSpPr>
      <cdr:spPr bwMode="auto">
        <a:xfrm xmlns:a="http://schemas.openxmlformats.org/drawingml/2006/main">
          <a:off x="0" y="2226310"/>
          <a:ext cx="6195483" cy="19055"/>
        </a:xfrm>
        <a:prstGeom xmlns:a="http://schemas.openxmlformats.org/drawingml/2006/main" prst="line">
          <a:avLst/>
        </a:prstGeom>
        <a:noFill xmlns:a="http://schemas.openxmlformats.org/drawingml/2006/main"/>
        <a:ln xmlns:a="http://schemas.openxmlformats.org/drawingml/2006/main" w="9525" algn="ctr">
          <a:solidFill>
            <a:srgbClr xmlns:mc="http://schemas.openxmlformats.org/markup-compatibility/2006" xmlns:a14="http://schemas.microsoft.com/office/drawing/2010/main" val="000000" mc:Ignorable="a14" a14:legacySpreadsheetColorIndex="64"/>
          </a:solidFill>
          <a:round/>
          <a:headEnd/>
          <a:tailEnd/>
        </a:ln>
        <a:effectLst xmlns:a="http://schemas.openxmlformats.org/drawingml/2006/main"/>
        <a:extLst xmlns:a="http://schemas.openxmlformats.org/drawingml/2006/main">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cdr:spPr>
    </cdr:cxnSp>
  </cdr:relSizeAnchor>
  <cdr:relSizeAnchor xmlns:cdr="http://schemas.openxmlformats.org/drawingml/2006/chartDrawing">
    <cdr:from>
      <cdr:x>0.06898</cdr:x>
      <cdr:y>0.2087</cdr:y>
    </cdr:from>
    <cdr:to>
      <cdr:x>0.64846</cdr:x>
      <cdr:y>0.24537</cdr:y>
    </cdr:to>
    <cdr:sp macro="" textlink="">
      <cdr:nvSpPr>
        <cdr:cNvPr id="9" name="Rounded Rectangle 8"/>
        <cdr:cNvSpPr/>
      </cdr:nvSpPr>
      <cdr:spPr bwMode="auto">
        <a:xfrm xmlns:a="http://schemas.openxmlformats.org/drawingml/2006/main">
          <a:off x="363384" y="1107905"/>
          <a:ext cx="3052676" cy="194683"/>
        </a:xfrm>
        <a:prstGeom xmlns:a="http://schemas.openxmlformats.org/drawingml/2006/main" prst="roundRect">
          <a:avLst/>
        </a:prstGeom>
        <a:noFill xmlns:a="http://schemas.openxmlformats.org/drawingml/2006/main"/>
        <a:ln xmlns:a="http://schemas.openxmlformats.org/drawingml/2006/main" w="22225" cap="flat" cmpd="sng" algn="ctr">
          <a:solidFill>
            <a:srgbClr val="00B050"/>
          </a:solidFill>
          <a:prstDash val="solid"/>
          <a:round/>
          <a:headEnd type="none" w="med" len="med"/>
          <a:tailEnd type="none" w="med" len="med"/>
        </a:ln>
        <a:effectLst xmlns:a="http://schemas.openxmlformats.org/drawingml/2006/main"/>
        <a:extLst xmlns:a="http://schemas.openxmlformats.org/drawingml/2006/main"/>
      </cdr:spPr>
      <cdr:txBody>
        <a:bodyPr xmlns:a="http://schemas.openxmlformats.org/drawingml/2006/main" rot="0" spcFirstLastPara="0" vert="horz" wrap="square" lIns="18288" tIns="0" rIns="0" bIns="0" numCol="1" spcCol="0" rtlCol="0" fromWordArt="0" anchor="t" anchorCtr="0" forceAA="0" upright="1" compatLnSpc="1">
          <a:prstTxWarp prst="textNoShape">
            <a:avLst/>
          </a:prstTxWarp>
          <a:noAutofit/>
        </a:bodyPr>
        <a:lstStyle xmlns:a="http://schemas.openxmlformats.org/drawingml/2006/main"/>
        <a:p xmlns:a="http://schemas.openxmlformats.org/drawingml/2006/main">
          <a:endParaRPr lang="lv-LV"/>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A9934-ADFE-4C7C-9CBA-30B34598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5536</Words>
  <Characters>3157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INFORMATĪVAIS ZIŅOJUMS PAR EIROPAS SAVIENĪBAS STRUKTŪRFONDU UN KOHĒZIJAS FONDA INVESTĪCIJU IEVIEŠANAS STATUSU</vt:lpstr>
    </vt:vector>
  </TitlesOfParts>
  <Company>Finanšu ministrija</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EIROPAS SAVIENĪBAS STRUKTŪRFONDU UN KOHĒZIJAS FONDA INVESTĪCIJU IEVIEŠANAS STATUSU</dc:title>
  <dc:subject>Informatīvais ziņojums</dc:subject>
  <dc:creator>Inta Dimzule</dc:creator>
  <cp:keywords/>
  <dc:description>67083873, inta.dimzule@fm.gov.lv</dc:description>
  <cp:lastModifiedBy>Diāna Rancāne</cp:lastModifiedBy>
  <cp:revision>31</cp:revision>
  <cp:lastPrinted>2016-12-20T11:17:00Z</cp:lastPrinted>
  <dcterms:created xsi:type="dcterms:W3CDTF">2016-12-20T11:10:00Z</dcterms:created>
  <dcterms:modified xsi:type="dcterms:W3CDTF">2016-12-23T14:11:00Z</dcterms:modified>
</cp:coreProperties>
</file>