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51734" w14:textId="77777777" w:rsidR="007B014A" w:rsidRDefault="007B014A" w:rsidP="00C109A7">
      <w:pPr>
        <w:keepNext/>
        <w:spacing w:line="240" w:lineRule="auto"/>
        <w:jc w:val="center"/>
        <w:rPr>
          <w:rFonts w:ascii="Times New Roman" w:eastAsiaTheme="minorHAnsi" w:hAnsi="Times New Roman" w:cstheme="minorBidi"/>
          <w:b/>
          <w:bCs/>
          <w:sz w:val="18"/>
          <w:szCs w:val="18"/>
        </w:rPr>
      </w:pPr>
    </w:p>
    <w:p w14:paraId="31D92EF6" w14:textId="77777777" w:rsidR="00C109A7" w:rsidRPr="00FA05C1" w:rsidRDefault="00C109A7" w:rsidP="00C109A7">
      <w:pPr>
        <w:keepNext/>
        <w:spacing w:line="240" w:lineRule="auto"/>
        <w:jc w:val="center"/>
        <w:rPr>
          <w:rFonts w:ascii="Times New Roman" w:eastAsiaTheme="minorHAnsi" w:hAnsi="Times New Roman" w:cstheme="minorBidi"/>
          <w:b/>
          <w:bCs/>
          <w:sz w:val="18"/>
          <w:szCs w:val="18"/>
        </w:rPr>
      </w:pPr>
      <w:r w:rsidRPr="00FA05C1">
        <w:rPr>
          <w:rFonts w:ascii="Times New Roman" w:eastAsiaTheme="minorHAnsi" w:hAnsi="Times New Roman" w:cstheme="minorBidi"/>
          <w:b/>
          <w:bCs/>
          <w:sz w:val="18"/>
          <w:szCs w:val="18"/>
        </w:rPr>
        <w:t xml:space="preserve">Tabula </w:t>
      </w:r>
      <w:r w:rsidR="001D727E" w:rsidRPr="00FA05C1">
        <w:rPr>
          <w:rFonts w:ascii="Times New Roman" w:eastAsiaTheme="minorHAnsi" w:hAnsi="Times New Roman" w:cstheme="minorBidi"/>
          <w:b/>
          <w:bCs/>
          <w:sz w:val="18"/>
          <w:szCs w:val="18"/>
        </w:rPr>
        <w:fldChar w:fldCharType="begin"/>
      </w:r>
      <w:r w:rsidRPr="00FA05C1">
        <w:rPr>
          <w:rFonts w:ascii="Times New Roman" w:eastAsiaTheme="minorHAnsi" w:hAnsi="Times New Roman" w:cstheme="minorBidi"/>
          <w:b/>
          <w:bCs/>
          <w:sz w:val="18"/>
          <w:szCs w:val="18"/>
        </w:rPr>
        <w:instrText xml:space="preserve"> SEQ Tabula \* ARABIC </w:instrText>
      </w:r>
      <w:r w:rsidR="001D727E" w:rsidRPr="00FA05C1">
        <w:rPr>
          <w:rFonts w:ascii="Times New Roman" w:eastAsiaTheme="minorHAnsi" w:hAnsi="Times New Roman" w:cstheme="minorBidi"/>
          <w:b/>
          <w:bCs/>
          <w:sz w:val="18"/>
          <w:szCs w:val="18"/>
        </w:rPr>
        <w:fldChar w:fldCharType="separate"/>
      </w:r>
      <w:r w:rsidRPr="00FA05C1">
        <w:rPr>
          <w:rFonts w:ascii="Times New Roman" w:eastAsiaTheme="minorHAnsi" w:hAnsi="Times New Roman" w:cstheme="minorBidi"/>
          <w:b/>
          <w:bCs/>
          <w:noProof/>
          <w:sz w:val="18"/>
          <w:szCs w:val="18"/>
        </w:rPr>
        <w:t>1</w:t>
      </w:r>
      <w:r w:rsidR="001D727E" w:rsidRPr="00FA05C1">
        <w:rPr>
          <w:rFonts w:ascii="Times New Roman" w:eastAsiaTheme="minorHAnsi" w:hAnsi="Times New Roman" w:cstheme="minorBidi"/>
          <w:b/>
          <w:bCs/>
          <w:sz w:val="18"/>
          <w:szCs w:val="18"/>
        </w:rPr>
        <w:fldChar w:fldCharType="end"/>
      </w:r>
      <w:r w:rsidRPr="00FA05C1">
        <w:rPr>
          <w:rFonts w:ascii="Times New Roman" w:eastAsiaTheme="minorHAnsi" w:hAnsi="Times New Roman" w:cstheme="minorBidi"/>
          <w:b/>
          <w:bCs/>
          <w:sz w:val="18"/>
          <w:szCs w:val="18"/>
        </w:rPr>
        <w:t xml:space="preserve"> Rādītāju pase investīciju prioritātes specifiskajiem mērķiem</w:t>
      </w:r>
    </w:p>
    <w:tbl>
      <w:tblPr>
        <w:tblStyle w:val="TableGrid1"/>
        <w:tblW w:w="14520" w:type="dxa"/>
        <w:tblInd w:w="-318" w:type="dxa"/>
        <w:tblLayout w:type="fixed"/>
        <w:tblLook w:val="04A0" w:firstRow="1" w:lastRow="0" w:firstColumn="1" w:lastColumn="0" w:noHBand="0" w:noVBand="1"/>
      </w:tblPr>
      <w:tblGrid>
        <w:gridCol w:w="1242"/>
        <w:gridCol w:w="1242"/>
        <w:gridCol w:w="1593"/>
        <w:gridCol w:w="2835"/>
        <w:gridCol w:w="4996"/>
        <w:gridCol w:w="2612"/>
      </w:tblGrid>
      <w:tr w:rsidR="00DC53C2" w:rsidRPr="00DC53C2" w14:paraId="5493148F" w14:textId="77777777" w:rsidTr="00FA05C1">
        <w:tc>
          <w:tcPr>
            <w:tcW w:w="1242" w:type="dxa"/>
          </w:tcPr>
          <w:p w14:paraId="73EB4FD5" w14:textId="77777777" w:rsidR="001F0C54" w:rsidRPr="00DC53C2" w:rsidRDefault="001F0C54" w:rsidP="00C109A7">
            <w:pPr>
              <w:spacing w:after="0" w:line="240" w:lineRule="auto"/>
              <w:jc w:val="center"/>
              <w:rPr>
                <w:rFonts w:ascii="Times New Roman" w:eastAsiaTheme="minorHAnsi" w:hAnsi="Times New Roman" w:cstheme="minorBidi"/>
                <w:b/>
                <w:sz w:val="16"/>
                <w:szCs w:val="16"/>
              </w:rPr>
            </w:pPr>
            <w:r w:rsidRPr="00DC53C2">
              <w:rPr>
                <w:rFonts w:ascii="Times New Roman" w:eastAsiaTheme="minorHAnsi" w:hAnsi="Times New Roman" w:cstheme="minorBidi"/>
                <w:b/>
                <w:sz w:val="16"/>
                <w:szCs w:val="16"/>
              </w:rPr>
              <w:t>Prioritārais virziens</w:t>
            </w:r>
          </w:p>
        </w:tc>
        <w:tc>
          <w:tcPr>
            <w:tcW w:w="1242" w:type="dxa"/>
          </w:tcPr>
          <w:p w14:paraId="25628EA0" w14:textId="77777777" w:rsidR="001F0C54" w:rsidRPr="00DC53C2" w:rsidRDefault="001F0C54" w:rsidP="00C109A7">
            <w:pPr>
              <w:spacing w:after="0" w:line="240" w:lineRule="auto"/>
              <w:jc w:val="center"/>
              <w:rPr>
                <w:rFonts w:ascii="Times New Roman" w:eastAsiaTheme="minorHAnsi" w:hAnsi="Times New Roman" w:cstheme="minorBidi"/>
                <w:b/>
                <w:sz w:val="16"/>
                <w:szCs w:val="16"/>
              </w:rPr>
            </w:pPr>
            <w:r w:rsidRPr="00DC53C2">
              <w:rPr>
                <w:rFonts w:ascii="Times New Roman" w:eastAsiaTheme="minorHAnsi" w:hAnsi="Times New Roman" w:cstheme="minorBidi"/>
                <w:b/>
                <w:sz w:val="16"/>
                <w:szCs w:val="16"/>
              </w:rPr>
              <w:t>Investīciju prioritātes nosaukums</w:t>
            </w:r>
          </w:p>
        </w:tc>
        <w:tc>
          <w:tcPr>
            <w:tcW w:w="1593" w:type="dxa"/>
          </w:tcPr>
          <w:p w14:paraId="5106477F" w14:textId="77777777" w:rsidR="001F0C54" w:rsidRPr="00DC53C2" w:rsidRDefault="001F0C54" w:rsidP="00C109A7">
            <w:pPr>
              <w:spacing w:after="0" w:line="240" w:lineRule="auto"/>
              <w:jc w:val="center"/>
              <w:rPr>
                <w:rFonts w:ascii="Times New Roman" w:eastAsiaTheme="minorHAnsi" w:hAnsi="Times New Roman" w:cstheme="minorBidi"/>
                <w:b/>
                <w:sz w:val="16"/>
                <w:szCs w:val="16"/>
              </w:rPr>
            </w:pPr>
            <w:r w:rsidRPr="00DC53C2">
              <w:rPr>
                <w:rFonts w:ascii="Times New Roman" w:eastAsiaTheme="minorHAnsi" w:hAnsi="Times New Roman" w:cstheme="minorBidi"/>
                <w:b/>
                <w:sz w:val="16"/>
                <w:szCs w:val="16"/>
              </w:rPr>
              <w:t>Specifiskie atbalsta mērķi (SAM)</w:t>
            </w:r>
          </w:p>
        </w:tc>
        <w:tc>
          <w:tcPr>
            <w:tcW w:w="2835" w:type="dxa"/>
          </w:tcPr>
          <w:p w14:paraId="78F1B5E4" w14:textId="77777777" w:rsidR="001F0C54" w:rsidRPr="00DC53C2" w:rsidRDefault="001F0C54" w:rsidP="00C109A7">
            <w:pPr>
              <w:spacing w:after="0" w:line="240" w:lineRule="auto"/>
              <w:jc w:val="center"/>
              <w:rPr>
                <w:rFonts w:ascii="Times New Roman" w:eastAsiaTheme="minorHAnsi" w:hAnsi="Times New Roman" w:cstheme="minorBidi"/>
                <w:b/>
                <w:sz w:val="16"/>
                <w:szCs w:val="16"/>
              </w:rPr>
            </w:pPr>
            <w:r w:rsidRPr="00DC53C2">
              <w:rPr>
                <w:rFonts w:ascii="Times New Roman" w:eastAsiaTheme="minorHAnsi" w:hAnsi="Times New Roman" w:cstheme="minorBidi"/>
                <w:b/>
                <w:sz w:val="16"/>
                <w:szCs w:val="16"/>
              </w:rPr>
              <w:t>Rezultāta rādītāji</w:t>
            </w:r>
          </w:p>
        </w:tc>
        <w:tc>
          <w:tcPr>
            <w:tcW w:w="4996" w:type="dxa"/>
          </w:tcPr>
          <w:p w14:paraId="6BDBD51A" w14:textId="77777777" w:rsidR="001F0C54" w:rsidRPr="00DC53C2" w:rsidRDefault="001F0C54" w:rsidP="00C109A7">
            <w:pPr>
              <w:spacing w:after="0" w:line="240" w:lineRule="auto"/>
              <w:jc w:val="center"/>
              <w:rPr>
                <w:rFonts w:ascii="Times New Roman" w:eastAsiaTheme="minorHAnsi" w:hAnsi="Times New Roman" w:cstheme="minorBidi"/>
                <w:b/>
                <w:sz w:val="16"/>
                <w:szCs w:val="16"/>
              </w:rPr>
            </w:pPr>
            <w:r w:rsidRPr="00DC53C2">
              <w:rPr>
                <w:rFonts w:ascii="Times New Roman" w:eastAsiaTheme="minorHAnsi" w:hAnsi="Times New Roman" w:cstheme="minorBidi"/>
                <w:b/>
                <w:sz w:val="16"/>
                <w:szCs w:val="16"/>
              </w:rPr>
              <w:t>Iznākuma rādītāji (IR)</w:t>
            </w:r>
          </w:p>
        </w:tc>
        <w:tc>
          <w:tcPr>
            <w:tcW w:w="2612" w:type="dxa"/>
          </w:tcPr>
          <w:p w14:paraId="6B8B2839" w14:textId="77777777" w:rsidR="001F0C54" w:rsidRPr="00DC53C2" w:rsidRDefault="001F0C54" w:rsidP="00C109A7">
            <w:pPr>
              <w:spacing w:after="0" w:line="240" w:lineRule="auto"/>
              <w:jc w:val="center"/>
              <w:rPr>
                <w:rFonts w:ascii="Times New Roman" w:eastAsiaTheme="minorHAnsi" w:hAnsi="Times New Roman" w:cstheme="minorBidi"/>
                <w:b/>
                <w:sz w:val="16"/>
                <w:szCs w:val="16"/>
              </w:rPr>
            </w:pPr>
            <w:r w:rsidRPr="00DC53C2">
              <w:rPr>
                <w:rFonts w:ascii="Times New Roman" w:eastAsiaTheme="minorHAnsi" w:hAnsi="Times New Roman" w:cstheme="minorBidi"/>
                <w:b/>
                <w:sz w:val="16"/>
                <w:szCs w:val="16"/>
              </w:rPr>
              <w:t>Finanšu rādītāji</w:t>
            </w:r>
            <w:r w:rsidRPr="00DC53C2">
              <w:rPr>
                <w:rFonts w:ascii="Times New Roman" w:eastAsiaTheme="minorHAnsi" w:hAnsi="Times New Roman" w:cstheme="minorBidi"/>
                <w:b/>
                <w:sz w:val="16"/>
                <w:szCs w:val="16"/>
                <w:vertAlign w:val="superscript"/>
              </w:rPr>
              <w:footnoteReference w:id="2"/>
            </w:r>
          </w:p>
        </w:tc>
      </w:tr>
      <w:tr w:rsidR="00DC53C2" w:rsidRPr="00DC53C2" w14:paraId="2E12AB84" w14:textId="77777777" w:rsidTr="00FA05C1">
        <w:trPr>
          <w:trHeight w:val="2254"/>
        </w:trPr>
        <w:tc>
          <w:tcPr>
            <w:tcW w:w="1242" w:type="dxa"/>
          </w:tcPr>
          <w:p w14:paraId="2988838C" w14:textId="77777777" w:rsidR="001F0C54" w:rsidRPr="00DC53C2" w:rsidRDefault="00A64DBA" w:rsidP="00FA05C1">
            <w:pPr>
              <w:spacing w:after="0" w:line="240" w:lineRule="auto"/>
              <w:jc w:val="both"/>
              <w:rPr>
                <w:rFonts w:ascii="Times New Roman" w:eastAsiaTheme="minorHAnsi" w:hAnsi="Times New Roman"/>
                <w:sz w:val="16"/>
                <w:szCs w:val="16"/>
              </w:rPr>
            </w:pPr>
            <w:r w:rsidRPr="00DC53C2">
              <w:rPr>
                <w:rFonts w:ascii="Times New Roman" w:eastAsiaTheme="minorHAnsi" w:hAnsi="Times New Roman"/>
                <w:sz w:val="16"/>
                <w:szCs w:val="16"/>
              </w:rPr>
              <w:t xml:space="preserve">8. </w:t>
            </w:r>
            <w:r w:rsidR="00A44E97" w:rsidRPr="00DC53C2">
              <w:rPr>
                <w:rFonts w:ascii="Times New Roman" w:eastAsiaTheme="minorHAnsi" w:hAnsi="Times New Roman"/>
                <w:sz w:val="16"/>
                <w:szCs w:val="16"/>
              </w:rPr>
              <w:t>IZGLĪTĪBA, PRASMES UN MŪŽIZGLĪTĪBA</w:t>
            </w:r>
          </w:p>
        </w:tc>
        <w:tc>
          <w:tcPr>
            <w:tcW w:w="1242" w:type="dxa"/>
          </w:tcPr>
          <w:p w14:paraId="752B6447" w14:textId="77777777" w:rsidR="001F0C54" w:rsidRPr="00DC53C2" w:rsidRDefault="00A64DBA" w:rsidP="00FA05C1">
            <w:pPr>
              <w:spacing w:after="0" w:line="240" w:lineRule="auto"/>
              <w:jc w:val="both"/>
              <w:rPr>
                <w:rFonts w:ascii="Times New Roman" w:eastAsiaTheme="minorHAnsi" w:hAnsi="Times New Roman"/>
                <w:sz w:val="16"/>
                <w:szCs w:val="16"/>
              </w:rPr>
            </w:pPr>
            <w:r w:rsidRPr="00DC53C2">
              <w:rPr>
                <w:rFonts w:ascii="Times New Roman" w:hAnsi="Times New Roman"/>
                <w:sz w:val="16"/>
                <w:szCs w:val="16"/>
              </w:rPr>
              <w:t xml:space="preserve">8.5. </w:t>
            </w:r>
            <w:r w:rsidR="00BF22C4" w:rsidRPr="00DC53C2">
              <w:rPr>
                <w:rFonts w:ascii="Times New Roman" w:hAnsi="Times New Roman"/>
                <w:sz w:val="16"/>
                <w:szCs w:val="16"/>
              </w:rPr>
              <w:t>D</w:t>
            </w:r>
            <w:r w:rsidR="003833E6" w:rsidRPr="00DC53C2">
              <w:rPr>
                <w:rFonts w:ascii="Times New Roman" w:hAnsi="Times New Roman"/>
                <w:sz w:val="16"/>
                <w:szCs w:val="16"/>
              </w:rPr>
              <w:t>arba tirgus nozīmes palielināšana izglītības un apmācības sistēmās, pārejas veicināšana no izglītības uz nodarbinātību un profesionālās izglītības un apmācības sistēmu un to kvalitātes uzlabošana, tostarp ar vajadzīgo prasmju prognozēšanas mehānismiem, studiju programmu pielāgošanu un uz darbu balstītu mācību programmu, tostarp duālu mācību programmu un māceklības shēmu, izstrādi</w:t>
            </w:r>
          </w:p>
        </w:tc>
        <w:tc>
          <w:tcPr>
            <w:tcW w:w="1593" w:type="dxa"/>
          </w:tcPr>
          <w:p w14:paraId="1CB2F081" w14:textId="77777777" w:rsidR="001F0C54" w:rsidRPr="00DC53C2" w:rsidRDefault="00A44E97" w:rsidP="00FA05C1">
            <w:pPr>
              <w:spacing w:after="0" w:line="240" w:lineRule="auto"/>
              <w:jc w:val="both"/>
              <w:rPr>
                <w:rFonts w:ascii="Times New Roman" w:eastAsiaTheme="minorHAnsi" w:hAnsi="Times New Roman"/>
                <w:sz w:val="16"/>
                <w:szCs w:val="16"/>
              </w:rPr>
            </w:pPr>
            <w:r w:rsidRPr="00DC53C2">
              <w:rPr>
                <w:rFonts w:ascii="Times New Roman" w:hAnsi="Times New Roman"/>
                <w:sz w:val="16"/>
                <w:szCs w:val="16"/>
              </w:rPr>
              <w:t>8.5.</w:t>
            </w:r>
            <w:r w:rsidR="006028B5" w:rsidRPr="00DC53C2">
              <w:rPr>
                <w:rFonts w:ascii="Times New Roman" w:hAnsi="Times New Roman"/>
                <w:sz w:val="16"/>
                <w:szCs w:val="16"/>
              </w:rPr>
              <w:t>2</w:t>
            </w:r>
            <w:r w:rsidRPr="00DC53C2">
              <w:rPr>
                <w:rFonts w:ascii="Times New Roman" w:hAnsi="Times New Roman"/>
                <w:sz w:val="16"/>
                <w:szCs w:val="16"/>
              </w:rPr>
              <w:t xml:space="preserve">.specifiskais atbalsta mērķis: </w:t>
            </w:r>
            <w:r w:rsidR="00931E19" w:rsidRPr="00DC53C2">
              <w:rPr>
                <w:rFonts w:ascii="Times New Roman" w:hAnsi="Times New Roman"/>
                <w:sz w:val="16"/>
                <w:szCs w:val="16"/>
              </w:rPr>
              <w:t xml:space="preserve">Nodrošināt profesionālās izglītības atbilstību Eiropas kvalifikācijas ietvarstruktūrai </w:t>
            </w:r>
            <w:r w:rsidRPr="00DC53C2">
              <w:rPr>
                <w:rFonts w:ascii="Times New Roman" w:eastAsiaTheme="minorHAnsi" w:hAnsi="Times New Roman"/>
                <w:sz w:val="16"/>
                <w:szCs w:val="16"/>
              </w:rPr>
              <w:t>(ESF)</w:t>
            </w:r>
          </w:p>
        </w:tc>
        <w:tc>
          <w:tcPr>
            <w:tcW w:w="2835" w:type="dxa"/>
          </w:tcPr>
          <w:p w14:paraId="17C15052" w14:textId="77777777" w:rsidR="001F0C54" w:rsidRPr="00DC53C2" w:rsidRDefault="001F0C54" w:rsidP="00FA05C1">
            <w:pPr>
              <w:spacing w:after="0" w:line="240" w:lineRule="auto"/>
              <w:jc w:val="both"/>
              <w:rPr>
                <w:rFonts w:ascii="Times New Roman" w:eastAsiaTheme="minorHAnsi" w:hAnsi="Times New Roman"/>
                <w:sz w:val="16"/>
                <w:szCs w:val="16"/>
              </w:rPr>
            </w:pPr>
            <w:r w:rsidRPr="00DC53C2">
              <w:rPr>
                <w:rFonts w:ascii="Times New Roman" w:eastAsiaTheme="minorHAnsi" w:hAnsi="Times New Roman"/>
                <w:i/>
                <w:sz w:val="16"/>
                <w:szCs w:val="16"/>
              </w:rPr>
              <w:t>Nosaukums un mērvienība</w:t>
            </w:r>
            <w:r w:rsidRPr="00DC53C2">
              <w:rPr>
                <w:rFonts w:ascii="Times New Roman" w:eastAsiaTheme="minorHAnsi" w:hAnsi="Times New Roman"/>
                <w:sz w:val="16"/>
                <w:szCs w:val="16"/>
              </w:rPr>
              <w:t>:</w:t>
            </w:r>
          </w:p>
          <w:p w14:paraId="6E3309E4" w14:textId="2A97E524" w:rsidR="001F0C54" w:rsidRPr="00DC53C2" w:rsidRDefault="006028B5" w:rsidP="00FA05C1">
            <w:pPr>
              <w:spacing w:after="0" w:line="240" w:lineRule="auto"/>
              <w:jc w:val="both"/>
              <w:rPr>
                <w:rFonts w:ascii="Times New Roman" w:eastAsiaTheme="minorHAnsi" w:hAnsi="Times New Roman"/>
                <w:sz w:val="16"/>
                <w:szCs w:val="16"/>
              </w:rPr>
            </w:pPr>
            <w:r w:rsidRPr="00DC53C2">
              <w:rPr>
                <w:rFonts w:ascii="Times New Roman" w:eastAsiaTheme="minorHAnsi" w:hAnsi="Times New Roman"/>
                <w:sz w:val="16"/>
                <w:szCs w:val="16"/>
              </w:rPr>
              <w:t>r.8.5.2</w:t>
            </w:r>
            <w:r w:rsidR="00A64DBA" w:rsidRPr="00DC53C2">
              <w:rPr>
                <w:rFonts w:ascii="Times New Roman" w:eastAsiaTheme="minorHAnsi" w:hAnsi="Times New Roman"/>
                <w:sz w:val="16"/>
                <w:szCs w:val="16"/>
              </w:rPr>
              <w:t xml:space="preserve">.a (R77) </w:t>
            </w:r>
            <w:r w:rsidR="0064152F" w:rsidRPr="00DC53C2">
              <w:rPr>
                <w:rFonts w:ascii="Times New Roman" w:eastAsiaTheme="minorHAnsi" w:hAnsi="Times New Roman"/>
                <w:sz w:val="16"/>
                <w:szCs w:val="16"/>
              </w:rPr>
              <w:t>Atbalstīto un apstiprināto profesijas standartu un profesionālās kvalifikācijas pamatprasību skaits (</w:t>
            </w:r>
            <w:r w:rsidR="0064152F" w:rsidRPr="00DC53C2">
              <w:rPr>
                <w:rFonts w:ascii="Times New Roman" w:eastAsiaTheme="minorHAnsi" w:hAnsi="Times New Roman"/>
                <w:iCs/>
                <w:sz w:val="16"/>
                <w:szCs w:val="16"/>
              </w:rPr>
              <w:t>Standartu un pamatprasību skaits</w:t>
            </w:r>
            <w:r w:rsidR="00A64DBA" w:rsidRPr="00DC53C2">
              <w:rPr>
                <w:rFonts w:ascii="Times New Roman" w:eastAsiaTheme="minorHAnsi" w:hAnsi="Times New Roman"/>
                <w:sz w:val="16"/>
                <w:szCs w:val="16"/>
              </w:rPr>
              <w:t>)</w:t>
            </w:r>
          </w:p>
          <w:p w14:paraId="370F6132" w14:textId="77777777" w:rsidR="00A64DBA" w:rsidRPr="00DC53C2" w:rsidRDefault="00A64DBA" w:rsidP="00FA05C1">
            <w:pPr>
              <w:spacing w:after="0" w:line="240" w:lineRule="auto"/>
              <w:jc w:val="both"/>
              <w:rPr>
                <w:rFonts w:ascii="Times New Roman" w:eastAsiaTheme="minorHAnsi" w:hAnsi="Times New Roman"/>
                <w:sz w:val="16"/>
                <w:szCs w:val="16"/>
              </w:rPr>
            </w:pPr>
          </w:p>
          <w:p w14:paraId="64108E42" w14:textId="06C47763" w:rsidR="001F0C54" w:rsidRPr="00DC53C2" w:rsidRDefault="001F0C54" w:rsidP="00FA05C1">
            <w:pPr>
              <w:spacing w:after="0" w:line="240" w:lineRule="auto"/>
              <w:jc w:val="both"/>
              <w:rPr>
                <w:rFonts w:ascii="Times New Roman" w:eastAsiaTheme="minorHAnsi" w:hAnsi="Times New Roman"/>
                <w:i/>
                <w:sz w:val="16"/>
                <w:szCs w:val="16"/>
              </w:rPr>
            </w:pPr>
            <w:r w:rsidRPr="00DC53C2">
              <w:rPr>
                <w:rFonts w:ascii="Times New Roman" w:eastAsiaTheme="minorHAnsi" w:hAnsi="Times New Roman"/>
                <w:i/>
                <w:sz w:val="16"/>
                <w:szCs w:val="16"/>
              </w:rPr>
              <w:t>Definīcija:</w:t>
            </w:r>
          </w:p>
          <w:p w14:paraId="6A2E64AC" w14:textId="54A21C94" w:rsidR="001F0C54" w:rsidRPr="00DC53C2" w:rsidRDefault="0030760A" w:rsidP="00FA05C1">
            <w:pPr>
              <w:spacing w:after="0" w:line="240" w:lineRule="auto"/>
              <w:jc w:val="both"/>
              <w:rPr>
                <w:rFonts w:ascii="Times New Roman" w:eastAsiaTheme="minorHAnsi" w:hAnsi="Times New Roman"/>
                <w:sz w:val="16"/>
                <w:szCs w:val="16"/>
              </w:rPr>
            </w:pPr>
            <w:r w:rsidRPr="00DC53C2">
              <w:rPr>
                <w:rFonts w:ascii="Times New Roman" w:hAnsi="Times New Roman"/>
                <w:sz w:val="16"/>
                <w:szCs w:val="16"/>
              </w:rPr>
              <w:t>Nozaru kvalifikāciju sistēmai atbilstošu,  ar nozares ekspertu padomi saskaņotu un Profesionālās izglītības un nodarbinātības trīspusējās sadarbības apakšpadomē</w:t>
            </w:r>
            <w:r w:rsidRPr="00DC53C2">
              <w:rPr>
                <w:rFonts w:ascii="Times New Roman" w:eastAsiaTheme="minorHAnsi" w:hAnsi="Times New Roman"/>
                <w:sz w:val="16"/>
                <w:szCs w:val="16"/>
              </w:rPr>
              <w:t xml:space="preserve"> a</w:t>
            </w:r>
            <w:r w:rsidR="0064152F" w:rsidRPr="00DC53C2">
              <w:rPr>
                <w:rFonts w:ascii="Times New Roman" w:eastAsiaTheme="minorHAnsi" w:hAnsi="Times New Roman"/>
                <w:sz w:val="16"/>
                <w:szCs w:val="16"/>
              </w:rPr>
              <w:t>tbalstīt</w:t>
            </w:r>
            <w:r w:rsidRPr="00DC53C2">
              <w:rPr>
                <w:rFonts w:ascii="Times New Roman" w:eastAsiaTheme="minorHAnsi" w:hAnsi="Times New Roman"/>
                <w:sz w:val="16"/>
                <w:szCs w:val="16"/>
              </w:rPr>
              <w:t>u</w:t>
            </w:r>
            <w:r w:rsidR="0064152F" w:rsidRPr="00DC53C2">
              <w:rPr>
                <w:rFonts w:ascii="Times New Roman" w:eastAsiaTheme="minorHAnsi" w:hAnsi="Times New Roman"/>
                <w:sz w:val="16"/>
                <w:szCs w:val="16"/>
              </w:rPr>
              <w:t xml:space="preserve"> un apstiprināt</w:t>
            </w:r>
            <w:r w:rsidRPr="00DC53C2">
              <w:rPr>
                <w:rFonts w:ascii="Times New Roman" w:eastAsiaTheme="minorHAnsi" w:hAnsi="Times New Roman"/>
                <w:sz w:val="16"/>
                <w:szCs w:val="16"/>
              </w:rPr>
              <w:t>u</w:t>
            </w:r>
            <w:r w:rsidR="0064152F" w:rsidRPr="00DC53C2">
              <w:rPr>
                <w:rFonts w:ascii="Times New Roman" w:eastAsiaTheme="minorHAnsi" w:hAnsi="Times New Roman"/>
                <w:sz w:val="16"/>
                <w:szCs w:val="16"/>
              </w:rPr>
              <w:t xml:space="preserve"> profesijas standartu un profesionālās kvalifikācijas pamatprasību skaits, kuri piemēro</w:t>
            </w:r>
            <w:r w:rsidRPr="00DC53C2">
              <w:rPr>
                <w:rFonts w:ascii="Times New Roman" w:eastAsiaTheme="minorHAnsi" w:hAnsi="Times New Roman"/>
                <w:sz w:val="16"/>
                <w:szCs w:val="16"/>
              </w:rPr>
              <w:t>jam</w:t>
            </w:r>
            <w:r w:rsidR="0064152F" w:rsidRPr="00DC53C2">
              <w:rPr>
                <w:rFonts w:ascii="Times New Roman" w:eastAsiaTheme="minorHAnsi" w:hAnsi="Times New Roman"/>
                <w:sz w:val="16"/>
                <w:szCs w:val="16"/>
              </w:rPr>
              <w:t>i profesionālās izglītības īstenošanā</w:t>
            </w:r>
            <w:r w:rsidR="006028B5" w:rsidRPr="00DC53C2">
              <w:rPr>
                <w:rFonts w:ascii="Times New Roman" w:eastAsiaTheme="minorHAnsi" w:hAnsi="Times New Roman"/>
                <w:sz w:val="16"/>
                <w:szCs w:val="16"/>
              </w:rPr>
              <w:t xml:space="preserve"> </w:t>
            </w:r>
          </w:p>
          <w:p w14:paraId="10D90D81" w14:textId="77777777" w:rsidR="00A64DBA" w:rsidRPr="00DC53C2" w:rsidRDefault="00A64DBA" w:rsidP="00FA05C1">
            <w:pPr>
              <w:spacing w:after="0" w:line="240" w:lineRule="auto"/>
              <w:jc w:val="both"/>
              <w:rPr>
                <w:rFonts w:ascii="Times New Roman" w:eastAsiaTheme="minorHAnsi" w:hAnsi="Times New Roman"/>
                <w:i/>
                <w:sz w:val="16"/>
                <w:szCs w:val="16"/>
              </w:rPr>
            </w:pPr>
          </w:p>
          <w:p w14:paraId="71E7BA5E" w14:textId="77777777" w:rsidR="001F0C54" w:rsidRPr="00DC53C2" w:rsidRDefault="001F0C54" w:rsidP="00FA05C1">
            <w:pPr>
              <w:spacing w:after="0" w:line="240" w:lineRule="auto"/>
              <w:jc w:val="both"/>
              <w:rPr>
                <w:rFonts w:ascii="Times New Roman" w:eastAsiaTheme="minorHAnsi" w:hAnsi="Times New Roman"/>
                <w:sz w:val="16"/>
                <w:szCs w:val="16"/>
              </w:rPr>
            </w:pPr>
            <w:r w:rsidRPr="00DC53C2">
              <w:rPr>
                <w:rFonts w:ascii="Times New Roman" w:eastAsiaTheme="minorHAnsi" w:hAnsi="Times New Roman"/>
                <w:i/>
                <w:sz w:val="16"/>
                <w:szCs w:val="16"/>
              </w:rPr>
              <w:t>Bāzes vērtība un tās noteikšanas gads</w:t>
            </w:r>
            <w:r w:rsidRPr="00DC53C2">
              <w:rPr>
                <w:rFonts w:ascii="Times New Roman" w:eastAsiaTheme="minorHAnsi" w:hAnsi="Times New Roman"/>
                <w:sz w:val="16"/>
                <w:szCs w:val="16"/>
              </w:rPr>
              <w:t>:</w:t>
            </w:r>
          </w:p>
          <w:p w14:paraId="61E5A44E" w14:textId="768D1268" w:rsidR="001F0C54" w:rsidRPr="00DC53C2" w:rsidRDefault="003B481E" w:rsidP="00FA05C1">
            <w:pPr>
              <w:spacing w:after="0" w:line="240" w:lineRule="auto"/>
              <w:jc w:val="both"/>
              <w:rPr>
                <w:rFonts w:ascii="Times New Roman" w:eastAsiaTheme="minorHAnsi" w:hAnsi="Times New Roman"/>
                <w:sz w:val="16"/>
                <w:szCs w:val="16"/>
              </w:rPr>
            </w:pPr>
            <w:r w:rsidRPr="00DC53C2">
              <w:rPr>
                <w:rFonts w:ascii="Times New Roman" w:eastAsiaTheme="minorHAnsi" w:hAnsi="Times New Roman"/>
                <w:sz w:val="16"/>
                <w:szCs w:val="16"/>
              </w:rPr>
              <w:t>2015</w:t>
            </w:r>
            <w:r w:rsidR="00A44E97" w:rsidRPr="00DC53C2">
              <w:rPr>
                <w:rFonts w:ascii="Times New Roman" w:eastAsiaTheme="minorHAnsi" w:hAnsi="Times New Roman"/>
                <w:sz w:val="16"/>
                <w:szCs w:val="16"/>
              </w:rPr>
              <w:t xml:space="preserve">.gads: </w:t>
            </w:r>
            <w:r w:rsidR="0064152F" w:rsidRPr="00DC53C2">
              <w:rPr>
                <w:rFonts w:ascii="Times New Roman" w:eastAsiaTheme="minorHAnsi" w:hAnsi="Times New Roman"/>
                <w:sz w:val="16"/>
                <w:szCs w:val="16"/>
              </w:rPr>
              <w:t>80</w:t>
            </w:r>
          </w:p>
          <w:p w14:paraId="41DD1D6D" w14:textId="77777777" w:rsidR="00A64DBA" w:rsidRPr="00DC53C2" w:rsidRDefault="00A64DBA" w:rsidP="00FA05C1">
            <w:pPr>
              <w:spacing w:after="0" w:line="240" w:lineRule="auto"/>
              <w:jc w:val="both"/>
              <w:rPr>
                <w:rFonts w:ascii="Times New Roman" w:eastAsiaTheme="minorHAnsi" w:hAnsi="Times New Roman"/>
                <w:i/>
                <w:sz w:val="16"/>
                <w:szCs w:val="16"/>
              </w:rPr>
            </w:pPr>
          </w:p>
          <w:p w14:paraId="5ABEB750" w14:textId="77777777" w:rsidR="001F0C54" w:rsidRPr="00DC53C2" w:rsidRDefault="001F0C54" w:rsidP="00FA05C1">
            <w:pPr>
              <w:spacing w:after="0" w:line="240" w:lineRule="auto"/>
              <w:jc w:val="both"/>
              <w:rPr>
                <w:rFonts w:ascii="Times New Roman" w:eastAsiaTheme="minorHAnsi" w:hAnsi="Times New Roman"/>
                <w:sz w:val="16"/>
                <w:szCs w:val="16"/>
              </w:rPr>
            </w:pPr>
            <w:r w:rsidRPr="00DC53C2">
              <w:rPr>
                <w:rFonts w:ascii="Times New Roman" w:eastAsiaTheme="minorHAnsi" w:hAnsi="Times New Roman"/>
                <w:i/>
                <w:sz w:val="16"/>
                <w:szCs w:val="16"/>
              </w:rPr>
              <w:t>Datu avots</w:t>
            </w:r>
            <w:r w:rsidRPr="00DC53C2">
              <w:rPr>
                <w:rFonts w:ascii="Times New Roman" w:eastAsiaTheme="minorHAnsi" w:hAnsi="Times New Roman"/>
                <w:sz w:val="16"/>
                <w:szCs w:val="16"/>
              </w:rPr>
              <w:t>:</w:t>
            </w:r>
          </w:p>
          <w:p w14:paraId="618B544C" w14:textId="6F81FA00" w:rsidR="00A64DBA" w:rsidRPr="00DC53C2" w:rsidRDefault="00B95388" w:rsidP="00FA05C1">
            <w:pPr>
              <w:spacing w:after="0" w:line="240" w:lineRule="auto"/>
              <w:jc w:val="both"/>
              <w:rPr>
                <w:rFonts w:ascii="Times New Roman" w:eastAsiaTheme="minorHAnsi" w:hAnsi="Times New Roman"/>
                <w:i/>
                <w:sz w:val="16"/>
                <w:szCs w:val="16"/>
              </w:rPr>
            </w:pPr>
            <w:r w:rsidRPr="00DC53C2">
              <w:rPr>
                <w:rFonts w:ascii="Times New Roman" w:eastAsiaTheme="minorHAnsi" w:hAnsi="Times New Roman"/>
                <w:sz w:val="16"/>
                <w:szCs w:val="16"/>
              </w:rPr>
              <w:t>VISC dati</w:t>
            </w:r>
            <w:r w:rsidRPr="00DC53C2" w:rsidDel="00B95388">
              <w:rPr>
                <w:rFonts w:ascii="Times New Roman" w:eastAsiaTheme="minorHAnsi" w:hAnsi="Times New Roman"/>
                <w:sz w:val="16"/>
                <w:szCs w:val="16"/>
              </w:rPr>
              <w:t xml:space="preserve"> </w:t>
            </w:r>
          </w:p>
          <w:p w14:paraId="392DD874" w14:textId="77777777" w:rsidR="00B95388" w:rsidRPr="00DC53C2" w:rsidRDefault="00B95388" w:rsidP="00FA05C1">
            <w:pPr>
              <w:spacing w:after="0" w:line="240" w:lineRule="auto"/>
              <w:jc w:val="both"/>
              <w:rPr>
                <w:rFonts w:ascii="Times New Roman" w:eastAsiaTheme="minorHAnsi" w:hAnsi="Times New Roman"/>
                <w:i/>
                <w:sz w:val="16"/>
                <w:szCs w:val="16"/>
              </w:rPr>
            </w:pPr>
          </w:p>
          <w:p w14:paraId="2ED5A2BF" w14:textId="77777777" w:rsidR="001F0C54" w:rsidRPr="00DC53C2" w:rsidRDefault="001F0C54" w:rsidP="00FA05C1">
            <w:pPr>
              <w:spacing w:after="0" w:line="240" w:lineRule="auto"/>
              <w:jc w:val="both"/>
              <w:rPr>
                <w:rFonts w:ascii="Times New Roman" w:eastAsiaTheme="minorHAnsi" w:hAnsi="Times New Roman"/>
                <w:i/>
                <w:sz w:val="16"/>
                <w:szCs w:val="16"/>
              </w:rPr>
            </w:pPr>
            <w:r w:rsidRPr="00DC53C2">
              <w:rPr>
                <w:rFonts w:ascii="Times New Roman" w:eastAsiaTheme="minorHAnsi" w:hAnsi="Times New Roman"/>
                <w:i/>
                <w:sz w:val="16"/>
                <w:szCs w:val="16"/>
              </w:rPr>
              <w:t>Apkopošanas biežums un ieguves metodoloģija</w:t>
            </w:r>
            <w:r w:rsidRPr="00DC53C2">
              <w:rPr>
                <w:rFonts w:ascii="Times New Roman" w:eastAsiaTheme="minorHAnsi" w:hAnsi="Times New Roman"/>
                <w:i/>
                <w:sz w:val="16"/>
                <w:szCs w:val="16"/>
                <w:vertAlign w:val="superscript"/>
              </w:rPr>
              <w:footnoteReference w:id="3"/>
            </w:r>
            <w:r w:rsidRPr="00DC53C2">
              <w:rPr>
                <w:rFonts w:ascii="Times New Roman" w:eastAsiaTheme="minorHAnsi" w:hAnsi="Times New Roman"/>
                <w:i/>
                <w:sz w:val="16"/>
                <w:szCs w:val="16"/>
              </w:rPr>
              <w:t>:</w:t>
            </w:r>
          </w:p>
          <w:p w14:paraId="54D15399" w14:textId="0EC8B9FF" w:rsidR="001F0C54" w:rsidRPr="00DC53C2" w:rsidRDefault="00CC46C3" w:rsidP="00FA05C1">
            <w:pPr>
              <w:spacing w:after="0" w:line="240" w:lineRule="auto"/>
              <w:jc w:val="both"/>
              <w:rPr>
                <w:rFonts w:ascii="Times New Roman" w:eastAsiaTheme="minorHAnsi" w:hAnsi="Times New Roman"/>
                <w:sz w:val="16"/>
                <w:szCs w:val="16"/>
              </w:rPr>
            </w:pPr>
            <w:r>
              <w:rPr>
                <w:rFonts w:ascii="Times New Roman" w:eastAsiaTheme="minorHAnsi" w:hAnsi="Times New Roman"/>
                <w:sz w:val="16"/>
                <w:szCs w:val="16"/>
              </w:rPr>
              <w:t>Reizi gadā</w:t>
            </w:r>
            <w:r w:rsidR="00A44E97" w:rsidRPr="00DC53C2">
              <w:rPr>
                <w:rFonts w:ascii="Times New Roman" w:eastAsiaTheme="minorHAnsi" w:hAnsi="Times New Roman"/>
                <w:sz w:val="16"/>
                <w:szCs w:val="16"/>
              </w:rPr>
              <w:t>, apkopojot projektu datus</w:t>
            </w:r>
          </w:p>
          <w:p w14:paraId="7D810918" w14:textId="77777777" w:rsidR="00A64DBA" w:rsidRPr="00DC53C2" w:rsidRDefault="00A64DBA" w:rsidP="00FA05C1">
            <w:pPr>
              <w:spacing w:after="0" w:line="240" w:lineRule="auto"/>
              <w:jc w:val="both"/>
              <w:rPr>
                <w:rFonts w:ascii="Times New Roman" w:eastAsiaTheme="minorHAnsi" w:hAnsi="Times New Roman"/>
                <w:i/>
                <w:sz w:val="16"/>
                <w:szCs w:val="16"/>
              </w:rPr>
            </w:pPr>
          </w:p>
          <w:p w14:paraId="5A46C8DD" w14:textId="0F2F1AAD" w:rsidR="001F0C54" w:rsidRPr="00DC53C2" w:rsidRDefault="001F0C54" w:rsidP="00FA05C1">
            <w:pPr>
              <w:spacing w:after="0" w:line="240" w:lineRule="auto"/>
              <w:jc w:val="both"/>
              <w:rPr>
                <w:rFonts w:ascii="Times New Roman" w:eastAsiaTheme="minorHAnsi" w:hAnsi="Times New Roman"/>
                <w:sz w:val="16"/>
                <w:szCs w:val="16"/>
              </w:rPr>
            </w:pPr>
            <w:r w:rsidRPr="00DC53C2">
              <w:rPr>
                <w:rFonts w:ascii="Times New Roman" w:eastAsiaTheme="minorHAnsi" w:hAnsi="Times New Roman"/>
                <w:i/>
                <w:sz w:val="16"/>
                <w:szCs w:val="16"/>
              </w:rPr>
              <w:t>Mērķis 2023</w:t>
            </w:r>
            <w:r w:rsidRPr="00DC53C2">
              <w:rPr>
                <w:rFonts w:ascii="Times New Roman" w:eastAsiaTheme="minorHAnsi" w:hAnsi="Times New Roman"/>
                <w:sz w:val="16"/>
                <w:szCs w:val="16"/>
              </w:rPr>
              <w:t>:</w:t>
            </w:r>
            <w:r w:rsidR="00A44E97" w:rsidRPr="00DC53C2">
              <w:rPr>
                <w:rFonts w:ascii="Times New Roman" w:eastAsiaTheme="minorHAnsi" w:hAnsi="Times New Roman"/>
                <w:sz w:val="16"/>
                <w:szCs w:val="16"/>
              </w:rPr>
              <w:t xml:space="preserve"> </w:t>
            </w:r>
            <w:r w:rsidR="00551FCA">
              <w:rPr>
                <w:rFonts w:ascii="Times New Roman" w:eastAsiaTheme="minorHAnsi" w:hAnsi="Times New Roman"/>
                <w:sz w:val="16"/>
                <w:szCs w:val="16"/>
              </w:rPr>
              <w:t>200</w:t>
            </w:r>
          </w:p>
          <w:p w14:paraId="6894BCE5" w14:textId="77777777" w:rsidR="001F0C54" w:rsidRPr="00DC53C2" w:rsidRDefault="001F0C54" w:rsidP="00FA05C1">
            <w:pPr>
              <w:spacing w:after="0" w:line="240" w:lineRule="auto"/>
              <w:jc w:val="both"/>
              <w:rPr>
                <w:rFonts w:ascii="Times New Roman" w:eastAsiaTheme="minorHAnsi" w:hAnsi="Times New Roman"/>
                <w:sz w:val="16"/>
                <w:szCs w:val="16"/>
              </w:rPr>
            </w:pPr>
          </w:p>
          <w:p w14:paraId="2D1F8BA3" w14:textId="1D1F1566" w:rsidR="001F0C54" w:rsidRPr="00DC53C2" w:rsidRDefault="001F0C54" w:rsidP="00C377A1">
            <w:pPr>
              <w:spacing w:after="0" w:line="240" w:lineRule="auto"/>
              <w:jc w:val="both"/>
              <w:rPr>
                <w:rFonts w:ascii="Times New Roman" w:eastAsiaTheme="minorHAnsi" w:hAnsi="Times New Roman"/>
                <w:sz w:val="16"/>
                <w:szCs w:val="16"/>
              </w:rPr>
            </w:pPr>
            <w:r w:rsidRPr="00DC53C2">
              <w:rPr>
                <w:rFonts w:ascii="Times New Roman" w:eastAsiaTheme="minorHAnsi" w:hAnsi="Times New Roman"/>
                <w:i/>
                <w:sz w:val="16"/>
                <w:szCs w:val="16"/>
              </w:rPr>
              <w:t>Mērķa vērtības noteikšanas principi/metodoloģija</w:t>
            </w:r>
            <w:r w:rsidRPr="00DC53C2">
              <w:rPr>
                <w:rFonts w:ascii="Times New Roman" w:eastAsiaTheme="minorHAnsi" w:hAnsi="Times New Roman"/>
                <w:sz w:val="16"/>
                <w:szCs w:val="16"/>
              </w:rPr>
              <w:t>:</w:t>
            </w:r>
            <w:r w:rsidR="00A44E97" w:rsidRPr="00DC53C2">
              <w:rPr>
                <w:rFonts w:ascii="Times New Roman" w:hAnsi="Times New Roman"/>
                <w:sz w:val="16"/>
                <w:szCs w:val="16"/>
              </w:rPr>
              <w:t xml:space="preserve"> </w:t>
            </w:r>
            <w:r w:rsidR="00F009D8" w:rsidRPr="00DC53C2">
              <w:rPr>
                <w:rFonts w:ascii="Times New Roman" w:eastAsiaTheme="minorHAnsi" w:hAnsi="Times New Roman"/>
                <w:sz w:val="16"/>
                <w:szCs w:val="16"/>
              </w:rPr>
              <w:t xml:space="preserve">Līdz </w:t>
            </w:r>
            <w:r w:rsidR="003B481E" w:rsidRPr="00DC53C2">
              <w:rPr>
                <w:rFonts w:ascii="Times New Roman" w:eastAsiaTheme="minorHAnsi" w:hAnsi="Times New Roman"/>
                <w:sz w:val="16"/>
                <w:szCs w:val="16"/>
              </w:rPr>
              <w:t>2015</w:t>
            </w:r>
            <w:r w:rsidR="00C377A1" w:rsidRPr="00DC53C2">
              <w:rPr>
                <w:rFonts w:ascii="Times New Roman" w:eastAsiaTheme="minorHAnsi" w:hAnsi="Times New Roman"/>
                <w:sz w:val="16"/>
                <w:szCs w:val="16"/>
              </w:rPr>
              <w:t>.gadam  aktualizēti 80 profesij</w:t>
            </w:r>
            <w:r w:rsidR="00F009D8" w:rsidRPr="00DC53C2">
              <w:rPr>
                <w:rFonts w:ascii="Times New Roman" w:eastAsiaTheme="minorHAnsi" w:hAnsi="Times New Roman"/>
                <w:sz w:val="16"/>
                <w:szCs w:val="16"/>
              </w:rPr>
              <w:t xml:space="preserve">u standarti </w:t>
            </w:r>
            <w:r w:rsidR="008C7618" w:rsidRPr="00DC53C2">
              <w:rPr>
                <w:rFonts w:ascii="Times New Roman" w:eastAsiaTheme="minorHAnsi" w:hAnsi="Times New Roman"/>
                <w:sz w:val="16"/>
                <w:szCs w:val="16"/>
              </w:rPr>
              <w:t xml:space="preserve">un pamatprasības </w:t>
            </w:r>
            <w:r w:rsidR="00F009D8" w:rsidRPr="00DC53C2">
              <w:rPr>
                <w:rFonts w:ascii="Times New Roman" w:eastAsiaTheme="minorHAnsi" w:hAnsi="Times New Roman"/>
                <w:sz w:val="16"/>
                <w:szCs w:val="16"/>
              </w:rPr>
              <w:t>no</w:t>
            </w:r>
            <w:r w:rsidR="00B4134B" w:rsidRPr="00DC53C2">
              <w:rPr>
                <w:rFonts w:ascii="Times New Roman" w:eastAsiaTheme="minorHAnsi" w:hAnsi="Times New Roman"/>
                <w:sz w:val="16"/>
                <w:szCs w:val="16"/>
              </w:rPr>
              <w:t xml:space="preserve"> visiem</w:t>
            </w:r>
            <w:r w:rsidR="00F009D8" w:rsidRPr="00DC53C2">
              <w:rPr>
                <w:rFonts w:ascii="Times New Roman" w:eastAsiaTheme="minorHAnsi" w:hAnsi="Times New Roman"/>
                <w:sz w:val="16"/>
                <w:szCs w:val="16"/>
              </w:rPr>
              <w:t xml:space="preserve"> plānotajiem 2</w:t>
            </w:r>
            <w:r w:rsidR="000171FF">
              <w:rPr>
                <w:rFonts w:ascii="Times New Roman" w:eastAsiaTheme="minorHAnsi" w:hAnsi="Times New Roman"/>
                <w:sz w:val="16"/>
                <w:szCs w:val="16"/>
              </w:rPr>
              <w:t>0</w:t>
            </w:r>
            <w:r w:rsidR="00F009D8" w:rsidRPr="00DC53C2">
              <w:rPr>
                <w:rFonts w:ascii="Times New Roman" w:eastAsiaTheme="minorHAnsi" w:hAnsi="Times New Roman"/>
                <w:sz w:val="16"/>
                <w:szCs w:val="16"/>
              </w:rPr>
              <w:t>0.</w:t>
            </w:r>
          </w:p>
          <w:p w14:paraId="0422B9D1" w14:textId="33BB4789" w:rsidR="00C377A1" w:rsidRDefault="00C377A1" w:rsidP="008C7618">
            <w:pPr>
              <w:spacing w:after="0" w:line="240" w:lineRule="auto"/>
              <w:jc w:val="both"/>
              <w:rPr>
                <w:rFonts w:ascii="Times New Roman" w:eastAsiaTheme="minorHAnsi" w:hAnsi="Times New Roman"/>
                <w:sz w:val="16"/>
                <w:szCs w:val="16"/>
              </w:rPr>
            </w:pPr>
            <w:r w:rsidRPr="00DC53C2">
              <w:rPr>
                <w:rFonts w:ascii="Times New Roman" w:eastAsiaTheme="minorHAnsi" w:hAnsi="Times New Roman"/>
                <w:sz w:val="16"/>
                <w:szCs w:val="16"/>
              </w:rPr>
              <w:t>Līdz 2023.g</w:t>
            </w:r>
            <w:r w:rsidR="00B4134B" w:rsidRPr="00DC53C2">
              <w:rPr>
                <w:rFonts w:ascii="Times New Roman" w:eastAsiaTheme="minorHAnsi" w:hAnsi="Times New Roman"/>
                <w:sz w:val="16"/>
                <w:szCs w:val="16"/>
              </w:rPr>
              <w:t xml:space="preserve">adam plānots </w:t>
            </w:r>
            <w:r w:rsidRPr="00DC53C2">
              <w:rPr>
                <w:rFonts w:ascii="Times New Roman" w:eastAsiaTheme="minorHAnsi" w:hAnsi="Times New Roman"/>
                <w:sz w:val="16"/>
                <w:szCs w:val="16"/>
              </w:rPr>
              <w:t xml:space="preserve">aktualizēt </w:t>
            </w:r>
            <w:r w:rsidR="00B4134B" w:rsidRPr="00DC53C2">
              <w:rPr>
                <w:rFonts w:ascii="Times New Roman" w:eastAsiaTheme="minorHAnsi" w:hAnsi="Times New Roman"/>
                <w:sz w:val="16"/>
                <w:szCs w:val="16"/>
              </w:rPr>
              <w:t xml:space="preserve">atlikušos </w:t>
            </w:r>
            <w:r w:rsidR="000171FF">
              <w:rPr>
                <w:rFonts w:ascii="Times New Roman" w:eastAsiaTheme="minorHAnsi" w:hAnsi="Times New Roman"/>
                <w:sz w:val="16"/>
                <w:szCs w:val="16"/>
              </w:rPr>
              <w:t>200</w:t>
            </w:r>
            <w:r w:rsidR="000171FF" w:rsidRPr="00DC53C2">
              <w:rPr>
                <w:rFonts w:ascii="Times New Roman" w:eastAsiaTheme="minorHAnsi" w:hAnsi="Times New Roman"/>
                <w:sz w:val="16"/>
                <w:szCs w:val="16"/>
              </w:rPr>
              <w:t xml:space="preserve"> </w:t>
            </w:r>
            <w:r w:rsidRPr="00DC53C2">
              <w:rPr>
                <w:rFonts w:ascii="Times New Roman" w:eastAsiaTheme="minorHAnsi" w:hAnsi="Times New Roman"/>
                <w:sz w:val="16"/>
                <w:szCs w:val="16"/>
              </w:rPr>
              <w:t>profesiju standartus</w:t>
            </w:r>
            <w:r w:rsidR="00B4134B" w:rsidRPr="00DC53C2">
              <w:rPr>
                <w:rFonts w:ascii="Times New Roman" w:eastAsiaTheme="minorHAnsi" w:hAnsi="Times New Roman"/>
                <w:sz w:val="16"/>
                <w:szCs w:val="16"/>
              </w:rPr>
              <w:t>. Līdz ar to</w:t>
            </w:r>
            <w:r w:rsidR="008C7618" w:rsidRPr="00DC53C2">
              <w:rPr>
                <w:rFonts w:ascii="Times New Roman" w:eastAsiaTheme="minorHAnsi" w:hAnsi="Times New Roman"/>
                <w:sz w:val="16"/>
                <w:szCs w:val="16"/>
              </w:rPr>
              <w:t xml:space="preserve"> visi profesiju standarti un </w:t>
            </w:r>
            <w:r w:rsidR="003B481E" w:rsidRPr="00DC53C2">
              <w:rPr>
                <w:rFonts w:ascii="Times New Roman" w:eastAsiaTheme="minorHAnsi" w:hAnsi="Times New Roman"/>
                <w:sz w:val="16"/>
                <w:szCs w:val="16"/>
              </w:rPr>
              <w:t xml:space="preserve">profesionālās kvalifikācijas </w:t>
            </w:r>
            <w:r w:rsidR="008C7618" w:rsidRPr="00DC53C2">
              <w:rPr>
                <w:rFonts w:ascii="Times New Roman" w:eastAsiaTheme="minorHAnsi" w:hAnsi="Times New Roman"/>
                <w:sz w:val="16"/>
                <w:szCs w:val="16"/>
              </w:rPr>
              <w:t>pamatprasības būs aktualizēti.</w:t>
            </w:r>
            <w:r w:rsidR="00B4134B" w:rsidRPr="00DC53C2">
              <w:rPr>
                <w:rFonts w:ascii="Times New Roman" w:eastAsiaTheme="minorHAnsi" w:hAnsi="Times New Roman"/>
                <w:sz w:val="16"/>
                <w:szCs w:val="16"/>
              </w:rPr>
              <w:t xml:space="preserve"> </w:t>
            </w:r>
          </w:p>
          <w:p w14:paraId="433F28B8" w14:textId="77777777" w:rsidR="00B81302" w:rsidRDefault="00B81302" w:rsidP="008C7618">
            <w:pPr>
              <w:spacing w:after="0" w:line="240" w:lineRule="auto"/>
              <w:jc w:val="both"/>
              <w:rPr>
                <w:rFonts w:ascii="Times New Roman" w:eastAsiaTheme="minorHAnsi" w:hAnsi="Times New Roman"/>
                <w:sz w:val="16"/>
                <w:szCs w:val="16"/>
              </w:rPr>
            </w:pPr>
          </w:p>
          <w:p w14:paraId="6909F19C" w14:textId="77777777" w:rsidR="00B81302" w:rsidRDefault="00B81302" w:rsidP="008C7618">
            <w:pPr>
              <w:spacing w:after="0" w:line="240" w:lineRule="auto"/>
              <w:jc w:val="both"/>
              <w:rPr>
                <w:rFonts w:ascii="Times New Roman" w:eastAsiaTheme="minorHAnsi" w:hAnsi="Times New Roman"/>
                <w:sz w:val="16"/>
                <w:szCs w:val="16"/>
              </w:rPr>
            </w:pPr>
          </w:p>
          <w:p w14:paraId="4F8FBB38" w14:textId="77777777" w:rsidR="000538F8" w:rsidRDefault="000538F8" w:rsidP="000538F8">
            <w:pPr>
              <w:spacing w:after="0" w:line="240" w:lineRule="auto"/>
              <w:jc w:val="both"/>
              <w:rPr>
                <w:rFonts w:ascii="Times New Roman" w:hAnsi="Times New Roman"/>
                <w:i/>
                <w:sz w:val="18"/>
                <w:szCs w:val="18"/>
              </w:rPr>
            </w:pPr>
            <w:r w:rsidRPr="00C06A50">
              <w:rPr>
                <w:rFonts w:ascii="Times New Roman" w:hAnsi="Times New Roman"/>
                <w:i/>
                <w:sz w:val="18"/>
                <w:szCs w:val="18"/>
              </w:rPr>
              <w:lastRenderedPageBreak/>
              <w:t>Darbība, kas liek uzskatīt mērķa vērtību par izpildītu</w:t>
            </w:r>
            <w:r>
              <w:rPr>
                <w:rFonts w:ascii="Times New Roman" w:hAnsi="Times New Roman"/>
                <w:i/>
                <w:sz w:val="18"/>
                <w:szCs w:val="18"/>
              </w:rPr>
              <w:t xml:space="preserve">: </w:t>
            </w:r>
          </w:p>
          <w:p w14:paraId="3D86D48D" w14:textId="77777777" w:rsidR="00B81302" w:rsidRDefault="00B81302" w:rsidP="008C7618">
            <w:pPr>
              <w:spacing w:after="0" w:line="240" w:lineRule="auto"/>
              <w:jc w:val="both"/>
              <w:rPr>
                <w:rFonts w:ascii="Times New Roman" w:eastAsiaTheme="minorHAnsi" w:hAnsi="Times New Roman"/>
                <w:sz w:val="16"/>
                <w:szCs w:val="16"/>
              </w:rPr>
            </w:pPr>
          </w:p>
          <w:p w14:paraId="0B490BF1" w14:textId="77777777" w:rsidR="00844378" w:rsidRPr="007B39E0" w:rsidRDefault="00844378" w:rsidP="00844378">
            <w:pPr>
              <w:spacing w:after="0" w:line="240" w:lineRule="auto"/>
              <w:jc w:val="both"/>
              <w:rPr>
                <w:rFonts w:ascii="Times New Roman" w:hAnsi="Times New Roman"/>
                <w:sz w:val="16"/>
                <w:szCs w:val="16"/>
              </w:rPr>
            </w:pPr>
            <w:r w:rsidRPr="00D54155">
              <w:rPr>
                <w:rFonts w:ascii="Times New Roman" w:hAnsi="Times New Roman"/>
                <w:sz w:val="16"/>
                <w:szCs w:val="16"/>
              </w:rPr>
              <w:t xml:space="preserve">Rādītāju uzskata par izpildītu (mērķa vērtību par sasniegtu), kad ar nozares ekspertu </w:t>
            </w:r>
            <w:r w:rsidRPr="00180BD3">
              <w:rPr>
                <w:rFonts w:ascii="Times New Roman" w:hAnsi="Times New Roman"/>
                <w:sz w:val="16"/>
                <w:szCs w:val="16"/>
              </w:rPr>
              <w:t xml:space="preserve">padomi saskaņoti un Profesionālās izglītības un nodarbinātības trīspusējās sadarbības apakšpadomē (turpmāk - PINTSA) (ja nozares ekspertu padome nav izveidota, tad tikai PINTSA) </w:t>
            </w:r>
            <w:r w:rsidRPr="00180BD3">
              <w:rPr>
                <w:rFonts w:ascii="Times New Roman" w:eastAsiaTheme="minorHAnsi" w:hAnsi="Times New Roman"/>
                <w:sz w:val="16"/>
                <w:szCs w:val="16"/>
              </w:rPr>
              <w:t xml:space="preserve"> ir atbalstīti un apstiprināti  profesijas standarti </w:t>
            </w:r>
            <w:r w:rsidRPr="0013267D">
              <w:rPr>
                <w:rFonts w:ascii="Times New Roman" w:eastAsiaTheme="minorHAnsi" w:hAnsi="Times New Roman"/>
                <w:sz w:val="16"/>
                <w:szCs w:val="16"/>
              </w:rPr>
              <w:t>un profesionālās kvalifikācijas pamatprasības</w:t>
            </w:r>
            <w:r w:rsidRPr="0013267D">
              <w:rPr>
                <w:rFonts w:ascii="Times New Roman" w:hAnsi="Times New Roman"/>
                <w:sz w:val="16"/>
                <w:szCs w:val="16"/>
              </w:rPr>
              <w:t xml:space="preserve">. Rādītāja vērtības 2023.gadā sasniegšanu apstiprina pamatojošais dokuments - </w:t>
            </w:r>
            <w:r w:rsidRPr="0013267D">
              <w:rPr>
                <w:rFonts w:ascii="Times New Roman" w:hAnsi="Times New Roman"/>
                <w:sz w:val="16"/>
                <w:szCs w:val="16"/>
                <w:u w:val="single"/>
              </w:rPr>
              <w:t>sadarbības partneru</w:t>
            </w:r>
            <w:r w:rsidRPr="0013267D">
              <w:rPr>
                <w:rFonts w:ascii="Times New Roman" w:hAnsi="Times New Roman"/>
                <w:sz w:val="16"/>
                <w:szCs w:val="16"/>
              </w:rPr>
              <w:t xml:space="preserve"> (LBAS, LDDK un LOSP) </w:t>
            </w:r>
            <w:r w:rsidRPr="0013267D">
              <w:rPr>
                <w:rFonts w:ascii="Times New Roman" w:hAnsi="Times New Roman"/>
                <w:sz w:val="16"/>
                <w:szCs w:val="16"/>
                <w:u w:val="single"/>
              </w:rPr>
              <w:t>iesniegts nozaru ekspertu padomes un PINTSA sēdes protokollēmums</w:t>
            </w:r>
            <w:r w:rsidRPr="007B39E0">
              <w:rPr>
                <w:rFonts w:ascii="Times New Roman" w:hAnsi="Times New Roman"/>
                <w:sz w:val="16"/>
                <w:szCs w:val="16"/>
                <w:u w:val="single"/>
              </w:rPr>
              <w:t>.</w:t>
            </w:r>
          </w:p>
          <w:p w14:paraId="0C5BC551" w14:textId="77777777" w:rsidR="00844378" w:rsidRDefault="00844378" w:rsidP="00844378">
            <w:pPr>
              <w:spacing w:after="0" w:line="240" w:lineRule="auto"/>
              <w:jc w:val="both"/>
              <w:rPr>
                <w:rFonts w:ascii="Times New Roman" w:hAnsi="Times New Roman"/>
                <w:sz w:val="16"/>
                <w:szCs w:val="16"/>
              </w:rPr>
            </w:pPr>
          </w:p>
          <w:p w14:paraId="7894E7C1" w14:textId="77777777" w:rsidR="00B81302" w:rsidRDefault="00B81302" w:rsidP="008C7618">
            <w:pPr>
              <w:spacing w:after="0" w:line="240" w:lineRule="auto"/>
              <w:jc w:val="both"/>
              <w:rPr>
                <w:rFonts w:ascii="Times New Roman" w:eastAsiaTheme="minorHAnsi" w:hAnsi="Times New Roman"/>
                <w:sz w:val="16"/>
                <w:szCs w:val="16"/>
              </w:rPr>
            </w:pPr>
          </w:p>
          <w:p w14:paraId="038BE2B5" w14:textId="77777777" w:rsidR="00B81302" w:rsidRDefault="00B81302" w:rsidP="008C7618">
            <w:pPr>
              <w:spacing w:after="0" w:line="240" w:lineRule="auto"/>
              <w:jc w:val="both"/>
              <w:rPr>
                <w:rFonts w:ascii="Times New Roman" w:eastAsiaTheme="minorHAnsi" w:hAnsi="Times New Roman"/>
                <w:sz w:val="16"/>
                <w:szCs w:val="16"/>
              </w:rPr>
            </w:pPr>
          </w:p>
          <w:p w14:paraId="2884FC84" w14:textId="77777777" w:rsidR="00B81302" w:rsidRDefault="00B81302" w:rsidP="008C7618">
            <w:pPr>
              <w:spacing w:after="0" w:line="240" w:lineRule="auto"/>
              <w:jc w:val="both"/>
              <w:rPr>
                <w:rFonts w:ascii="Times New Roman" w:eastAsiaTheme="minorHAnsi" w:hAnsi="Times New Roman"/>
                <w:sz w:val="16"/>
                <w:szCs w:val="16"/>
              </w:rPr>
            </w:pPr>
          </w:p>
          <w:p w14:paraId="10D827BA" w14:textId="77777777" w:rsidR="00B81302" w:rsidRDefault="00B81302" w:rsidP="008C7618">
            <w:pPr>
              <w:spacing w:after="0" w:line="240" w:lineRule="auto"/>
              <w:jc w:val="both"/>
              <w:rPr>
                <w:rFonts w:ascii="Times New Roman" w:eastAsiaTheme="minorHAnsi" w:hAnsi="Times New Roman"/>
                <w:sz w:val="16"/>
                <w:szCs w:val="16"/>
              </w:rPr>
            </w:pPr>
          </w:p>
          <w:p w14:paraId="4F78C0E5" w14:textId="77777777" w:rsidR="00B81302" w:rsidRDefault="00B81302" w:rsidP="008C7618">
            <w:pPr>
              <w:spacing w:after="0" w:line="240" w:lineRule="auto"/>
              <w:jc w:val="both"/>
              <w:rPr>
                <w:rFonts w:ascii="Times New Roman" w:eastAsiaTheme="minorHAnsi" w:hAnsi="Times New Roman"/>
                <w:sz w:val="16"/>
                <w:szCs w:val="16"/>
              </w:rPr>
            </w:pPr>
          </w:p>
          <w:p w14:paraId="668CDF1D" w14:textId="77777777" w:rsidR="00B81302" w:rsidRDefault="00B81302" w:rsidP="008C7618">
            <w:pPr>
              <w:spacing w:after="0" w:line="240" w:lineRule="auto"/>
              <w:jc w:val="both"/>
              <w:rPr>
                <w:rFonts w:ascii="Times New Roman" w:eastAsiaTheme="minorHAnsi" w:hAnsi="Times New Roman"/>
                <w:sz w:val="16"/>
                <w:szCs w:val="16"/>
              </w:rPr>
            </w:pPr>
          </w:p>
          <w:p w14:paraId="45585824" w14:textId="77777777" w:rsidR="00B81302" w:rsidRDefault="00B81302" w:rsidP="008C7618">
            <w:pPr>
              <w:spacing w:after="0" w:line="240" w:lineRule="auto"/>
              <w:jc w:val="both"/>
              <w:rPr>
                <w:rFonts w:ascii="Times New Roman" w:eastAsiaTheme="minorHAnsi" w:hAnsi="Times New Roman"/>
                <w:sz w:val="16"/>
                <w:szCs w:val="16"/>
              </w:rPr>
            </w:pPr>
          </w:p>
          <w:p w14:paraId="693A398A" w14:textId="77777777" w:rsidR="00B81302" w:rsidRDefault="00B81302" w:rsidP="008C7618">
            <w:pPr>
              <w:spacing w:after="0" w:line="240" w:lineRule="auto"/>
              <w:jc w:val="both"/>
              <w:rPr>
                <w:rFonts w:ascii="Times New Roman" w:eastAsiaTheme="minorHAnsi" w:hAnsi="Times New Roman"/>
                <w:sz w:val="16"/>
                <w:szCs w:val="16"/>
              </w:rPr>
            </w:pPr>
          </w:p>
          <w:p w14:paraId="79BE4283" w14:textId="77777777" w:rsidR="00B81302" w:rsidRDefault="00B81302" w:rsidP="008C7618">
            <w:pPr>
              <w:spacing w:after="0" w:line="240" w:lineRule="auto"/>
              <w:jc w:val="both"/>
              <w:rPr>
                <w:rFonts w:ascii="Times New Roman" w:eastAsiaTheme="minorHAnsi" w:hAnsi="Times New Roman"/>
                <w:sz w:val="16"/>
                <w:szCs w:val="16"/>
              </w:rPr>
            </w:pPr>
          </w:p>
          <w:p w14:paraId="130AA490" w14:textId="77777777" w:rsidR="00B81302" w:rsidRDefault="00B81302" w:rsidP="008C7618">
            <w:pPr>
              <w:spacing w:after="0" w:line="240" w:lineRule="auto"/>
              <w:jc w:val="both"/>
              <w:rPr>
                <w:rFonts w:ascii="Times New Roman" w:eastAsiaTheme="minorHAnsi" w:hAnsi="Times New Roman"/>
                <w:sz w:val="16"/>
                <w:szCs w:val="16"/>
              </w:rPr>
            </w:pPr>
          </w:p>
          <w:p w14:paraId="1A57DD4A" w14:textId="77777777" w:rsidR="00B81302" w:rsidRDefault="00B81302" w:rsidP="008C7618">
            <w:pPr>
              <w:spacing w:after="0" w:line="240" w:lineRule="auto"/>
              <w:jc w:val="both"/>
              <w:rPr>
                <w:rFonts w:ascii="Times New Roman" w:eastAsiaTheme="minorHAnsi" w:hAnsi="Times New Roman"/>
                <w:sz w:val="16"/>
                <w:szCs w:val="16"/>
              </w:rPr>
            </w:pPr>
          </w:p>
          <w:p w14:paraId="37D12378" w14:textId="77777777" w:rsidR="00B81302" w:rsidRDefault="00B81302" w:rsidP="008C7618">
            <w:pPr>
              <w:spacing w:after="0" w:line="240" w:lineRule="auto"/>
              <w:jc w:val="both"/>
              <w:rPr>
                <w:rFonts w:ascii="Times New Roman" w:eastAsiaTheme="minorHAnsi" w:hAnsi="Times New Roman"/>
                <w:sz w:val="16"/>
                <w:szCs w:val="16"/>
              </w:rPr>
            </w:pPr>
          </w:p>
          <w:p w14:paraId="2E3CBC04" w14:textId="1BACFC4E" w:rsidR="00B81302" w:rsidRPr="00DC53C2" w:rsidRDefault="00B81302" w:rsidP="00257559">
            <w:pPr>
              <w:spacing w:after="0" w:line="240" w:lineRule="auto"/>
              <w:jc w:val="both"/>
              <w:rPr>
                <w:rFonts w:ascii="Times New Roman" w:eastAsiaTheme="minorHAnsi" w:hAnsi="Times New Roman"/>
                <w:sz w:val="16"/>
                <w:szCs w:val="16"/>
              </w:rPr>
            </w:pPr>
          </w:p>
        </w:tc>
        <w:tc>
          <w:tcPr>
            <w:tcW w:w="4996" w:type="dxa"/>
          </w:tcPr>
          <w:p w14:paraId="6B05AA16" w14:textId="77777777" w:rsidR="00A44E97" w:rsidRPr="00DC53C2" w:rsidRDefault="00A44E97" w:rsidP="00FA05C1">
            <w:pPr>
              <w:spacing w:after="0" w:line="240" w:lineRule="auto"/>
              <w:jc w:val="both"/>
              <w:rPr>
                <w:rFonts w:ascii="Times New Roman" w:eastAsiaTheme="minorHAnsi" w:hAnsi="Times New Roman"/>
                <w:sz w:val="16"/>
                <w:szCs w:val="16"/>
              </w:rPr>
            </w:pPr>
            <w:r w:rsidRPr="00DC53C2">
              <w:rPr>
                <w:rFonts w:ascii="Times New Roman" w:eastAsiaTheme="minorHAnsi" w:hAnsi="Times New Roman"/>
                <w:i/>
                <w:sz w:val="16"/>
                <w:szCs w:val="16"/>
              </w:rPr>
              <w:lastRenderedPageBreak/>
              <w:t>IR</w:t>
            </w:r>
            <w:r w:rsidR="00782733" w:rsidRPr="00DC53C2">
              <w:rPr>
                <w:rFonts w:ascii="Times New Roman" w:eastAsiaTheme="minorHAnsi" w:hAnsi="Times New Roman"/>
                <w:i/>
                <w:sz w:val="16"/>
                <w:szCs w:val="16"/>
              </w:rPr>
              <w:t>1</w:t>
            </w:r>
            <w:r w:rsidRPr="00DC53C2">
              <w:rPr>
                <w:rFonts w:ascii="Times New Roman" w:eastAsiaTheme="minorHAnsi" w:hAnsi="Times New Roman"/>
                <w:i/>
                <w:sz w:val="16"/>
                <w:szCs w:val="16"/>
              </w:rPr>
              <w:t xml:space="preserve"> nosaukums un mērvienība</w:t>
            </w:r>
            <w:r w:rsidRPr="00DC53C2">
              <w:rPr>
                <w:rFonts w:ascii="Times New Roman" w:eastAsiaTheme="minorHAnsi" w:hAnsi="Times New Roman"/>
                <w:sz w:val="16"/>
                <w:szCs w:val="16"/>
              </w:rPr>
              <w:t>:</w:t>
            </w:r>
          </w:p>
          <w:p w14:paraId="535AF684" w14:textId="5F87773C" w:rsidR="00666E4C" w:rsidRPr="00DC53C2" w:rsidRDefault="00D70C19" w:rsidP="00FA05C1">
            <w:pPr>
              <w:spacing w:after="0" w:line="240" w:lineRule="auto"/>
              <w:jc w:val="both"/>
              <w:rPr>
                <w:rFonts w:ascii="Times New Roman" w:hAnsi="Times New Roman"/>
                <w:sz w:val="16"/>
                <w:szCs w:val="16"/>
              </w:rPr>
            </w:pPr>
            <w:r w:rsidRPr="00DC53C2">
              <w:rPr>
                <w:rFonts w:ascii="Times New Roman" w:hAnsi="Times New Roman"/>
                <w:sz w:val="16"/>
                <w:szCs w:val="16"/>
              </w:rPr>
              <w:t>i.8.5.</w:t>
            </w:r>
            <w:r w:rsidR="00AD70C8" w:rsidRPr="00DC53C2">
              <w:rPr>
                <w:rFonts w:ascii="Times New Roman" w:hAnsi="Times New Roman"/>
                <w:sz w:val="16"/>
                <w:szCs w:val="16"/>
              </w:rPr>
              <w:t>2</w:t>
            </w:r>
            <w:r w:rsidRPr="00DC53C2">
              <w:rPr>
                <w:rFonts w:ascii="Times New Roman" w:hAnsi="Times New Roman"/>
                <w:sz w:val="16"/>
                <w:szCs w:val="16"/>
              </w:rPr>
              <w:t>.</w:t>
            </w:r>
            <w:r w:rsidR="00A15A16" w:rsidRPr="00DC53C2">
              <w:rPr>
                <w:rFonts w:ascii="Times New Roman" w:hAnsi="Times New Roman"/>
                <w:sz w:val="16"/>
                <w:szCs w:val="16"/>
              </w:rPr>
              <w:t>a</w:t>
            </w:r>
            <w:r w:rsidRPr="00DC53C2">
              <w:rPr>
                <w:rFonts w:ascii="Times New Roman" w:hAnsi="Times New Roman"/>
                <w:sz w:val="16"/>
                <w:szCs w:val="16"/>
              </w:rPr>
              <w:t xml:space="preserve"> (I62) </w:t>
            </w:r>
            <w:r w:rsidR="008920B8" w:rsidRPr="00DC53C2">
              <w:rPr>
                <w:rFonts w:ascii="Times New Roman" w:hAnsi="Times New Roman"/>
                <w:sz w:val="16"/>
                <w:szCs w:val="16"/>
              </w:rPr>
              <w:t>P</w:t>
            </w:r>
            <w:r w:rsidRPr="00DC53C2">
              <w:rPr>
                <w:rFonts w:ascii="Times New Roman" w:hAnsi="Times New Roman"/>
                <w:sz w:val="16"/>
                <w:szCs w:val="16"/>
              </w:rPr>
              <w:t>rofesiju standartu</w:t>
            </w:r>
            <w:r w:rsidR="008920B8" w:rsidRPr="00DC53C2">
              <w:rPr>
                <w:rFonts w:ascii="Times New Roman" w:hAnsi="Times New Roman"/>
                <w:sz w:val="16"/>
                <w:szCs w:val="16"/>
              </w:rPr>
              <w:t xml:space="preserve"> un</w:t>
            </w:r>
            <w:r w:rsidRPr="00DC53C2">
              <w:rPr>
                <w:rFonts w:ascii="Times New Roman" w:hAnsi="Times New Roman"/>
                <w:sz w:val="16"/>
                <w:szCs w:val="16"/>
              </w:rPr>
              <w:t xml:space="preserve"> profesionālās kvalifikācijas pamatprasību skaits</w:t>
            </w:r>
            <w:r w:rsidR="008920B8" w:rsidRPr="00DC53C2">
              <w:rPr>
                <w:rFonts w:ascii="Times New Roman" w:hAnsi="Times New Roman"/>
                <w:sz w:val="16"/>
                <w:szCs w:val="16"/>
              </w:rPr>
              <w:t xml:space="preserve">, kuru izstrādei piešķirts ESF atbalsts </w:t>
            </w:r>
            <w:r w:rsidRPr="00DC53C2">
              <w:rPr>
                <w:rFonts w:ascii="Times New Roman" w:hAnsi="Times New Roman"/>
                <w:sz w:val="16"/>
                <w:szCs w:val="16"/>
              </w:rPr>
              <w:t>(</w:t>
            </w:r>
            <w:r w:rsidR="009C24E6">
              <w:rPr>
                <w:rFonts w:ascii="Times New Roman" w:hAnsi="Times New Roman"/>
                <w:sz w:val="16"/>
                <w:szCs w:val="16"/>
              </w:rPr>
              <w:t xml:space="preserve">profesiju </w:t>
            </w:r>
            <w:r w:rsidRPr="00DC53C2">
              <w:rPr>
                <w:rFonts w:ascii="Times New Roman" w:hAnsi="Times New Roman"/>
                <w:sz w:val="16"/>
                <w:szCs w:val="16"/>
              </w:rPr>
              <w:t>standartu</w:t>
            </w:r>
            <w:r w:rsidR="008920B8" w:rsidRPr="00DC53C2">
              <w:rPr>
                <w:rFonts w:ascii="Times New Roman" w:hAnsi="Times New Roman"/>
                <w:sz w:val="16"/>
                <w:szCs w:val="16"/>
              </w:rPr>
              <w:t xml:space="preserve"> un</w:t>
            </w:r>
            <w:r w:rsidRPr="00DC53C2">
              <w:rPr>
                <w:rFonts w:ascii="Times New Roman" w:hAnsi="Times New Roman"/>
                <w:sz w:val="16"/>
                <w:szCs w:val="16"/>
              </w:rPr>
              <w:t xml:space="preserve"> </w:t>
            </w:r>
            <w:r w:rsidR="009C24E6">
              <w:rPr>
                <w:rFonts w:ascii="Times New Roman" w:hAnsi="Times New Roman"/>
                <w:sz w:val="16"/>
                <w:szCs w:val="16"/>
              </w:rPr>
              <w:t xml:space="preserve">kvalifikācijas </w:t>
            </w:r>
            <w:r w:rsidRPr="00DC53C2">
              <w:rPr>
                <w:rFonts w:ascii="Times New Roman" w:hAnsi="Times New Roman"/>
                <w:sz w:val="16"/>
                <w:szCs w:val="16"/>
              </w:rPr>
              <w:t>pamatprasību skaits)</w:t>
            </w:r>
          </w:p>
          <w:p w14:paraId="63B00EC7" w14:textId="77777777" w:rsidR="00E345C8" w:rsidRPr="00DC53C2" w:rsidRDefault="00E345C8" w:rsidP="00FA05C1">
            <w:pPr>
              <w:spacing w:after="0" w:line="240" w:lineRule="auto"/>
              <w:jc w:val="both"/>
              <w:rPr>
                <w:rFonts w:ascii="Times New Roman" w:eastAsiaTheme="minorHAnsi" w:hAnsi="Times New Roman"/>
                <w:i/>
                <w:sz w:val="16"/>
                <w:szCs w:val="16"/>
              </w:rPr>
            </w:pPr>
          </w:p>
          <w:p w14:paraId="7433C68D" w14:textId="445F9702" w:rsidR="00666E4C" w:rsidRPr="00DC53C2" w:rsidRDefault="00666E4C" w:rsidP="00FA05C1">
            <w:pPr>
              <w:spacing w:after="0" w:line="240" w:lineRule="auto"/>
              <w:jc w:val="both"/>
              <w:rPr>
                <w:rFonts w:ascii="Times New Roman" w:eastAsiaTheme="minorHAnsi" w:hAnsi="Times New Roman"/>
                <w:i/>
                <w:sz w:val="16"/>
                <w:szCs w:val="16"/>
              </w:rPr>
            </w:pPr>
            <w:r w:rsidRPr="00DC53C2">
              <w:rPr>
                <w:rFonts w:ascii="Times New Roman" w:eastAsiaTheme="minorHAnsi" w:hAnsi="Times New Roman"/>
                <w:i/>
                <w:sz w:val="16"/>
                <w:szCs w:val="16"/>
              </w:rPr>
              <w:t>Definīcij</w:t>
            </w:r>
            <w:r w:rsidR="00AE59D0">
              <w:rPr>
                <w:rFonts w:ascii="Times New Roman" w:eastAsiaTheme="minorHAnsi" w:hAnsi="Times New Roman"/>
                <w:i/>
                <w:sz w:val="16"/>
                <w:szCs w:val="16"/>
              </w:rPr>
              <w:t>a</w:t>
            </w:r>
            <w:r w:rsidRPr="00DC53C2">
              <w:rPr>
                <w:rFonts w:ascii="Times New Roman" w:eastAsiaTheme="minorHAnsi" w:hAnsi="Times New Roman"/>
                <w:i/>
                <w:sz w:val="16"/>
                <w:szCs w:val="16"/>
              </w:rPr>
              <w:t>:</w:t>
            </w:r>
          </w:p>
          <w:p w14:paraId="0154FC66" w14:textId="77777777" w:rsidR="00C71E79" w:rsidRPr="00DC53C2" w:rsidRDefault="00C71E79" w:rsidP="00FA05C1">
            <w:pPr>
              <w:spacing w:after="0" w:line="240" w:lineRule="auto"/>
              <w:jc w:val="both"/>
              <w:rPr>
                <w:rFonts w:ascii="Times New Roman" w:hAnsi="Times New Roman"/>
                <w:sz w:val="16"/>
                <w:szCs w:val="16"/>
              </w:rPr>
            </w:pPr>
            <w:r w:rsidRPr="00DC53C2">
              <w:rPr>
                <w:rFonts w:ascii="Times New Roman" w:hAnsi="Times New Roman"/>
                <w:sz w:val="16"/>
                <w:szCs w:val="16"/>
              </w:rPr>
              <w:t>Izstrādāto profesiju standartu/ profesionālās kvalifikācijas pamatprasību skaits</w:t>
            </w:r>
            <w:r w:rsidR="00AD1578" w:rsidRPr="00DC53C2">
              <w:rPr>
                <w:rFonts w:ascii="Times New Roman" w:hAnsi="Times New Roman"/>
                <w:sz w:val="16"/>
                <w:szCs w:val="16"/>
              </w:rPr>
              <w:t>.</w:t>
            </w:r>
          </w:p>
          <w:p w14:paraId="68DB9C58" w14:textId="3A20FB62" w:rsidR="007F4F58" w:rsidRPr="00DC53C2" w:rsidRDefault="00AD1578" w:rsidP="00C60C3A">
            <w:pPr>
              <w:jc w:val="both"/>
              <w:rPr>
                <w:rFonts w:ascii="Times New Roman" w:eastAsiaTheme="minorHAnsi" w:hAnsi="Times New Roman"/>
                <w:sz w:val="16"/>
                <w:szCs w:val="16"/>
                <w:u w:val="single"/>
              </w:rPr>
            </w:pPr>
            <w:r w:rsidRPr="00DC53C2">
              <w:rPr>
                <w:rFonts w:ascii="Times New Roman" w:hAnsi="Times New Roman"/>
                <w:sz w:val="16"/>
                <w:szCs w:val="16"/>
                <w:u w:val="single"/>
              </w:rPr>
              <w:t>Profesijas standarts</w:t>
            </w:r>
            <w:r w:rsidRPr="00DC53C2">
              <w:rPr>
                <w:rFonts w:ascii="Times New Roman" w:hAnsi="Times New Roman"/>
                <w:sz w:val="16"/>
                <w:szCs w:val="16"/>
              </w:rPr>
              <w:t xml:space="preserve"> - dokuments, kurš </w:t>
            </w:r>
            <w:r w:rsidRPr="00BB6449">
              <w:rPr>
                <w:rFonts w:ascii="Times New Roman" w:hAnsi="Times New Roman"/>
                <w:sz w:val="16"/>
                <w:szCs w:val="16"/>
              </w:rPr>
              <w:t>nosaka</w:t>
            </w:r>
            <w:r w:rsidR="007F4F58" w:rsidRPr="001B2800">
              <w:rPr>
                <w:rFonts w:ascii="Times New Roman" w:hAnsi="Times New Roman"/>
                <w:sz w:val="16"/>
              </w:rPr>
              <w:t xml:space="preserve"> profesijai atbilstošos profesionālās darbības pamatuzdevumus un pienākumus, </w:t>
            </w:r>
            <w:r w:rsidRPr="00BB6449">
              <w:rPr>
                <w:rFonts w:ascii="Times New Roman" w:hAnsi="Times New Roman"/>
                <w:sz w:val="16"/>
                <w:szCs w:val="16"/>
              </w:rPr>
              <w:t xml:space="preserve"> profesionālās kvalifikācijas </w:t>
            </w:r>
            <w:r w:rsidR="00A15A16" w:rsidRPr="00BB6449">
              <w:rPr>
                <w:rFonts w:ascii="Times New Roman" w:hAnsi="Times New Roman"/>
                <w:sz w:val="16"/>
                <w:szCs w:val="16"/>
              </w:rPr>
              <w:t>prasības (</w:t>
            </w:r>
            <w:r w:rsidR="007F4F58" w:rsidRPr="001B2800">
              <w:rPr>
                <w:rFonts w:ascii="Times New Roman" w:hAnsi="Times New Roman"/>
                <w:sz w:val="16"/>
              </w:rPr>
              <w:t xml:space="preserve">vispārējās un profesionālās </w:t>
            </w:r>
            <w:r w:rsidR="00A15A16" w:rsidRPr="00BB6449">
              <w:rPr>
                <w:rFonts w:ascii="Times New Roman" w:hAnsi="Times New Roman"/>
                <w:sz w:val="16"/>
                <w:szCs w:val="16"/>
              </w:rPr>
              <w:t>zināšanas, prasmes, attieksmes</w:t>
            </w:r>
            <w:r w:rsidR="00C60C3A" w:rsidRPr="00BB6449">
              <w:rPr>
                <w:rFonts w:ascii="Times New Roman" w:hAnsi="Times New Roman"/>
                <w:sz w:val="16"/>
                <w:szCs w:val="16"/>
              </w:rPr>
              <w:t xml:space="preserve"> un </w:t>
            </w:r>
            <w:r w:rsidRPr="00BB6449">
              <w:rPr>
                <w:rFonts w:ascii="Times New Roman" w:hAnsi="Times New Roman"/>
                <w:sz w:val="16"/>
                <w:szCs w:val="16"/>
              </w:rPr>
              <w:t>kompetences), kas nepieciešamas</w:t>
            </w:r>
            <w:r w:rsidRPr="00DC53C2">
              <w:rPr>
                <w:rFonts w:ascii="Times New Roman" w:hAnsi="Times New Roman"/>
                <w:sz w:val="16"/>
                <w:szCs w:val="16"/>
              </w:rPr>
              <w:t xml:space="preserve">  galveno darba uzdevumu veikšanai attiecīgajā profesijā.</w:t>
            </w:r>
            <w:r w:rsidR="007F4F58" w:rsidRPr="00DC53C2">
              <w:rPr>
                <w:rFonts w:ascii="Times New Roman" w:hAnsi="Times New Roman"/>
                <w:sz w:val="16"/>
                <w:szCs w:val="16"/>
                <w:u w:val="single"/>
              </w:rPr>
              <w:t xml:space="preserve"> </w:t>
            </w:r>
          </w:p>
          <w:p w14:paraId="4C49929E" w14:textId="77777777" w:rsidR="000E56F4" w:rsidRPr="00DC53C2" w:rsidRDefault="000E56F4" w:rsidP="00FA05C1">
            <w:pPr>
              <w:spacing w:after="0" w:line="240" w:lineRule="auto"/>
              <w:jc w:val="both"/>
              <w:rPr>
                <w:rFonts w:ascii="Times New Roman" w:eastAsiaTheme="minorHAnsi" w:hAnsi="Times New Roman"/>
                <w:sz w:val="16"/>
                <w:szCs w:val="16"/>
              </w:rPr>
            </w:pPr>
            <w:r w:rsidRPr="00DC53C2">
              <w:rPr>
                <w:rFonts w:ascii="Times New Roman" w:eastAsiaTheme="minorHAnsi" w:hAnsi="Times New Roman"/>
                <w:i/>
                <w:sz w:val="16"/>
                <w:szCs w:val="16"/>
              </w:rPr>
              <w:t>Datu avots</w:t>
            </w:r>
            <w:r w:rsidRPr="00DC53C2">
              <w:rPr>
                <w:rFonts w:ascii="Times New Roman" w:eastAsiaTheme="minorHAnsi" w:hAnsi="Times New Roman"/>
                <w:sz w:val="16"/>
                <w:szCs w:val="16"/>
              </w:rPr>
              <w:t>:</w:t>
            </w:r>
          </w:p>
          <w:p w14:paraId="3D8A9E5A" w14:textId="77777777" w:rsidR="00E345C8" w:rsidRDefault="00C71E79" w:rsidP="00FA05C1">
            <w:pPr>
              <w:spacing w:after="0" w:line="240" w:lineRule="auto"/>
              <w:jc w:val="both"/>
              <w:rPr>
                <w:rFonts w:ascii="Times New Roman" w:hAnsi="Times New Roman"/>
                <w:sz w:val="16"/>
                <w:szCs w:val="16"/>
              </w:rPr>
            </w:pPr>
            <w:r w:rsidRPr="00DC53C2">
              <w:rPr>
                <w:rFonts w:ascii="Times New Roman" w:hAnsi="Times New Roman"/>
                <w:sz w:val="16"/>
                <w:szCs w:val="16"/>
              </w:rPr>
              <w:t>Projektu dati</w:t>
            </w:r>
          </w:p>
          <w:p w14:paraId="25CD9D05" w14:textId="77777777" w:rsidR="00D26A6A" w:rsidRPr="00DC53C2" w:rsidRDefault="00D26A6A" w:rsidP="00FA05C1">
            <w:pPr>
              <w:spacing w:after="0" w:line="240" w:lineRule="auto"/>
              <w:jc w:val="both"/>
              <w:rPr>
                <w:rFonts w:ascii="Times New Roman" w:hAnsi="Times New Roman"/>
                <w:sz w:val="16"/>
                <w:szCs w:val="16"/>
              </w:rPr>
            </w:pPr>
          </w:p>
          <w:p w14:paraId="648001A2" w14:textId="77777777" w:rsidR="00C71E79" w:rsidRPr="00DC53C2" w:rsidRDefault="00C71E79" w:rsidP="00FA05C1">
            <w:pPr>
              <w:spacing w:after="0" w:line="240" w:lineRule="auto"/>
              <w:jc w:val="both"/>
              <w:rPr>
                <w:rFonts w:ascii="Times New Roman" w:eastAsiaTheme="minorHAnsi" w:hAnsi="Times New Roman"/>
                <w:i/>
                <w:sz w:val="16"/>
                <w:szCs w:val="16"/>
              </w:rPr>
            </w:pPr>
            <w:r w:rsidRPr="00DC53C2">
              <w:rPr>
                <w:rFonts w:ascii="Times New Roman" w:eastAsiaTheme="minorHAnsi" w:hAnsi="Times New Roman"/>
                <w:i/>
                <w:sz w:val="16"/>
                <w:szCs w:val="16"/>
              </w:rPr>
              <w:t>Apkopošanas biežums un ieguves metodoloģija:</w:t>
            </w:r>
          </w:p>
          <w:p w14:paraId="1DCB8D47" w14:textId="5D04BE05" w:rsidR="00666E4C" w:rsidRPr="00DC53C2" w:rsidRDefault="009C24E6" w:rsidP="00FA05C1">
            <w:pPr>
              <w:spacing w:after="0" w:line="240" w:lineRule="auto"/>
              <w:jc w:val="both"/>
              <w:rPr>
                <w:rFonts w:ascii="Times New Roman" w:eastAsiaTheme="minorHAnsi" w:hAnsi="Times New Roman"/>
                <w:sz w:val="16"/>
                <w:szCs w:val="16"/>
              </w:rPr>
            </w:pPr>
            <w:r>
              <w:rPr>
                <w:rFonts w:ascii="Times New Roman" w:eastAsiaTheme="minorHAnsi" w:hAnsi="Times New Roman"/>
                <w:sz w:val="16"/>
                <w:szCs w:val="16"/>
              </w:rPr>
              <w:t>Reizi</w:t>
            </w:r>
            <w:r w:rsidRPr="00DC53C2">
              <w:rPr>
                <w:rFonts w:ascii="Times New Roman" w:eastAsiaTheme="minorHAnsi" w:hAnsi="Times New Roman"/>
                <w:sz w:val="16"/>
                <w:szCs w:val="16"/>
              </w:rPr>
              <w:t xml:space="preserve"> </w:t>
            </w:r>
            <w:r w:rsidR="00C71E79" w:rsidRPr="00DC53C2">
              <w:rPr>
                <w:rFonts w:ascii="Times New Roman" w:eastAsiaTheme="minorHAnsi" w:hAnsi="Times New Roman"/>
                <w:sz w:val="16"/>
                <w:szCs w:val="16"/>
              </w:rPr>
              <w:t>gad</w:t>
            </w:r>
            <w:r>
              <w:rPr>
                <w:rFonts w:ascii="Times New Roman" w:eastAsiaTheme="minorHAnsi" w:hAnsi="Times New Roman"/>
                <w:sz w:val="16"/>
                <w:szCs w:val="16"/>
              </w:rPr>
              <w:t>ā</w:t>
            </w:r>
            <w:r w:rsidR="00C71E79" w:rsidRPr="00DC53C2">
              <w:rPr>
                <w:rFonts w:ascii="Times New Roman" w:eastAsiaTheme="minorHAnsi" w:hAnsi="Times New Roman"/>
                <w:sz w:val="16"/>
                <w:szCs w:val="16"/>
              </w:rPr>
              <w:t>, apkopojot projektu datus</w:t>
            </w:r>
          </w:p>
          <w:p w14:paraId="24F7A613" w14:textId="77777777" w:rsidR="00666E4C" w:rsidRPr="00DC53C2" w:rsidRDefault="00666E4C" w:rsidP="00FA05C1">
            <w:pPr>
              <w:spacing w:after="0" w:line="240" w:lineRule="auto"/>
              <w:jc w:val="both"/>
              <w:rPr>
                <w:rFonts w:ascii="Times New Roman" w:eastAsiaTheme="minorHAnsi" w:hAnsi="Times New Roman"/>
                <w:i/>
                <w:sz w:val="16"/>
                <w:szCs w:val="16"/>
              </w:rPr>
            </w:pPr>
          </w:p>
          <w:p w14:paraId="4BAAF31B" w14:textId="77777777" w:rsidR="00666E4C" w:rsidRPr="00DC53C2" w:rsidRDefault="00666E4C" w:rsidP="00FA05C1">
            <w:pPr>
              <w:spacing w:after="0" w:line="240" w:lineRule="auto"/>
              <w:jc w:val="both"/>
              <w:rPr>
                <w:rFonts w:ascii="Times New Roman" w:eastAsiaTheme="minorHAnsi" w:hAnsi="Times New Roman"/>
                <w:i/>
                <w:sz w:val="16"/>
                <w:szCs w:val="16"/>
              </w:rPr>
            </w:pPr>
            <w:r w:rsidRPr="00DC53C2">
              <w:rPr>
                <w:rFonts w:ascii="Times New Roman" w:eastAsiaTheme="minorHAnsi" w:hAnsi="Times New Roman"/>
                <w:i/>
                <w:sz w:val="16"/>
                <w:szCs w:val="16"/>
              </w:rPr>
              <w:t>Starpposma vērtība 2018:</w:t>
            </w:r>
            <w:r w:rsidR="008920B8" w:rsidRPr="00DC53C2">
              <w:rPr>
                <w:rFonts w:ascii="Times New Roman" w:eastAsiaTheme="minorHAnsi" w:hAnsi="Times New Roman"/>
                <w:i/>
                <w:sz w:val="16"/>
                <w:szCs w:val="16"/>
              </w:rPr>
              <w:t xml:space="preserve"> </w:t>
            </w:r>
            <w:r w:rsidR="000F6155" w:rsidRPr="00DC53C2">
              <w:rPr>
                <w:rFonts w:ascii="Times New Roman" w:eastAsiaTheme="minorHAnsi" w:hAnsi="Times New Roman"/>
                <w:i/>
                <w:sz w:val="16"/>
                <w:szCs w:val="16"/>
              </w:rPr>
              <w:t>90</w:t>
            </w:r>
          </w:p>
          <w:p w14:paraId="33EE05D3" w14:textId="77777777" w:rsidR="0059175B" w:rsidRPr="00DC53C2" w:rsidRDefault="0059175B" w:rsidP="00FA05C1">
            <w:pPr>
              <w:spacing w:after="0" w:line="240" w:lineRule="auto"/>
              <w:jc w:val="both"/>
              <w:rPr>
                <w:rFonts w:ascii="Times New Roman" w:eastAsiaTheme="minorHAnsi" w:hAnsi="Times New Roman"/>
                <w:i/>
                <w:sz w:val="16"/>
                <w:szCs w:val="16"/>
              </w:rPr>
            </w:pPr>
          </w:p>
          <w:p w14:paraId="4D622EE4" w14:textId="4E26FD10" w:rsidR="00666E4C" w:rsidRPr="00DC53C2" w:rsidRDefault="00666E4C" w:rsidP="00FA05C1">
            <w:pPr>
              <w:spacing w:after="0" w:line="240" w:lineRule="auto"/>
              <w:jc w:val="both"/>
              <w:rPr>
                <w:rFonts w:ascii="Times New Roman" w:eastAsiaTheme="minorHAnsi" w:hAnsi="Times New Roman"/>
                <w:sz w:val="16"/>
                <w:szCs w:val="16"/>
              </w:rPr>
            </w:pPr>
            <w:r w:rsidRPr="00DC53C2">
              <w:rPr>
                <w:rFonts w:ascii="Times New Roman" w:eastAsiaTheme="minorHAnsi" w:hAnsi="Times New Roman"/>
                <w:i/>
                <w:sz w:val="16"/>
                <w:szCs w:val="16"/>
              </w:rPr>
              <w:t>Mērķis 2023</w:t>
            </w:r>
            <w:r w:rsidRPr="00DC53C2">
              <w:rPr>
                <w:rFonts w:ascii="Times New Roman" w:eastAsiaTheme="minorHAnsi" w:hAnsi="Times New Roman"/>
                <w:sz w:val="16"/>
                <w:szCs w:val="16"/>
              </w:rPr>
              <w:t xml:space="preserve">: </w:t>
            </w:r>
            <w:r w:rsidR="00551FCA">
              <w:rPr>
                <w:rFonts w:ascii="Times New Roman" w:hAnsi="Times New Roman"/>
                <w:sz w:val="16"/>
                <w:szCs w:val="16"/>
              </w:rPr>
              <w:t>200</w:t>
            </w:r>
          </w:p>
          <w:p w14:paraId="4AADC65B" w14:textId="77777777" w:rsidR="00666E4C" w:rsidRPr="00DC53C2" w:rsidRDefault="00666E4C" w:rsidP="00FA05C1">
            <w:pPr>
              <w:spacing w:after="0" w:line="240" w:lineRule="auto"/>
              <w:jc w:val="both"/>
              <w:rPr>
                <w:rFonts w:ascii="Times New Roman" w:eastAsiaTheme="minorHAnsi" w:hAnsi="Times New Roman"/>
                <w:sz w:val="16"/>
                <w:szCs w:val="16"/>
              </w:rPr>
            </w:pPr>
          </w:p>
          <w:p w14:paraId="079F6F9F" w14:textId="77777777" w:rsidR="00666E4C" w:rsidRPr="00DC53C2" w:rsidRDefault="00666E4C" w:rsidP="00FA05C1">
            <w:pPr>
              <w:spacing w:after="0" w:line="240" w:lineRule="auto"/>
              <w:jc w:val="both"/>
              <w:rPr>
                <w:rFonts w:ascii="Times New Roman" w:eastAsiaTheme="minorHAnsi" w:hAnsi="Times New Roman"/>
                <w:sz w:val="16"/>
                <w:szCs w:val="16"/>
              </w:rPr>
            </w:pPr>
            <w:r w:rsidRPr="00DC53C2">
              <w:rPr>
                <w:rFonts w:ascii="Times New Roman" w:eastAsiaTheme="minorHAnsi" w:hAnsi="Times New Roman"/>
                <w:i/>
                <w:sz w:val="16"/>
                <w:szCs w:val="16"/>
              </w:rPr>
              <w:t>Mērķa vērtības noteikšanas principi/metodoloģija</w:t>
            </w:r>
            <w:r w:rsidRPr="00DC53C2">
              <w:rPr>
                <w:rFonts w:ascii="Times New Roman" w:eastAsiaTheme="minorHAnsi" w:hAnsi="Times New Roman"/>
                <w:sz w:val="16"/>
                <w:szCs w:val="16"/>
              </w:rPr>
              <w:t>:</w:t>
            </w:r>
          </w:p>
          <w:p w14:paraId="0A89E315" w14:textId="723399D9" w:rsidR="008920B8" w:rsidRPr="00DC53C2" w:rsidRDefault="008920B8" w:rsidP="008920B8">
            <w:pPr>
              <w:spacing w:after="0" w:line="240" w:lineRule="auto"/>
              <w:jc w:val="both"/>
              <w:rPr>
                <w:rFonts w:ascii="Times New Roman" w:hAnsi="Times New Roman"/>
                <w:sz w:val="16"/>
                <w:szCs w:val="16"/>
              </w:rPr>
            </w:pPr>
            <w:r w:rsidRPr="00DC53C2">
              <w:rPr>
                <w:rFonts w:ascii="Times New Roman" w:hAnsi="Times New Roman"/>
                <w:sz w:val="16"/>
                <w:szCs w:val="16"/>
              </w:rPr>
              <w:t>Darbības līmenis ir projekts.</w:t>
            </w:r>
            <w:r w:rsidR="004709D7" w:rsidRPr="00DC53C2">
              <w:rPr>
                <w:rFonts w:ascii="Times New Roman" w:hAnsi="Times New Roman"/>
                <w:sz w:val="16"/>
                <w:szCs w:val="16"/>
              </w:rPr>
              <w:t xml:space="preserve"> Dati par dalībniekiem netiks uzkrāti, jo atbalsts ir vērsts uz sistēmām, nevis dalībniekiem.</w:t>
            </w:r>
          </w:p>
          <w:p w14:paraId="3B27BEDE" w14:textId="085F99F9" w:rsidR="007B22B0" w:rsidRDefault="0059175B" w:rsidP="00FA05C1">
            <w:pPr>
              <w:spacing w:after="0" w:line="240" w:lineRule="auto"/>
              <w:jc w:val="both"/>
              <w:rPr>
                <w:rFonts w:ascii="Times New Roman" w:hAnsi="Times New Roman"/>
                <w:sz w:val="16"/>
                <w:szCs w:val="16"/>
              </w:rPr>
            </w:pPr>
            <w:r w:rsidRPr="00DC53C2">
              <w:rPr>
                <w:rFonts w:ascii="Times New Roman" w:eastAsiaTheme="minorHAnsi" w:hAnsi="Times New Roman"/>
                <w:sz w:val="16"/>
                <w:szCs w:val="16"/>
              </w:rPr>
              <w:t xml:space="preserve">Izstrādāti profesiju standarti un </w:t>
            </w:r>
            <w:r w:rsidR="00C71E79" w:rsidRPr="00DC53C2">
              <w:rPr>
                <w:rFonts w:ascii="Times New Roman" w:eastAsiaTheme="minorHAnsi" w:hAnsi="Times New Roman"/>
                <w:sz w:val="16"/>
                <w:szCs w:val="16"/>
              </w:rPr>
              <w:t xml:space="preserve">profesionālās kvalifikācijas pamatprasības (profesiju standartu skaits) </w:t>
            </w:r>
            <w:r w:rsidR="00EC5A8D">
              <w:rPr>
                <w:rFonts w:ascii="Times New Roman" w:eastAsiaTheme="minorHAnsi" w:hAnsi="Times New Roman"/>
                <w:sz w:val="16"/>
                <w:szCs w:val="16"/>
              </w:rPr>
              <w:t>200</w:t>
            </w:r>
            <w:r w:rsidR="007B22B0" w:rsidRPr="00DC53C2">
              <w:rPr>
                <w:rFonts w:ascii="Times New Roman" w:eastAsiaTheme="minorHAnsi" w:hAnsi="Times New Roman"/>
                <w:sz w:val="16"/>
                <w:szCs w:val="16"/>
              </w:rPr>
              <w:t xml:space="preserve">. </w:t>
            </w:r>
            <w:r w:rsidR="004709D7" w:rsidRPr="00DC53C2">
              <w:rPr>
                <w:rFonts w:ascii="Times New Roman" w:hAnsi="Times New Roman"/>
                <w:bCs/>
                <w:sz w:val="16"/>
                <w:szCs w:val="16"/>
              </w:rPr>
              <w:t>ES struktūrfondu 2007</w:t>
            </w:r>
            <w:r w:rsidR="0057422E" w:rsidRPr="00DC53C2">
              <w:rPr>
                <w:rFonts w:ascii="Times New Roman" w:hAnsi="Times New Roman"/>
                <w:bCs/>
                <w:sz w:val="16"/>
                <w:szCs w:val="16"/>
              </w:rPr>
              <w:t>.–2013.gadam plānošanas perioda</w:t>
            </w:r>
            <w:r w:rsidR="007B22B0" w:rsidRPr="00DC53C2">
              <w:rPr>
                <w:rFonts w:ascii="Times New Roman" w:hAnsi="Times New Roman"/>
                <w:sz w:val="16"/>
                <w:szCs w:val="16"/>
              </w:rPr>
              <w:t xml:space="preserve"> darbības programmas “Cilvēkresursi un nodarbinātība” papildinājuma 1.2.1.1.1.apakšaktivitātes “Nozaru kvalifikāciju sistēmas izveide un profesionālās izglītības pārstrukturiz</w:t>
            </w:r>
            <w:r w:rsidRPr="00DC53C2">
              <w:rPr>
                <w:rFonts w:ascii="Times New Roman" w:hAnsi="Times New Roman"/>
                <w:sz w:val="16"/>
                <w:szCs w:val="16"/>
              </w:rPr>
              <w:t xml:space="preserve">ācija” </w:t>
            </w:r>
            <w:r w:rsidR="00AF3D1B" w:rsidRPr="00DC53C2">
              <w:rPr>
                <w:rFonts w:ascii="Times New Roman" w:hAnsi="Times New Roman"/>
                <w:sz w:val="16"/>
                <w:szCs w:val="16"/>
              </w:rPr>
              <w:t xml:space="preserve">(turpmāk 1.2.1.1.1.apakšaktivitāte) </w:t>
            </w:r>
            <w:r w:rsidRPr="00DC53C2">
              <w:rPr>
                <w:rFonts w:ascii="Times New Roman" w:hAnsi="Times New Roman"/>
                <w:sz w:val="16"/>
                <w:szCs w:val="16"/>
              </w:rPr>
              <w:t>projekt</w:t>
            </w:r>
            <w:r w:rsidR="004709D7" w:rsidRPr="00DC53C2">
              <w:rPr>
                <w:rFonts w:ascii="Times New Roman" w:hAnsi="Times New Roman"/>
                <w:sz w:val="16"/>
                <w:szCs w:val="16"/>
              </w:rPr>
              <w:t>a ietvaros</w:t>
            </w:r>
            <w:r w:rsidRPr="00DC53C2">
              <w:rPr>
                <w:rFonts w:ascii="Times New Roman" w:hAnsi="Times New Roman"/>
                <w:sz w:val="16"/>
                <w:szCs w:val="16"/>
              </w:rPr>
              <w:t xml:space="preserve"> </w:t>
            </w:r>
            <w:r w:rsidR="0057422E" w:rsidRPr="00DC53C2">
              <w:rPr>
                <w:rFonts w:ascii="Times New Roman" w:hAnsi="Times New Roman"/>
                <w:sz w:val="16"/>
                <w:szCs w:val="16"/>
              </w:rPr>
              <w:t xml:space="preserve">(laikā no </w:t>
            </w:r>
            <w:r w:rsidR="0057422E" w:rsidRPr="00DC53C2">
              <w:rPr>
                <w:rFonts w:ascii="Times New Roman" w:hAnsi="Times New Roman"/>
                <w:sz w:val="16"/>
                <w:szCs w:val="16"/>
                <w:lang w:eastAsia="lv-LV"/>
              </w:rPr>
              <w:t xml:space="preserve">2010.gada 1.decembrim </w:t>
            </w:r>
            <w:r w:rsidRPr="00DC53C2">
              <w:rPr>
                <w:rFonts w:ascii="Times New Roman" w:hAnsi="Times New Roman"/>
                <w:sz w:val="16"/>
                <w:szCs w:val="16"/>
              </w:rPr>
              <w:t>līdz 201</w:t>
            </w:r>
            <w:r w:rsidR="004709D7" w:rsidRPr="00DC53C2">
              <w:rPr>
                <w:rFonts w:ascii="Times New Roman" w:hAnsi="Times New Roman"/>
                <w:sz w:val="16"/>
                <w:szCs w:val="16"/>
              </w:rPr>
              <w:t>5</w:t>
            </w:r>
            <w:r w:rsidRPr="00DC53C2">
              <w:rPr>
                <w:rFonts w:ascii="Times New Roman" w:hAnsi="Times New Roman"/>
                <w:sz w:val="16"/>
                <w:szCs w:val="16"/>
              </w:rPr>
              <w:t xml:space="preserve">.gada </w:t>
            </w:r>
            <w:r w:rsidR="004709D7" w:rsidRPr="00DC53C2">
              <w:rPr>
                <w:rFonts w:ascii="Times New Roman" w:hAnsi="Times New Roman"/>
                <w:sz w:val="16"/>
                <w:szCs w:val="16"/>
              </w:rPr>
              <w:t>30.novembrim</w:t>
            </w:r>
            <w:r w:rsidR="008B40D2" w:rsidRPr="00DC53C2">
              <w:rPr>
                <w:rFonts w:ascii="Times New Roman" w:hAnsi="Times New Roman"/>
                <w:sz w:val="16"/>
                <w:szCs w:val="16"/>
              </w:rPr>
              <w:t>)</w:t>
            </w:r>
            <w:r w:rsidR="004709D7" w:rsidRPr="00DC53C2">
              <w:rPr>
                <w:rFonts w:ascii="Times New Roman" w:hAnsi="Times New Roman"/>
                <w:sz w:val="16"/>
                <w:szCs w:val="16"/>
              </w:rPr>
              <w:t xml:space="preserve"> </w:t>
            </w:r>
            <w:r w:rsidR="007B22B0" w:rsidRPr="00DC53C2">
              <w:rPr>
                <w:rFonts w:ascii="Times New Roman" w:hAnsi="Times New Roman"/>
                <w:sz w:val="16"/>
                <w:szCs w:val="16"/>
              </w:rPr>
              <w:t>izstrādāti 80 pro</w:t>
            </w:r>
            <w:r w:rsidRPr="00DC53C2">
              <w:rPr>
                <w:rFonts w:ascii="Times New Roman" w:hAnsi="Times New Roman"/>
                <w:sz w:val="16"/>
                <w:szCs w:val="16"/>
              </w:rPr>
              <w:t>fesijas standarti</w:t>
            </w:r>
            <w:r w:rsidR="0057422E" w:rsidRPr="00DC53C2">
              <w:rPr>
                <w:rFonts w:ascii="Times New Roman" w:hAnsi="Times New Roman"/>
                <w:sz w:val="16"/>
                <w:szCs w:val="16"/>
              </w:rPr>
              <w:t>, tai skaitā</w:t>
            </w:r>
            <w:r w:rsidRPr="00DC53C2">
              <w:rPr>
                <w:rFonts w:ascii="Times New Roman" w:hAnsi="Times New Roman"/>
                <w:sz w:val="16"/>
                <w:szCs w:val="16"/>
              </w:rPr>
              <w:t xml:space="preserve"> </w:t>
            </w:r>
            <w:r w:rsidR="0057422E" w:rsidRPr="00DC53C2">
              <w:rPr>
                <w:rFonts w:ascii="Times New Roman" w:hAnsi="Times New Roman"/>
                <w:sz w:val="16"/>
                <w:szCs w:val="16"/>
              </w:rPr>
              <w:t xml:space="preserve">19 </w:t>
            </w:r>
            <w:r w:rsidR="007B22B0" w:rsidRPr="00DC53C2">
              <w:rPr>
                <w:rFonts w:ascii="Times New Roman" w:hAnsi="Times New Roman"/>
                <w:sz w:val="16"/>
                <w:szCs w:val="16"/>
              </w:rPr>
              <w:t>profesionālās kvalifikācijas pamatprasība</w:t>
            </w:r>
            <w:r w:rsidRPr="00DC53C2">
              <w:rPr>
                <w:rFonts w:ascii="Times New Roman" w:hAnsi="Times New Roman"/>
                <w:sz w:val="16"/>
                <w:szCs w:val="16"/>
              </w:rPr>
              <w:t>s</w:t>
            </w:r>
            <w:r w:rsidR="0057422E" w:rsidRPr="00DC53C2">
              <w:rPr>
                <w:rFonts w:ascii="Times New Roman" w:hAnsi="Times New Roman"/>
                <w:sz w:val="16"/>
                <w:szCs w:val="16"/>
              </w:rPr>
              <w:t xml:space="preserve">. Lai </w:t>
            </w:r>
            <w:r w:rsidR="007F4F58" w:rsidRPr="00DC53C2">
              <w:rPr>
                <w:rFonts w:ascii="Times New Roman" w:hAnsi="Times New Roman"/>
                <w:sz w:val="16"/>
                <w:szCs w:val="16"/>
              </w:rPr>
              <w:t xml:space="preserve">pabeigtu </w:t>
            </w:r>
            <w:r w:rsidR="007F4F58" w:rsidRPr="00DC53C2">
              <w:rPr>
                <w:rFonts w:ascii="Times New Roman" w:hAnsi="Times New Roman"/>
                <w:sz w:val="16"/>
                <w:szCs w:val="16"/>
                <w:lang w:eastAsia="lv-LV"/>
              </w:rPr>
              <w:t>profesionālās izglītības satura pilnveidi</w:t>
            </w:r>
            <w:r w:rsidR="007F4F58" w:rsidRPr="00DC53C2">
              <w:rPr>
                <w:rFonts w:ascii="Times New Roman" w:hAnsi="Times New Roman"/>
                <w:sz w:val="16"/>
                <w:szCs w:val="16"/>
              </w:rPr>
              <w:t xml:space="preserve">  un </w:t>
            </w:r>
            <w:r w:rsidR="0057422E" w:rsidRPr="00DC53C2">
              <w:rPr>
                <w:rFonts w:ascii="Times New Roman" w:hAnsi="Times New Roman"/>
                <w:sz w:val="16"/>
                <w:szCs w:val="16"/>
              </w:rPr>
              <w:t>nozaru kvalifikāciju sistēm</w:t>
            </w:r>
            <w:r w:rsidR="007F4F58" w:rsidRPr="00DC53C2">
              <w:rPr>
                <w:rFonts w:ascii="Times New Roman" w:hAnsi="Times New Roman"/>
                <w:sz w:val="16"/>
                <w:szCs w:val="16"/>
              </w:rPr>
              <w:t xml:space="preserve">u izstrādi, </w:t>
            </w:r>
            <w:r w:rsidRPr="00DC53C2">
              <w:rPr>
                <w:rFonts w:ascii="Times New Roman" w:hAnsi="Times New Roman"/>
                <w:sz w:val="16"/>
                <w:szCs w:val="16"/>
              </w:rPr>
              <w:t xml:space="preserve"> nepieciešams </w:t>
            </w:r>
            <w:r w:rsidR="007F4F58" w:rsidRPr="00DC53C2">
              <w:rPr>
                <w:rFonts w:ascii="Times New Roman" w:hAnsi="Times New Roman"/>
                <w:sz w:val="16"/>
                <w:szCs w:val="16"/>
              </w:rPr>
              <w:t xml:space="preserve">aktualizēt un </w:t>
            </w:r>
            <w:r w:rsidRPr="00DC53C2">
              <w:rPr>
                <w:rFonts w:ascii="Times New Roman" w:hAnsi="Times New Roman"/>
                <w:sz w:val="16"/>
                <w:szCs w:val="16"/>
              </w:rPr>
              <w:t xml:space="preserve">izstrādāt </w:t>
            </w:r>
            <w:r w:rsidR="00EC5A8D">
              <w:rPr>
                <w:rFonts w:ascii="Times New Roman" w:hAnsi="Times New Roman"/>
                <w:sz w:val="16"/>
                <w:szCs w:val="16"/>
              </w:rPr>
              <w:t>200</w:t>
            </w:r>
            <w:r w:rsidR="00EC5A8D" w:rsidRPr="00DC53C2">
              <w:rPr>
                <w:rFonts w:ascii="Times New Roman" w:hAnsi="Times New Roman"/>
                <w:sz w:val="16"/>
                <w:szCs w:val="16"/>
              </w:rPr>
              <w:t xml:space="preserve"> </w:t>
            </w:r>
            <w:r w:rsidR="007F4F58" w:rsidRPr="00DC53C2">
              <w:rPr>
                <w:rFonts w:ascii="Times New Roman" w:hAnsi="Times New Roman"/>
                <w:sz w:val="16"/>
                <w:szCs w:val="16"/>
              </w:rPr>
              <w:t>profesiju standartus un profesionālās kvalifikācijas prasības</w:t>
            </w:r>
            <w:r w:rsidR="007B22B0" w:rsidRPr="00DC53C2">
              <w:rPr>
                <w:rFonts w:ascii="Times New Roman" w:hAnsi="Times New Roman"/>
                <w:sz w:val="16"/>
                <w:szCs w:val="16"/>
              </w:rPr>
              <w:t xml:space="preserve">, </w:t>
            </w:r>
            <w:r w:rsidR="007F4F58" w:rsidRPr="00DC53C2">
              <w:rPr>
                <w:rFonts w:ascii="Times New Roman" w:hAnsi="Times New Roman"/>
                <w:sz w:val="16"/>
                <w:szCs w:val="16"/>
              </w:rPr>
              <w:t xml:space="preserve">kas būs </w:t>
            </w:r>
            <w:r w:rsidR="007B22B0" w:rsidRPr="00DC53C2">
              <w:rPr>
                <w:rFonts w:ascii="Times New Roman" w:hAnsi="Times New Roman"/>
                <w:sz w:val="16"/>
                <w:szCs w:val="16"/>
              </w:rPr>
              <w:t>atbilstoši nozares izpētes rezultātiem un nosauktajām profesijām nozaru kvalifikāciju struktūrā. Tas nozīmē, ka šobrīd  nav nodefinētas vienotas darba tirgus prasīb</w:t>
            </w:r>
            <w:r w:rsidR="00D124BF">
              <w:rPr>
                <w:rFonts w:ascii="Times New Roman" w:hAnsi="Times New Roman"/>
                <w:sz w:val="16"/>
                <w:szCs w:val="16"/>
              </w:rPr>
              <w:t>a</w:t>
            </w:r>
            <w:r w:rsidR="007B22B0" w:rsidRPr="00DC53C2">
              <w:rPr>
                <w:rFonts w:ascii="Times New Roman" w:hAnsi="Times New Roman"/>
                <w:sz w:val="16"/>
                <w:szCs w:val="16"/>
              </w:rPr>
              <w:t>s, izglītojamie tiek izglītoti pēc dažādām izglītības programmām</w:t>
            </w:r>
            <w:r w:rsidR="004E2390" w:rsidRPr="00DC53C2">
              <w:rPr>
                <w:rFonts w:ascii="Times New Roman" w:hAnsi="Times New Roman"/>
                <w:sz w:val="16"/>
                <w:szCs w:val="16"/>
              </w:rPr>
              <w:t>.</w:t>
            </w:r>
          </w:p>
          <w:p w14:paraId="7ED21EB7" w14:textId="6FAEA19E" w:rsidR="007056B8" w:rsidRPr="00DC53C2" w:rsidRDefault="00D124BF" w:rsidP="007056B8">
            <w:pPr>
              <w:spacing w:after="0" w:line="240" w:lineRule="auto"/>
              <w:jc w:val="both"/>
              <w:rPr>
                <w:rFonts w:ascii="Times New Roman" w:eastAsiaTheme="minorHAnsi" w:hAnsi="Times New Roman"/>
                <w:sz w:val="16"/>
                <w:szCs w:val="16"/>
              </w:rPr>
            </w:pPr>
            <w:r w:rsidRPr="00D124BF">
              <w:rPr>
                <w:rFonts w:ascii="Times New Roman" w:hAnsi="Times New Roman"/>
                <w:sz w:val="16"/>
                <w:szCs w:val="16"/>
              </w:rPr>
              <w:lastRenderedPageBreak/>
              <w:t xml:space="preserve">Rādītāja </w:t>
            </w:r>
            <w:r w:rsidR="006C2EF8">
              <w:rPr>
                <w:rFonts w:ascii="Times New Roman" w:hAnsi="Times New Roman"/>
                <w:sz w:val="16"/>
                <w:szCs w:val="16"/>
              </w:rPr>
              <w:t xml:space="preserve">mērķa vērtības </w:t>
            </w:r>
            <w:r w:rsidRPr="00D124BF">
              <w:rPr>
                <w:rFonts w:ascii="Times New Roman" w:hAnsi="Times New Roman"/>
                <w:sz w:val="16"/>
                <w:szCs w:val="16"/>
              </w:rPr>
              <w:t>sasniegšanai paredzētais finansējums ir aprēķināts, tostarp balstoties uz 1.2.1.1.1.apakšaktivitātes projekta datiem.</w:t>
            </w:r>
            <w:r w:rsidR="002C6A85">
              <w:rPr>
                <w:rFonts w:ascii="Times New Roman" w:hAnsi="Times New Roman"/>
                <w:sz w:val="16"/>
                <w:szCs w:val="16"/>
              </w:rPr>
              <w:t xml:space="preserve"> </w:t>
            </w:r>
            <w:r w:rsidR="007056B8" w:rsidRPr="00DC53C2">
              <w:rPr>
                <w:rFonts w:ascii="Times New Roman" w:eastAsiaTheme="minorHAnsi" w:hAnsi="Times New Roman"/>
                <w:sz w:val="16"/>
                <w:szCs w:val="16"/>
              </w:rPr>
              <w:t>Rādītājs aptver arī profesiju standartu izstrādei pakārtotās darbības:</w:t>
            </w:r>
          </w:p>
          <w:p w14:paraId="5DF14B0A" w14:textId="4FE509CD" w:rsidR="007056B8" w:rsidRPr="00730050" w:rsidRDefault="007056B8" w:rsidP="00B83AD6">
            <w:pPr>
              <w:numPr>
                <w:ilvl w:val="0"/>
                <w:numId w:val="2"/>
              </w:numPr>
              <w:spacing w:after="0" w:line="240" w:lineRule="auto"/>
              <w:jc w:val="both"/>
              <w:rPr>
                <w:rFonts w:ascii="Times New Roman" w:eastAsiaTheme="minorHAnsi" w:hAnsi="Times New Roman"/>
                <w:sz w:val="16"/>
                <w:szCs w:val="16"/>
              </w:rPr>
            </w:pPr>
            <w:r w:rsidRPr="00DC53C2">
              <w:rPr>
                <w:rFonts w:ascii="Times New Roman" w:eastAsiaTheme="minorHAnsi" w:hAnsi="Times New Roman"/>
                <w:sz w:val="16"/>
                <w:szCs w:val="16"/>
              </w:rPr>
              <w:t>nozar</w:t>
            </w:r>
            <w:r w:rsidR="008429FD" w:rsidRPr="00DC53C2">
              <w:rPr>
                <w:rFonts w:ascii="Times New Roman" w:eastAsiaTheme="minorHAnsi" w:hAnsi="Times New Roman"/>
                <w:sz w:val="16"/>
                <w:szCs w:val="16"/>
              </w:rPr>
              <w:t>u</w:t>
            </w:r>
            <w:r w:rsidRPr="00DC53C2">
              <w:rPr>
                <w:rFonts w:ascii="Times New Roman" w:eastAsiaTheme="minorHAnsi" w:hAnsi="Times New Roman"/>
                <w:sz w:val="16"/>
                <w:szCs w:val="16"/>
              </w:rPr>
              <w:t xml:space="preserve"> kvalifikāciju </w:t>
            </w:r>
            <w:r w:rsidR="008429FD" w:rsidRPr="00DC53C2">
              <w:rPr>
                <w:rFonts w:ascii="Times New Roman" w:eastAsiaTheme="minorHAnsi" w:hAnsi="Times New Roman"/>
                <w:sz w:val="16"/>
                <w:szCs w:val="16"/>
              </w:rPr>
              <w:t>sistēmas pilnveide</w:t>
            </w:r>
            <w:r w:rsidR="008429FD" w:rsidRPr="00DC53C2">
              <w:rPr>
                <w:rFonts w:ascii="Times New Roman" w:hAnsi="Times New Roman"/>
                <w:sz w:val="16"/>
                <w:szCs w:val="16"/>
              </w:rPr>
              <w:t>, atbalstot nozaru izpēti un nozaru kvalifikāciju struktūru pilnveidi</w:t>
            </w:r>
            <w:r w:rsidR="007D093A">
              <w:rPr>
                <w:rFonts w:ascii="Times New Roman" w:hAnsi="Times New Roman"/>
                <w:sz w:val="16"/>
                <w:szCs w:val="16"/>
              </w:rPr>
              <w:t>.</w:t>
            </w:r>
            <w:r w:rsidRPr="00DC53C2">
              <w:rPr>
                <w:rFonts w:ascii="Times New Roman" w:eastAsiaTheme="minorHAnsi" w:hAnsi="Times New Roman"/>
                <w:sz w:val="16"/>
                <w:szCs w:val="16"/>
              </w:rPr>
              <w:t xml:space="preserve"> </w:t>
            </w:r>
            <w:r w:rsidR="007D093A">
              <w:rPr>
                <w:rFonts w:ascii="Times New Roman" w:hAnsi="Times New Roman"/>
                <w:sz w:val="16"/>
                <w:szCs w:val="16"/>
                <w:lang w:eastAsia="lv-LV"/>
              </w:rPr>
              <w:t>T</w:t>
            </w:r>
            <w:r w:rsidR="00AF3D1B" w:rsidRPr="00DC53C2">
              <w:rPr>
                <w:rFonts w:ascii="Times New Roman" w:hAnsi="Times New Roman"/>
                <w:sz w:val="16"/>
                <w:szCs w:val="16"/>
                <w:lang w:eastAsia="lv-LV"/>
              </w:rPr>
              <w:t xml:space="preserve">iks aktualizēts </w:t>
            </w:r>
            <w:r w:rsidR="00AF3D1B" w:rsidRPr="00DC53C2">
              <w:rPr>
                <w:rFonts w:ascii="Times New Roman" w:hAnsi="Times New Roman"/>
                <w:sz w:val="16"/>
                <w:szCs w:val="16"/>
              </w:rPr>
              <w:t>1.2.1.1.1.apakšaktivitātes ietvaros izvērtēto 14 nozaru pētījums,</w:t>
            </w:r>
            <w:r w:rsidR="00AF3D1B" w:rsidRPr="00DC53C2">
              <w:rPr>
                <w:rFonts w:ascii="Times New Roman" w:hAnsi="Times New Roman"/>
                <w:sz w:val="16"/>
                <w:szCs w:val="16"/>
                <w:lang w:eastAsia="lv-LV"/>
              </w:rPr>
              <w:t xml:space="preserve"> pilnveidojot nozares </w:t>
            </w:r>
            <w:r w:rsidR="00AF3D1B" w:rsidRPr="00730050">
              <w:rPr>
                <w:rFonts w:ascii="Times New Roman" w:hAnsi="Times New Roman"/>
                <w:sz w:val="16"/>
                <w:szCs w:val="16"/>
                <w:lang w:eastAsia="lv-LV"/>
              </w:rPr>
              <w:t xml:space="preserve">profesiju raksturojumu, aktualizējot nozares pamatprofesiju aprakstu un nozaru saistīto profesiju karti, kā arī </w:t>
            </w:r>
            <w:r w:rsidR="007D093A" w:rsidRPr="00730050">
              <w:rPr>
                <w:rFonts w:ascii="Times New Roman" w:hAnsi="Times New Roman"/>
                <w:sz w:val="16"/>
                <w:szCs w:val="16"/>
                <w:lang w:eastAsia="lv-LV"/>
              </w:rPr>
              <w:t xml:space="preserve">tiks veikts jauns </w:t>
            </w:r>
            <w:r w:rsidR="00AF3D1B" w:rsidRPr="00730050">
              <w:rPr>
                <w:rFonts w:ascii="Times New Roman" w:hAnsi="Times New Roman"/>
                <w:sz w:val="16"/>
                <w:szCs w:val="16"/>
                <w:lang w:eastAsia="lv-LV"/>
              </w:rPr>
              <w:t>nozaru izvērtējums</w:t>
            </w:r>
            <w:r w:rsidR="007D093A" w:rsidRPr="00082C45">
              <w:rPr>
                <w:rFonts w:ascii="Times New Roman" w:eastAsiaTheme="minorHAnsi" w:hAnsi="Times New Roman"/>
                <w:sz w:val="16"/>
                <w:szCs w:val="16"/>
              </w:rPr>
              <w:t xml:space="preserve"> izstrādājot nozares kvalifikācijas struktūru Mākslas nozares dizaina un radošo industriju sektoram</w:t>
            </w:r>
            <w:r w:rsidR="00AF3D1B" w:rsidRPr="00730050">
              <w:rPr>
                <w:rFonts w:ascii="Times New Roman" w:hAnsi="Times New Roman"/>
                <w:sz w:val="16"/>
                <w:szCs w:val="16"/>
                <w:lang w:eastAsia="lv-LV"/>
              </w:rPr>
              <w:t xml:space="preserve"> (</w:t>
            </w:r>
            <w:r w:rsidR="00AF3D1B" w:rsidRPr="00730050">
              <w:rPr>
                <w:rFonts w:ascii="Times New Roman" w:hAnsi="Times New Roman"/>
                <w:sz w:val="16"/>
                <w:szCs w:val="16"/>
              </w:rPr>
              <w:t>netika pētīta 1.2.1.1.1.apakšaktivitātes projekta ietvaros</w:t>
            </w:r>
            <w:r w:rsidR="007D093A" w:rsidRPr="00730050">
              <w:rPr>
                <w:rFonts w:ascii="Times New Roman" w:hAnsi="Times New Roman"/>
                <w:sz w:val="16"/>
                <w:szCs w:val="16"/>
              </w:rPr>
              <w:t>)</w:t>
            </w:r>
            <w:r w:rsidR="00AF3D1B" w:rsidRPr="00730050">
              <w:rPr>
                <w:rFonts w:ascii="Times New Roman" w:hAnsi="Times New Roman"/>
                <w:sz w:val="16"/>
                <w:szCs w:val="16"/>
              </w:rPr>
              <w:t>, tādejādi nosedzot visu profesionālās izglītības saturu</w:t>
            </w:r>
            <w:r w:rsidR="00B83AD6" w:rsidRPr="00730050">
              <w:rPr>
                <w:rFonts w:ascii="Times New Roman" w:eastAsiaTheme="minorHAnsi" w:hAnsi="Times New Roman"/>
                <w:sz w:val="16"/>
                <w:szCs w:val="16"/>
              </w:rPr>
              <w:t>). V</w:t>
            </w:r>
            <w:r w:rsidR="00C91C27" w:rsidRPr="00730050">
              <w:rPr>
                <w:rFonts w:ascii="Times New Roman" w:eastAsiaTheme="minorHAnsi" w:hAnsi="Times New Roman"/>
                <w:sz w:val="16"/>
                <w:szCs w:val="16"/>
              </w:rPr>
              <w:t xml:space="preserve">ienas </w:t>
            </w:r>
            <w:r w:rsidR="00B83AD6" w:rsidRPr="00730050">
              <w:rPr>
                <w:rFonts w:ascii="Times New Roman" w:eastAsiaTheme="minorHAnsi" w:hAnsi="Times New Roman"/>
                <w:sz w:val="16"/>
                <w:szCs w:val="16"/>
              </w:rPr>
              <w:t xml:space="preserve">nozares izvērtējums indikatīvi izmaksā </w:t>
            </w:r>
            <w:r w:rsidR="00536C60">
              <w:rPr>
                <w:rFonts w:ascii="Times New Roman" w:eastAsiaTheme="minorHAnsi" w:hAnsi="Times New Roman"/>
                <w:sz w:val="16"/>
                <w:szCs w:val="16"/>
              </w:rPr>
              <w:t>14 642</w:t>
            </w:r>
            <w:r w:rsidR="00B83AD6" w:rsidRPr="00730050">
              <w:rPr>
                <w:rFonts w:ascii="Times New Roman" w:eastAsiaTheme="minorHAnsi" w:hAnsi="Times New Roman"/>
                <w:sz w:val="16"/>
                <w:szCs w:val="16"/>
              </w:rPr>
              <w:t xml:space="preserve"> </w:t>
            </w:r>
            <w:r w:rsidR="00863D0E" w:rsidRPr="00730050">
              <w:rPr>
                <w:rFonts w:ascii="Times New Roman" w:eastAsiaTheme="minorHAnsi" w:hAnsi="Times New Roman"/>
                <w:sz w:val="16"/>
                <w:szCs w:val="16"/>
              </w:rPr>
              <w:t xml:space="preserve">EUR, </w:t>
            </w:r>
            <w:r w:rsidRPr="00730050">
              <w:rPr>
                <w:rFonts w:ascii="Times New Roman" w:eastAsiaTheme="minorHAnsi" w:hAnsi="Times New Roman"/>
                <w:sz w:val="16"/>
                <w:szCs w:val="16"/>
              </w:rPr>
              <w:t xml:space="preserve">kopā </w:t>
            </w:r>
            <w:r w:rsidR="00BD7A55">
              <w:rPr>
                <w:rFonts w:ascii="Times New Roman" w:eastAsiaTheme="minorHAnsi" w:hAnsi="Times New Roman"/>
                <w:sz w:val="16"/>
                <w:szCs w:val="16"/>
              </w:rPr>
              <w:t>1</w:t>
            </w:r>
            <w:r w:rsidR="00536C60">
              <w:rPr>
                <w:rFonts w:ascii="Times New Roman" w:eastAsiaTheme="minorHAnsi" w:hAnsi="Times New Roman"/>
                <w:sz w:val="16"/>
                <w:szCs w:val="16"/>
              </w:rPr>
              <w:t>4</w:t>
            </w:r>
            <w:r w:rsidR="000C3252">
              <w:rPr>
                <w:rFonts w:ascii="Times New Roman" w:eastAsiaTheme="minorHAnsi" w:hAnsi="Times New Roman"/>
                <w:sz w:val="16"/>
                <w:szCs w:val="16"/>
              </w:rPr>
              <w:t> </w:t>
            </w:r>
            <w:r w:rsidR="00536C60">
              <w:rPr>
                <w:rFonts w:ascii="Times New Roman" w:eastAsiaTheme="minorHAnsi" w:hAnsi="Times New Roman"/>
                <w:sz w:val="16"/>
                <w:szCs w:val="16"/>
              </w:rPr>
              <w:t>642</w:t>
            </w:r>
            <w:r w:rsidR="000C3252">
              <w:rPr>
                <w:rFonts w:ascii="Times New Roman" w:eastAsiaTheme="minorHAnsi" w:hAnsi="Times New Roman"/>
                <w:sz w:val="16"/>
                <w:szCs w:val="16"/>
              </w:rPr>
              <w:t xml:space="preserve"> </w:t>
            </w:r>
            <w:r w:rsidR="00B83AD6" w:rsidRPr="00730050">
              <w:rPr>
                <w:rFonts w:ascii="Times New Roman" w:eastAsiaTheme="minorHAnsi" w:hAnsi="Times New Roman"/>
                <w:sz w:val="16"/>
                <w:szCs w:val="16"/>
              </w:rPr>
              <w:t>EUR</w:t>
            </w:r>
            <w:r w:rsidR="00B83AD6" w:rsidRPr="00730050" w:rsidDel="00C8613A">
              <w:rPr>
                <w:rFonts w:ascii="Times New Roman" w:eastAsiaTheme="minorHAnsi" w:hAnsi="Times New Roman"/>
                <w:sz w:val="16"/>
                <w:szCs w:val="16"/>
              </w:rPr>
              <w:t xml:space="preserve"> </w:t>
            </w:r>
            <w:r w:rsidR="00B83AD6" w:rsidRPr="00730050">
              <w:rPr>
                <w:rFonts w:ascii="Times New Roman" w:eastAsiaTheme="minorHAnsi" w:hAnsi="Times New Roman"/>
                <w:sz w:val="16"/>
                <w:szCs w:val="16"/>
              </w:rPr>
              <w:t xml:space="preserve"> x 1</w:t>
            </w:r>
            <w:r w:rsidR="00BD17C3" w:rsidRPr="00730050">
              <w:rPr>
                <w:rFonts w:ascii="Times New Roman" w:eastAsiaTheme="minorHAnsi" w:hAnsi="Times New Roman"/>
                <w:sz w:val="16"/>
                <w:szCs w:val="16"/>
              </w:rPr>
              <w:t>5</w:t>
            </w:r>
            <w:r w:rsidR="00B83AD6" w:rsidRPr="00730050">
              <w:rPr>
                <w:rFonts w:ascii="Times New Roman" w:eastAsiaTheme="minorHAnsi" w:hAnsi="Times New Roman"/>
                <w:sz w:val="16"/>
                <w:szCs w:val="16"/>
              </w:rPr>
              <w:t xml:space="preserve"> = </w:t>
            </w:r>
            <w:r w:rsidR="00536C60">
              <w:rPr>
                <w:rFonts w:ascii="Times New Roman" w:eastAsiaTheme="minorHAnsi" w:hAnsi="Times New Roman"/>
                <w:sz w:val="16"/>
                <w:szCs w:val="16"/>
              </w:rPr>
              <w:t>  219</w:t>
            </w:r>
            <w:r w:rsidR="000C3252">
              <w:rPr>
                <w:rFonts w:ascii="Times New Roman" w:eastAsiaTheme="minorHAnsi" w:hAnsi="Times New Roman"/>
                <w:sz w:val="16"/>
                <w:szCs w:val="16"/>
              </w:rPr>
              <w:t> </w:t>
            </w:r>
            <w:r w:rsidR="00536C60">
              <w:rPr>
                <w:rFonts w:ascii="Times New Roman" w:eastAsiaTheme="minorHAnsi" w:hAnsi="Times New Roman"/>
                <w:sz w:val="16"/>
                <w:szCs w:val="16"/>
              </w:rPr>
              <w:t>627</w:t>
            </w:r>
            <w:r w:rsidR="000C3252">
              <w:rPr>
                <w:rFonts w:ascii="Times New Roman" w:eastAsiaTheme="minorHAnsi" w:hAnsi="Times New Roman"/>
                <w:sz w:val="16"/>
                <w:szCs w:val="16"/>
              </w:rPr>
              <w:t xml:space="preserve"> </w:t>
            </w:r>
            <w:r w:rsidRPr="00730050">
              <w:rPr>
                <w:rFonts w:ascii="Times New Roman" w:eastAsiaTheme="minorHAnsi" w:hAnsi="Times New Roman"/>
                <w:sz w:val="16"/>
                <w:szCs w:val="16"/>
              </w:rPr>
              <w:t>EUR</w:t>
            </w:r>
            <w:r w:rsidR="002C6A85">
              <w:rPr>
                <w:rFonts w:ascii="Times New Roman" w:eastAsiaTheme="minorHAnsi" w:hAnsi="Times New Roman"/>
                <w:sz w:val="16"/>
                <w:szCs w:val="16"/>
              </w:rPr>
              <w:t>.</w:t>
            </w:r>
          </w:p>
          <w:p w14:paraId="0CD8A284" w14:textId="72811891" w:rsidR="007056B8" w:rsidRPr="00DC53C2" w:rsidRDefault="007056B8" w:rsidP="00863D0E">
            <w:pPr>
              <w:numPr>
                <w:ilvl w:val="0"/>
                <w:numId w:val="2"/>
              </w:numPr>
              <w:spacing w:after="0" w:line="240" w:lineRule="auto"/>
              <w:jc w:val="both"/>
              <w:rPr>
                <w:rFonts w:ascii="Times New Roman" w:eastAsiaTheme="minorHAnsi" w:hAnsi="Times New Roman"/>
                <w:sz w:val="16"/>
                <w:szCs w:val="16"/>
              </w:rPr>
            </w:pPr>
            <w:r w:rsidRPr="00730050">
              <w:rPr>
                <w:rFonts w:ascii="Times New Roman" w:eastAsiaTheme="minorHAnsi" w:hAnsi="Times New Roman"/>
                <w:sz w:val="16"/>
                <w:szCs w:val="16"/>
              </w:rPr>
              <w:t>profesiju standartu</w:t>
            </w:r>
            <w:r w:rsidR="00336F51" w:rsidRPr="00730050">
              <w:rPr>
                <w:rFonts w:ascii="Times New Roman" w:eastAsiaTheme="minorHAnsi" w:hAnsi="Times New Roman"/>
                <w:sz w:val="16"/>
                <w:szCs w:val="16"/>
              </w:rPr>
              <w:t xml:space="preserve"> un</w:t>
            </w:r>
            <w:r w:rsidRPr="00730050">
              <w:rPr>
                <w:rFonts w:ascii="Times New Roman" w:eastAsiaTheme="minorHAnsi" w:hAnsi="Times New Roman"/>
                <w:sz w:val="16"/>
                <w:szCs w:val="16"/>
              </w:rPr>
              <w:t xml:space="preserve"> nozares kvalifikācijas prasību izstrāde (</w:t>
            </w:r>
            <w:r w:rsidR="000171FF">
              <w:rPr>
                <w:rFonts w:ascii="Times New Roman" w:eastAsiaTheme="minorHAnsi" w:hAnsi="Times New Roman"/>
                <w:sz w:val="16"/>
                <w:szCs w:val="16"/>
              </w:rPr>
              <w:t>200</w:t>
            </w:r>
            <w:r w:rsidR="000171FF" w:rsidRPr="00730050">
              <w:rPr>
                <w:rFonts w:ascii="Times New Roman" w:eastAsiaTheme="minorHAnsi" w:hAnsi="Times New Roman"/>
                <w:sz w:val="16"/>
                <w:szCs w:val="16"/>
              </w:rPr>
              <w:t xml:space="preserve"> </w:t>
            </w:r>
            <w:r w:rsidRPr="00730050">
              <w:rPr>
                <w:rFonts w:ascii="Times New Roman" w:eastAsiaTheme="minorHAnsi" w:hAnsi="Times New Roman"/>
                <w:sz w:val="16"/>
                <w:szCs w:val="16"/>
              </w:rPr>
              <w:t>profesijās)</w:t>
            </w:r>
            <w:r w:rsidR="00C8613A" w:rsidRPr="00730050">
              <w:rPr>
                <w:rFonts w:ascii="Times New Roman" w:eastAsiaTheme="minorHAnsi" w:hAnsi="Times New Roman"/>
                <w:sz w:val="16"/>
                <w:szCs w:val="16"/>
              </w:rPr>
              <w:t>.</w:t>
            </w:r>
            <w:r w:rsidRPr="00730050">
              <w:rPr>
                <w:rFonts w:ascii="Times New Roman" w:eastAsiaTheme="minorHAnsi" w:hAnsi="Times New Roman"/>
                <w:sz w:val="16"/>
                <w:szCs w:val="16"/>
              </w:rPr>
              <w:t xml:space="preserve"> </w:t>
            </w:r>
            <w:r w:rsidR="00C8613A" w:rsidRPr="00730050">
              <w:rPr>
                <w:rFonts w:ascii="Times New Roman" w:eastAsiaTheme="minorHAnsi" w:hAnsi="Times New Roman"/>
                <w:sz w:val="16"/>
                <w:szCs w:val="16"/>
              </w:rPr>
              <w:t>V</w:t>
            </w:r>
            <w:r w:rsidR="00863D0E" w:rsidRPr="00730050">
              <w:rPr>
                <w:rFonts w:ascii="Times New Roman" w:eastAsiaTheme="minorHAnsi" w:hAnsi="Times New Roman"/>
                <w:sz w:val="16"/>
                <w:szCs w:val="16"/>
              </w:rPr>
              <w:t>iena</w:t>
            </w:r>
            <w:r w:rsidR="00863D0E" w:rsidRPr="00730050">
              <w:t xml:space="preserve"> </w:t>
            </w:r>
            <w:r w:rsidR="00863D0E" w:rsidRPr="00730050">
              <w:rPr>
                <w:rFonts w:ascii="Times New Roman" w:eastAsiaTheme="minorHAnsi" w:hAnsi="Times New Roman"/>
                <w:sz w:val="16"/>
                <w:szCs w:val="16"/>
              </w:rPr>
              <w:t>profesiju standarta vai nozares kvalifikācijas prasību izstrādes izmaksas atbilstoši vienas</w:t>
            </w:r>
            <w:r w:rsidR="00863D0E" w:rsidRPr="00863D0E">
              <w:rPr>
                <w:rFonts w:ascii="Times New Roman" w:eastAsiaTheme="minorHAnsi" w:hAnsi="Times New Roman"/>
                <w:sz w:val="16"/>
                <w:szCs w:val="16"/>
              </w:rPr>
              <w:t xml:space="preserve"> v</w:t>
            </w:r>
            <w:r w:rsidR="00C8613A">
              <w:rPr>
                <w:rFonts w:ascii="Times New Roman" w:eastAsiaTheme="minorHAnsi" w:hAnsi="Times New Roman"/>
                <w:sz w:val="16"/>
                <w:szCs w:val="16"/>
              </w:rPr>
              <w:t>ienības izmaksu standarta likmei ir</w:t>
            </w:r>
            <w:r w:rsidR="00863D0E" w:rsidRPr="00863D0E">
              <w:rPr>
                <w:rFonts w:ascii="Times New Roman" w:eastAsiaTheme="minorHAnsi" w:hAnsi="Times New Roman"/>
                <w:sz w:val="16"/>
                <w:szCs w:val="16"/>
              </w:rPr>
              <w:t xml:space="preserve"> </w:t>
            </w:r>
            <w:r w:rsidR="00863D0E">
              <w:rPr>
                <w:rFonts w:ascii="Times New Roman" w:eastAsiaTheme="minorHAnsi" w:hAnsi="Times New Roman"/>
                <w:sz w:val="16"/>
                <w:szCs w:val="16"/>
              </w:rPr>
              <w:t xml:space="preserve">7506 EUR, </w:t>
            </w:r>
            <w:r w:rsidRPr="00DC53C2">
              <w:rPr>
                <w:rFonts w:ascii="Times New Roman" w:eastAsiaTheme="minorHAnsi" w:hAnsi="Times New Roman"/>
                <w:sz w:val="16"/>
                <w:szCs w:val="16"/>
              </w:rPr>
              <w:t xml:space="preserve">kopā </w:t>
            </w:r>
            <w:r w:rsidR="00C8613A">
              <w:rPr>
                <w:rFonts w:ascii="Times New Roman" w:eastAsiaTheme="minorHAnsi" w:hAnsi="Times New Roman"/>
                <w:sz w:val="16"/>
                <w:szCs w:val="16"/>
              </w:rPr>
              <w:t xml:space="preserve">7506 EUR x </w:t>
            </w:r>
            <w:r w:rsidR="00EC5A8D">
              <w:rPr>
                <w:rFonts w:ascii="Times New Roman" w:eastAsiaTheme="minorHAnsi" w:hAnsi="Times New Roman"/>
                <w:sz w:val="16"/>
                <w:szCs w:val="16"/>
              </w:rPr>
              <w:t xml:space="preserve">200 </w:t>
            </w:r>
            <w:r w:rsidR="00863D0E">
              <w:rPr>
                <w:rFonts w:ascii="Times New Roman" w:eastAsiaTheme="minorHAnsi" w:hAnsi="Times New Roman"/>
                <w:sz w:val="16"/>
                <w:szCs w:val="16"/>
              </w:rPr>
              <w:t>=</w:t>
            </w:r>
            <w:r w:rsidR="00EC5A8D">
              <w:rPr>
                <w:rFonts w:ascii="Times New Roman" w:eastAsiaTheme="minorHAnsi" w:hAnsi="Times New Roman"/>
                <w:sz w:val="16"/>
                <w:szCs w:val="16"/>
              </w:rPr>
              <w:t>1 501 200</w:t>
            </w:r>
            <w:r w:rsidR="00863D0E" w:rsidRPr="00DC53C2">
              <w:rPr>
                <w:rFonts w:ascii="Times New Roman" w:eastAsiaTheme="minorHAnsi" w:hAnsi="Times New Roman"/>
                <w:sz w:val="16"/>
                <w:szCs w:val="16"/>
              </w:rPr>
              <w:t xml:space="preserve"> </w:t>
            </w:r>
            <w:r w:rsidRPr="00DC53C2">
              <w:rPr>
                <w:rFonts w:ascii="Times New Roman" w:eastAsiaTheme="minorHAnsi" w:hAnsi="Times New Roman"/>
                <w:sz w:val="16"/>
                <w:szCs w:val="16"/>
              </w:rPr>
              <w:t>EUR</w:t>
            </w:r>
            <w:r w:rsidR="002C6A85">
              <w:rPr>
                <w:rFonts w:ascii="Times New Roman" w:eastAsiaTheme="minorHAnsi" w:hAnsi="Times New Roman"/>
                <w:sz w:val="16"/>
                <w:szCs w:val="16"/>
              </w:rPr>
              <w:t>.</w:t>
            </w:r>
          </w:p>
          <w:p w14:paraId="6DDF5A4C" w14:textId="6703EFCE" w:rsidR="007056B8" w:rsidRPr="008530D5" w:rsidRDefault="007056B8" w:rsidP="00B83AD6">
            <w:pPr>
              <w:numPr>
                <w:ilvl w:val="0"/>
                <w:numId w:val="2"/>
              </w:numPr>
              <w:spacing w:after="0" w:line="240" w:lineRule="auto"/>
              <w:jc w:val="both"/>
              <w:rPr>
                <w:rFonts w:ascii="Times New Roman" w:eastAsiaTheme="minorHAnsi" w:hAnsi="Times New Roman"/>
                <w:sz w:val="16"/>
                <w:szCs w:val="16"/>
              </w:rPr>
            </w:pPr>
            <w:r w:rsidRPr="00DC53C2">
              <w:rPr>
                <w:rFonts w:ascii="Times New Roman" w:eastAsiaTheme="minorHAnsi" w:hAnsi="Times New Roman"/>
                <w:sz w:val="16"/>
                <w:szCs w:val="16"/>
              </w:rPr>
              <w:t>Profesionālās kvalifikācijas eksāmenu satura izstrāde (</w:t>
            </w:r>
            <w:r w:rsidR="00EC5A8D">
              <w:rPr>
                <w:rFonts w:ascii="Times New Roman" w:eastAsiaTheme="minorHAnsi" w:hAnsi="Times New Roman"/>
                <w:sz w:val="16"/>
                <w:szCs w:val="16"/>
              </w:rPr>
              <w:t> </w:t>
            </w:r>
            <w:r w:rsidR="00EC5A8D" w:rsidRPr="00DC53C2">
              <w:rPr>
                <w:rFonts w:ascii="Times New Roman" w:eastAsiaTheme="minorHAnsi" w:hAnsi="Times New Roman"/>
                <w:sz w:val="16"/>
                <w:szCs w:val="16"/>
              </w:rPr>
              <w:t>2</w:t>
            </w:r>
            <w:r w:rsidR="00EC5A8D">
              <w:rPr>
                <w:rFonts w:ascii="Times New Roman" w:eastAsiaTheme="minorHAnsi" w:hAnsi="Times New Roman"/>
                <w:sz w:val="16"/>
                <w:szCs w:val="16"/>
              </w:rPr>
              <w:t xml:space="preserve">06 </w:t>
            </w:r>
            <w:r w:rsidRPr="00DC53C2">
              <w:rPr>
                <w:rFonts w:ascii="Times New Roman" w:eastAsiaTheme="minorHAnsi" w:hAnsi="Times New Roman"/>
                <w:sz w:val="16"/>
                <w:szCs w:val="16"/>
              </w:rPr>
              <w:t>profesionālajām kvalifikācijām)</w:t>
            </w:r>
            <w:r w:rsidR="00B83AD6">
              <w:rPr>
                <w:rFonts w:ascii="Times New Roman" w:eastAsiaTheme="minorHAnsi" w:hAnsi="Times New Roman"/>
                <w:sz w:val="16"/>
                <w:szCs w:val="16"/>
              </w:rPr>
              <w:t xml:space="preserve">. Viena </w:t>
            </w:r>
            <w:r w:rsidR="00B83AD6" w:rsidRPr="00B83AD6">
              <w:rPr>
                <w:rFonts w:ascii="Times New Roman" w:eastAsiaTheme="minorHAnsi" w:hAnsi="Times New Roman"/>
                <w:sz w:val="16"/>
                <w:szCs w:val="16"/>
              </w:rPr>
              <w:t>kvalifikācijas eksāmenu satura izstrāde</w:t>
            </w:r>
            <w:r w:rsidR="00B83AD6">
              <w:rPr>
                <w:rFonts w:ascii="Times New Roman" w:eastAsiaTheme="minorHAnsi" w:hAnsi="Times New Roman"/>
                <w:sz w:val="16"/>
                <w:szCs w:val="16"/>
              </w:rPr>
              <w:t xml:space="preserve">s izmaksas </w:t>
            </w:r>
            <w:r w:rsidR="002C6A85">
              <w:rPr>
                <w:rFonts w:ascii="Times New Roman" w:eastAsiaTheme="minorHAnsi" w:hAnsi="Times New Roman"/>
                <w:sz w:val="16"/>
                <w:szCs w:val="16"/>
              </w:rPr>
              <w:t xml:space="preserve">indikatīvi </w:t>
            </w:r>
            <w:r w:rsidR="00B83AD6">
              <w:rPr>
                <w:rFonts w:ascii="Times New Roman" w:eastAsiaTheme="minorHAnsi" w:hAnsi="Times New Roman"/>
                <w:sz w:val="16"/>
                <w:szCs w:val="16"/>
              </w:rPr>
              <w:t>7560 EUR,</w:t>
            </w:r>
            <w:r w:rsidR="00B83AD6" w:rsidRPr="00DC53C2">
              <w:rPr>
                <w:rFonts w:ascii="Times New Roman" w:eastAsiaTheme="minorHAnsi" w:hAnsi="Times New Roman"/>
                <w:sz w:val="16"/>
                <w:szCs w:val="16"/>
              </w:rPr>
              <w:t xml:space="preserve"> kopā</w:t>
            </w:r>
            <w:r w:rsidR="00B83AD6">
              <w:rPr>
                <w:rFonts w:ascii="Times New Roman" w:eastAsiaTheme="minorHAnsi" w:hAnsi="Times New Roman"/>
                <w:sz w:val="16"/>
                <w:szCs w:val="16"/>
              </w:rPr>
              <w:t xml:space="preserve"> </w:t>
            </w:r>
            <w:r w:rsidR="00B83AD6" w:rsidRPr="00B83AD6">
              <w:rPr>
                <w:rFonts w:ascii="Times New Roman" w:eastAsiaTheme="minorHAnsi" w:hAnsi="Times New Roman"/>
                <w:sz w:val="16"/>
                <w:szCs w:val="16"/>
              </w:rPr>
              <w:t>75</w:t>
            </w:r>
            <w:r w:rsidR="00760D3C">
              <w:rPr>
                <w:rFonts w:ascii="Times New Roman" w:eastAsiaTheme="minorHAnsi" w:hAnsi="Times New Roman"/>
                <w:sz w:val="16"/>
                <w:szCs w:val="16"/>
              </w:rPr>
              <w:t>60</w:t>
            </w:r>
            <w:r w:rsidR="00B83AD6" w:rsidRPr="00B83AD6">
              <w:rPr>
                <w:rFonts w:ascii="Times New Roman" w:eastAsiaTheme="minorHAnsi" w:hAnsi="Times New Roman"/>
                <w:sz w:val="16"/>
                <w:szCs w:val="16"/>
              </w:rPr>
              <w:t xml:space="preserve"> EUR</w:t>
            </w:r>
            <w:r w:rsidR="00B83AD6">
              <w:rPr>
                <w:rFonts w:ascii="Times New Roman" w:eastAsiaTheme="minorHAnsi" w:hAnsi="Times New Roman"/>
                <w:sz w:val="16"/>
                <w:szCs w:val="16"/>
              </w:rPr>
              <w:t xml:space="preserve"> x </w:t>
            </w:r>
            <w:r w:rsidR="00EC5A8D">
              <w:rPr>
                <w:rFonts w:ascii="Times New Roman" w:eastAsiaTheme="minorHAnsi" w:hAnsi="Times New Roman"/>
                <w:sz w:val="16"/>
                <w:szCs w:val="16"/>
              </w:rPr>
              <w:t xml:space="preserve">206 </w:t>
            </w:r>
            <w:r w:rsidR="00B83AD6">
              <w:rPr>
                <w:rFonts w:ascii="Times New Roman" w:eastAsiaTheme="minorHAnsi" w:hAnsi="Times New Roman"/>
                <w:sz w:val="16"/>
                <w:szCs w:val="16"/>
              </w:rPr>
              <w:t>=</w:t>
            </w:r>
            <w:r w:rsidRPr="00DC53C2">
              <w:rPr>
                <w:rFonts w:ascii="Times New Roman" w:eastAsiaTheme="minorHAnsi" w:hAnsi="Times New Roman"/>
                <w:sz w:val="16"/>
                <w:szCs w:val="16"/>
              </w:rPr>
              <w:t xml:space="preserve"> </w:t>
            </w:r>
            <w:r w:rsidR="00EC5A8D">
              <w:rPr>
                <w:rFonts w:ascii="Times New Roman" w:eastAsiaTheme="minorHAnsi" w:hAnsi="Times New Roman"/>
                <w:sz w:val="16"/>
                <w:szCs w:val="16"/>
              </w:rPr>
              <w:t>1 557 360</w:t>
            </w:r>
            <w:r w:rsidR="00B83AD6">
              <w:rPr>
                <w:rFonts w:ascii="Times New Roman" w:eastAsiaTheme="minorHAnsi" w:hAnsi="Times New Roman"/>
                <w:sz w:val="16"/>
                <w:szCs w:val="16"/>
              </w:rPr>
              <w:t xml:space="preserve"> </w:t>
            </w:r>
            <w:r w:rsidRPr="00DC53C2">
              <w:rPr>
                <w:rFonts w:ascii="Times New Roman" w:eastAsiaTheme="minorHAnsi" w:hAnsi="Times New Roman"/>
                <w:sz w:val="16"/>
                <w:szCs w:val="16"/>
              </w:rPr>
              <w:t>EUR</w:t>
            </w:r>
            <w:r w:rsidR="008530D5" w:rsidRPr="008530D5">
              <w:rPr>
                <w:rFonts w:ascii="Times New Roman" w:eastAsiaTheme="minorHAnsi" w:hAnsi="Times New Roman"/>
                <w:sz w:val="16"/>
                <w:szCs w:val="16"/>
              </w:rPr>
              <w:t>, kā arī</w:t>
            </w:r>
            <w:r w:rsidR="008530D5">
              <w:rPr>
                <w:rFonts w:ascii="Times New Roman" w:eastAsiaTheme="minorHAnsi" w:hAnsi="Times New Roman"/>
                <w:sz w:val="16"/>
                <w:szCs w:val="16"/>
              </w:rPr>
              <w:t xml:space="preserve"> ekspertīzes nodrošināšana profesionālās kvalifikācijas eksāmenu saturam   488 632 EUR, kopā 2 045 992 EUR</w:t>
            </w:r>
            <w:r w:rsidR="002C6A85" w:rsidRPr="008530D5">
              <w:rPr>
                <w:rFonts w:ascii="Times New Roman" w:eastAsiaTheme="minorHAnsi" w:hAnsi="Times New Roman"/>
                <w:sz w:val="16"/>
                <w:szCs w:val="16"/>
              </w:rPr>
              <w:t>.</w:t>
            </w:r>
          </w:p>
          <w:p w14:paraId="7473AEFA" w14:textId="5FBC5771" w:rsidR="00DB6AD1" w:rsidRPr="00DC53C2" w:rsidRDefault="00DB6AD1" w:rsidP="00B83AD6">
            <w:pPr>
              <w:numPr>
                <w:ilvl w:val="0"/>
                <w:numId w:val="2"/>
              </w:numPr>
              <w:spacing w:after="0" w:line="240" w:lineRule="auto"/>
              <w:jc w:val="both"/>
              <w:rPr>
                <w:rFonts w:ascii="Times New Roman" w:eastAsiaTheme="minorHAnsi" w:hAnsi="Times New Roman"/>
                <w:sz w:val="16"/>
                <w:szCs w:val="16"/>
              </w:rPr>
            </w:pPr>
            <w:r>
              <w:rPr>
                <w:rFonts w:ascii="Times New Roman" w:eastAsiaTheme="minorHAnsi" w:hAnsi="Times New Roman"/>
                <w:sz w:val="16"/>
                <w:szCs w:val="16"/>
              </w:rPr>
              <w:t>Administratīvās izmaksas</w:t>
            </w:r>
            <w:r w:rsidR="00232E55">
              <w:rPr>
                <w:rFonts w:ascii="Times New Roman" w:eastAsiaTheme="minorHAnsi" w:hAnsi="Times New Roman"/>
                <w:sz w:val="16"/>
                <w:szCs w:val="16"/>
              </w:rPr>
              <w:t xml:space="preserve"> 1 257 860 EUR.</w:t>
            </w:r>
          </w:p>
          <w:p w14:paraId="559F1043" w14:textId="2A4CCA9A" w:rsidR="00666E4C" w:rsidRPr="00DC53C2" w:rsidRDefault="00666E4C" w:rsidP="00FA05C1">
            <w:pPr>
              <w:spacing w:after="0" w:line="240" w:lineRule="auto"/>
              <w:jc w:val="both"/>
              <w:rPr>
                <w:rFonts w:ascii="Times New Roman" w:eastAsiaTheme="minorHAnsi" w:hAnsi="Times New Roman"/>
                <w:i/>
                <w:sz w:val="16"/>
                <w:szCs w:val="16"/>
              </w:rPr>
            </w:pPr>
            <w:r w:rsidRPr="00DC53C2">
              <w:rPr>
                <w:rFonts w:ascii="Times New Roman" w:eastAsiaTheme="minorHAnsi" w:hAnsi="Times New Roman"/>
                <w:i/>
                <w:sz w:val="16"/>
                <w:szCs w:val="16"/>
              </w:rPr>
              <w:t>Iznākuma rādītājam sasniegšanai paredzētais finansējums</w:t>
            </w:r>
          </w:p>
          <w:p w14:paraId="523FCD94" w14:textId="143262E2" w:rsidR="00666E4C" w:rsidRDefault="008530D5" w:rsidP="00FA05C1">
            <w:pPr>
              <w:spacing w:after="0" w:line="240" w:lineRule="auto"/>
              <w:jc w:val="both"/>
              <w:rPr>
                <w:rFonts w:ascii="Times New Roman" w:eastAsiaTheme="minorHAnsi" w:hAnsi="Times New Roman"/>
                <w:i/>
                <w:sz w:val="16"/>
                <w:szCs w:val="16"/>
              </w:rPr>
            </w:pPr>
            <w:r>
              <w:rPr>
                <w:rFonts w:ascii="Times New Roman" w:eastAsiaTheme="minorHAnsi" w:hAnsi="Times New Roman"/>
                <w:i/>
                <w:sz w:val="16"/>
                <w:szCs w:val="16"/>
              </w:rPr>
              <w:t>5 024 679</w:t>
            </w:r>
            <w:r w:rsidR="00595B58" w:rsidRPr="00DC53C2">
              <w:rPr>
                <w:rFonts w:ascii="Times New Roman" w:eastAsiaTheme="minorHAnsi" w:hAnsi="Times New Roman"/>
                <w:i/>
                <w:sz w:val="16"/>
                <w:szCs w:val="16"/>
              </w:rPr>
              <w:t>EUR</w:t>
            </w:r>
          </w:p>
          <w:p w14:paraId="505CFBEB" w14:textId="77777777" w:rsidR="006A015F" w:rsidRDefault="006A015F" w:rsidP="00FA05C1">
            <w:pPr>
              <w:spacing w:after="0" w:line="240" w:lineRule="auto"/>
              <w:jc w:val="both"/>
              <w:rPr>
                <w:rFonts w:ascii="Times New Roman" w:eastAsiaTheme="minorHAnsi" w:hAnsi="Times New Roman"/>
                <w:i/>
                <w:sz w:val="16"/>
                <w:szCs w:val="16"/>
              </w:rPr>
            </w:pPr>
          </w:p>
          <w:p w14:paraId="74BE8E8A" w14:textId="103EB2C5" w:rsidR="00595B58" w:rsidRDefault="006A015F" w:rsidP="00FA05C1">
            <w:pPr>
              <w:spacing w:after="0" w:line="240" w:lineRule="auto"/>
              <w:jc w:val="both"/>
              <w:rPr>
                <w:rFonts w:ascii="Times New Roman" w:eastAsiaTheme="minorHAnsi" w:hAnsi="Times New Roman"/>
                <w:i/>
                <w:sz w:val="16"/>
                <w:szCs w:val="16"/>
              </w:rPr>
            </w:pPr>
            <w:r w:rsidRPr="006A015F">
              <w:rPr>
                <w:rFonts w:ascii="Times New Roman" w:eastAsiaTheme="minorHAnsi" w:hAnsi="Times New Roman"/>
                <w:i/>
                <w:sz w:val="16"/>
                <w:szCs w:val="16"/>
              </w:rPr>
              <w:t xml:space="preserve">Darbība, kas liek uzskatīt mērķa vērtību par izpildītu:  </w:t>
            </w:r>
          </w:p>
          <w:p w14:paraId="40A1F6BE" w14:textId="30B5681F" w:rsidR="00844378" w:rsidRPr="0082761A" w:rsidRDefault="00844378" w:rsidP="00844378">
            <w:pPr>
              <w:spacing w:after="0" w:line="240" w:lineRule="auto"/>
              <w:jc w:val="both"/>
              <w:rPr>
                <w:rFonts w:ascii="Times New Roman" w:eastAsiaTheme="minorHAnsi" w:hAnsi="Times New Roman"/>
                <w:strike/>
                <w:sz w:val="16"/>
                <w:szCs w:val="16"/>
              </w:rPr>
            </w:pPr>
            <w:r w:rsidRPr="007A5CAB">
              <w:rPr>
                <w:rFonts w:ascii="Times New Roman" w:hAnsi="Times New Roman"/>
                <w:sz w:val="16"/>
                <w:szCs w:val="16"/>
              </w:rPr>
              <w:t xml:space="preserve">Rādītāju uzskata par izpildītu (mērķa vērtību par sasniegtu) </w:t>
            </w:r>
            <w:r w:rsidRPr="007A5CAB">
              <w:rPr>
                <w:rFonts w:ascii="Times New Roman" w:eastAsiaTheme="minorHAnsi" w:hAnsi="Times New Roman"/>
                <w:sz w:val="16"/>
                <w:szCs w:val="16"/>
              </w:rPr>
              <w:t>brīdī, kad sadarbības partneriem (LBAS, LDDK, LOSP) ir veikts avansa maksājums profesiju standartu un profesionālās kvalifikācijas prasību izstrādei.</w:t>
            </w:r>
            <w:r w:rsidRPr="007A5CAB">
              <w:rPr>
                <w:rFonts w:ascii="Times New Roman" w:hAnsi="Times New Roman"/>
                <w:sz w:val="16"/>
                <w:szCs w:val="16"/>
              </w:rPr>
              <w:t xml:space="preserve"> Rādītāja vērtības 2023.gadā sasniegšanu apstiprina pamatojošais dokuments – finanšu maksājuma dokuments</w:t>
            </w:r>
            <w:r w:rsidR="00180BD3">
              <w:rPr>
                <w:rFonts w:ascii="Times New Roman" w:eastAsiaTheme="minorHAnsi" w:hAnsi="Times New Roman"/>
                <w:sz w:val="16"/>
                <w:szCs w:val="16"/>
              </w:rPr>
              <w:t>.</w:t>
            </w:r>
            <w:r w:rsidRPr="007A5CAB">
              <w:rPr>
                <w:rFonts w:ascii="Times New Roman" w:eastAsiaTheme="minorHAnsi" w:hAnsi="Times New Roman"/>
                <w:sz w:val="16"/>
                <w:szCs w:val="16"/>
              </w:rPr>
              <w:t xml:space="preserve"> </w:t>
            </w:r>
          </w:p>
          <w:p w14:paraId="08B91EBE" w14:textId="40DD19C4" w:rsidR="006A015F" w:rsidRDefault="006A015F" w:rsidP="00FA05C1">
            <w:pPr>
              <w:spacing w:after="0" w:line="240" w:lineRule="auto"/>
              <w:jc w:val="both"/>
              <w:rPr>
                <w:rFonts w:ascii="Times New Roman" w:eastAsiaTheme="minorHAnsi" w:hAnsi="Times New Roman"/>
                <w:i/>
                <w:sz w:val="16"/>
                <w:szCs w:val="16"/>
              </w:rPr>
            </w:pPr>
          </w:p>
          <w:p w14:paraId="7D325DA0" w14:textId="77777777" w:rsidR="006A015F" w:rsidRPr="00DC53C2" w:rsidRDefault="006A015F" w:rsidP="00FA05C1">
            <w:pPr>
              <w:spacing w:after="0" w:line="240" w:lineRule="auto"/>
              <w:jc w:val="both"/>
              <w:rPr>
                <w:rFonts w:ascii="Times New Roman" w:eastAsiaTheme="minorHAnsi" w:hAnsi="Times New Roman"/>
                <w:i/>
                <w:sz w:val="16"/>
                <w:szCs w:val="16"/>
              </w:rPr>
            </w:pPr>
          </w:p>
          <w:p w14:paraId="4D6F33ED" w14:textId="77777777" w:rsidR="0097194D" w:rsidRPr="00DC53C2" w:rsidRDefault="0097194D" w:rsidP="0097194D">
            <w:pPr>
              <w:spacing w:after="0" w:line="240" w:lineRule="auto"/>
              <w:jc w:val="both"/>
              <w:rPr>
                <w:rFonts w:ascii="Times New Roman" w:eastAsiaTheme="minorHAnsi" w:hAnsi="Times New Roman"/>
                <w:i/>
                <w:sz w:val="16"/>
                <w:szCs w:val="16"/>
              </w:rPr>
            </w:pPr>
            <w:r w:rsidRPr="00DC53C2">
              <w:rPr>
                <w:rFonts w:ascii="Times New Roman" w:eastAsiaTheme="minorHAnsi" w:hAnsi="Times New Roman"/>
                <w:i/>
                <w:sz w:val="16"/>
                <w:szCs w:val="16"/>
              </w:rPr>
              <w:t>IR2 nosaukums un mērvienība:</w:t>
            </w:r>
          </w:p>
          <w:p w14:paraId="3E27E53D" w14:textId="77777777" w:rsidR="000E56F4" w:rsidRPr="00DC53C2" w:rsidRDefault="00E345C8" w:rsidP="00FA05C1">
            <w:pPr>
              <w:spacing w:after="0" w:line="240" w:lineRule="auto"/>
              <w:jc w:val="both"/>
              <w:rPr>
                <w:rFonts w:ascii="Times New Roman" w:hAnsi="Times New Roman"/>
                <w:sz w:val="16"/>
                <w:szCs w:val="16"/>
              </w:rPr>
            </w:pPr>
            <w:r w:rsidRPr="00DC53C2">
              <w:rPr>
                <w:rFonts w:ascii="Times New Roman" w:hAnsi="Times New Roman"/>
                <w:sz w:val="16"/>
                <w:szCs w:val="16"/>
              </w:rPr>
              <w:t>i.8.5.</w:t>
            </w:r>
            <w:r w:rsidR="00F12A32" w:rsidRPr="00DC53C2">
              <w:rPr>
                <w:rFonts w:ascii="Times New Roman" w:hAnsi="Times New Roman"/>
                <w:sz w:val="16"/>
                <w:szCs w:val="16"/>
              </w:rPr>
              <w:t>2</w:t>
            </w:r>
            <w:r w:rsidRPr="00DC53C2">
              <w:rPr>
                <w:rFonts w:ascii="Times New Roman" w:hAnsi="Times New Roman"/>
                <w:sz w:val="16"/>
                <w:szCs w:val="16"/>
              </w:rPr>
              <w:t>.</w:t>
            </w:r>
            <w:r w:rsidR="0059175B" w:rsidRPr="00DC53C2">
              <w:rPr>
                <w:rFonts w:ascii="Times New Roman" w:hAnsi="Times New Roman"/>
                <w:sz w:val="16"/>
                <w:szCs w:val="16"/>
              </w:rPr>
              <w:t>b</w:t>
            </w:r>
            <w:r w:rsidRPr="00DC53C2">
              <w:rPr>
                <w:rFonts w:ascii="Times New Roman" w:hAnsi="Times New Roman"/>
                <w:sz w:val="16"/>
                <w:szCs w:val="16"/>
              </w:rPr>
              <w:t xml:space="preserve"> (I64) </w:t>
            </w:r>
            <w:r w:rsidR="0059175B" w:rsidRPr="00DC53C2">
              <w:rPr>
                <w:rFonts w:ascii="Times New Roman" w:hAnsi="Times New Roman"/>
                <w:sz w:val="16"/>
                <w:szCs w:val="16"/>
              </w:rPr>
              <w:t xml:space="preserve">Modulāro profesionālās izglītības programmu skaits, kuru izstrādei piešķirts ESF atbalsts </w:t>
            </w:r>
            <w:r w:rsidR="000E56F4" w:rsidRPr="00DC53C2">
              <w:rPr>
                <w:rFonts w:ascii="Times New Roman" w:hAnsi="Times New Roman"/>
                <w:sz w:val="16"/>
                <w:szCs w:val="16"/>
              </w:rPr>
              <w:t>(</w:t>
            </w:r>
            <w:r w:rsidR="00B3289A" w:rsidRPr="00DC53C2">
              <w:rPr>
                <w:rFonts w:ascii="Times New Roman" w:hAnsi="Times New Roman"/>
                <w:sz w:val="16"/>
                <w:szCs w:val="16"/>
              </w:rPr>
              <w:t>programmu skaits</w:t>
            </w:r>
            <w:r w:rsidR="000E56F4" w:rsidRPr="00DC53C2">
              <w:rPr>
                <w:rFonts w:ascii="Times New Roman" w:hAnsi="Times New Roman"/>
                <w:sz w:val="16"/>
                <w:szCs w:val="16"/>
              </w:rPr>
              <w:t>)</w:t>
            </w:r>
            <w:r w:rsidR="00D67382" w:rsidRPr="00DC53C2">
              <w:rPr>
                <w:rFonts w:ascii="Times New Roman" w:hAnsi="Times New Roman"/>
                <w:sz w:val="16"/>
                <w:szCs w:val="16"/>
              </w:rPr>
              <w:t xml:space="preserve"> </w:t>
            </w:r>
          </w:p>
          <w:p w14:paraId="1B921C58" w14:textId="77777777" w:rsidR="00E345C8" w:rsidRPr="00DC53C2" w:rsidRDefault="00E345C8" w:rsidP="00FA05C1">
            <w:pPr>
              <w:spacing w:after="0" w:line="240" w:lineRule="auto"/>
              <w:jc w:val="both"/>
              <w:rPr>
                <w:rFonts w:ascii="Times New Roman" w:hAnsi="Times New Roman"/>
                <w:sz w:val="16"/>
                <w:szCs w:val="16"/>
              </w:rPr>
            </w:pPr>
          </w:p>
          <w:p w14:paraId="4F5624E0" w14:textId="6C08262E" w:rsidR="00C71E79" w:rsidRPr="00DC53C2" w:rsidRDefault="00C71E79" w:rsidP="00FA05C1">
            <w:pPr>
              <w:spacing w:after="0" w:line="240" w:lineRule="auto"/>
              <w:jc w:val="both"/>
              <w:rPr>
                <w:rFonts w:ascii="Times New Roman" w:eastAsiaTheme="minorHAnsi" w:hAnsi="Times New Roman"/>
                <w:i/>
                <w:sz w:val="16"/>
                <w:szCs w:val="16"/>
              </w:rPr>
            </w:pPr>
            <w:r w:rsidRPr="00DC53C2">
              <w:rPr>
                <w:rFonts w:ascii="Times New Roman" w:eastAsiaTheme="minorHAnsi" w:hAnsi="Times New Roman"/>
                <w:i/>
                <w:sz w:val="16"/>
                <w:szCs w:val="16"/>
              </w:rPr>
              <w:t>Definīcija:</w:t>
            </w:r>
          </w:p>
          <w:p w14:paraId="36D17519" w14:textId="534E969F" w:rsidR="00AA2B98" w:rsidRPr="00B06057" w:rsidRDefault="000E56F4" w:rsidP="00AA2B98">
            <w:pPr>
              <w:spacing w:after="0" w:line="240" w:lineRule="auto"/>
              <w:jc w:val="both"/>
              <w:rPr>
                <w:rFonts w:ascii="Cambria" w:hAnsi="Cambria"/>
                <w:sz w:val="16"/>
                <w:szCs w:val="16"/>
              </w:rPr>
            </w:pPr>
            <w:r w:rsidRPr="00DC53C2">
              <w:rPr>
                <w:rFonts w:ascii="Times New Roman" w:hAnsi="Times New Roman"/>
                <w:sz w:val="16"/>
                <w:szCs w:val="16"/>
              </w:rPr>
              <w:t>Izstrādāts uz sasniedzamajiem rezultātiem balstīts profesionālās izglītības saturs, ievērojot savietojamu profesionālās izglītības apguves moduļu principu profesionālajām kvalifikācijām</w:t>
            </w:r>
            <w:r w:rsidR="007B22B0" w:rsidRPr="00DC53C2">
              <w:rPr>
                <w:rFonts w:ascii="Times New Roman" w:hAnsi="Times New Roman"/>
                <w:sz w:val="16"/>
                <w:szCs w:val="16"/>
              </w:rPr>
              <w:t xml:space="preserve">, </w:t>
            </w:r>
            <w:r w:rsidR="007B22B0" w:rsidRPr="00DC53C2">
              <w:rPr>
                <w:rFonts w:ascii="Times New Roman" w:eastAsiaTheme="minorHAnsi" w:hAnsi="Times New Roman"/>
                <w:sz w:val="16"/>
                <w:szCs w:val="16"/>
              </w:rPr>
              <w:t>kur</w:t>
            </w:r>
            <w:r w:rsidR="00E94EC5">
              <w:rPr>
                <w:rFonts w:ascii="Times New Roman" w:eastAsiaTheme="minorHAnsi" w:hAnsi="Times New Roman"/>
                <w:sz w:val="16"/>
                <w:szCs w:val="16"/>
              </w:rPr>
              <w:t>ā</w:t>
            </w:r>
            <w:r w:rsidR="007B22B0" w:rsidRPr="00DC53C2">
              <w:rPr>
                <w:rFonts w:ascii="Times New Roman" w:eastAsiaTheme="minorHAnsi" w:hAnsi="Times New Roman"/>
                <w:sz w:val="16"/>
                <w:szCs w:val="16"/>
              </w:rPr>
              <w:t>m ir piemērojami visi Eiropas Savienības instrumenti ECVET, EQAVET, EUROPASS, EQF.</w:t>
            </w:r>
            <w:r w:rsidR="00AA2B98" w:rsidRPr="00DC53C2">
              <w:rPr>
                <w:rFonts w:ascii="Times New Roman" w:hAnsi="Times New Roman"/>
                <w:bCs/>
                <w:sz w:val="16"/>
                <w:szCs w:val="16"/>
              </w:rPr>
              <w:t xml:space="preserve"> Profesionālās izglītības programmas </w:t>
            </w:r>
            <w:r w:rsidR="00AA2B98" w:rsidRPr="00DC53C2">
              <w:rPr>
                <w:rFonts w:ascii="Times New Roman" w:hAnsi="Times New Roman"/>
                <w:sz w:val="16"/>
                <w:szCs w:val="16"/>
              </w:rPr>
              <w:t xml:space="preserve">modulis ir profesionālās kvalifikācijas satura sastāvdaļa, </w:t>
            </w:r>
            <w:r w:rsidR="00FE5B0C" w:rsidRPr="00DC53C2">
              <w:rPr>
                <w:rFonts w:ascii="Times New Roman" w:hAnsi="Times New Roman"/>
                <w:sz w:val="16"/>
                <w:szCs w:val="16"/>
              </w:rPr>
              <w:t xml:space="preserve">kura pamatā ir mācīšanās (sasniedzamo) rezultātu grupa, kas sastāv no novērtējuma un pierādāma kompetenču, tai skaitā zināšanu un prasmju kopuma. </w:t>
            </w:r>
            <w:r w:rsidR="00AA2B98" w:rsidRPr="00DC53C2">
              <w:rPr>
                <w:rFonts w:ascii="Times New Roman" w:hAnsi="Times New Roman"/>
                <w:sz w:val="16"/>
                <w:szCs w:val="16"/>
              </w:rPr>
              <w:t xml:space="preserve">Moduli var piemērot vienai vai vairākām profesionālajām kvalifikācijām modulārajā izglītības programmā vai īstenot atsevišķi profesionālo kompetenču pilnveidei. Moduļa apguves rezultātā pēc sasniedzamo rezultātu novērtēšanas var iegūt kredītpunktos izteiktu profesionālo kvalifikāciju vai profesionālās kvalifikācijas daļu. </w:t>
            </w:r>
            <w:r w:rsidR="00AA2B98" w:rsidRPr="00DC53C2">
              <w:rPr>
                <w:rFonts w:ascii="Times New Roman" w:hAnsi="Times New Roman"/>
                <w:sz w:val="16"/>
                <w:szCs w:val="16"/>
              </w:rPr>
              <w:lastRenderedPageBreak/>
              <w:t xml:space="preserve">Atkarībā no izglītības programmas veida, katra programmas daļa var </w:t>
            </w:r>
            <w:r w:rsidR="00AA2B98" w:rsidRPr="00B06057">
              <w:rPr>
                <w:rFonts w:ascii="Times New Roman" w:hAnsi="Times New Roman"/>
                <w:sz w:val="16"/>
                <w:szCs w:val="16"/>
              </w:rPr>
              <w:t xml:space="preserve">sastāvēt no vispārizglītojošā, mūžizglītības un </w:t>
            </w:r>
            <w:r w:rsidR="00AA2B98" w:rsidRPr="00B06057">
              <w:rPr>
                <w:rFonts w:ascii="Cambria" w:hAnsi="Cambria"/>
                <w:sz w:val="16"/>
                <w:szCs w:val="16"/>
              </w:rPr>
              <w:t>profesionālo kompetenču bloku moduļiem vai mācību priekšmetiem un specializāciju moduļiem.</w:t>
            </w:r>
          </w:p>
          <w:p w14:paraId="1C86241D" w14:textId="421B36F3" w:rsidR="00C71E79" w:rsidRPr="008F5FB7" w:rsidRDefault="00E94EC5" w:rsidP="00B06057">
            <w:pPr>
              <w:jc w:val="both"/>
              <w:rPr>
                <w:rFonts w:ascii="Times New Roman" w:hAnsi="Times New Roman"/>
                <w:sz w:val="16"/>
                <w:szCs w:val="16"/>
              </w:rPr>
            </w:pPr>
            <w:r w:rsidRPr="00B06057">
              <w:rPr>
                <w:rFonts w:ascii="Cambria" w:eastAsiaTheme="minorHAnsi" w:hAnsi="Cambria"/>
                <w:sz w:val="16"/>
                <w:szCs w:val="16"/>
              </w:rPr>
              <w:t xml:space="preserve">Iznākuma rādītāju uzskata par sasniegtu brīdī, kad </w:t>
            </w:r>
            <w:r w:rsidR="0059676C" w:rsidRPr="008F5FB7">
              <w:rPr>
                <w:rFonts w:ascii="Times New Roman" w:hAnsi="Times New Roman"/>
                <w:sz w:val="16"/>
                <w:szCs w:val="16"/>
              </w:rPr>
              <w:t>ir uzsākta modulārās profesionālās izglītības programmas izstrāde, proti, ir noslēgts līgums par modulāro profesionālās izglītības programmas izstrādi.</w:t>
            </w:r>
            <w:r w:rsidR="00183F4C">
              <w:rPr>
                <w:rFonts w:ascii="Times New Roman" w:hAnsi="Times New Roman"/>
                <w:sz w:val="16"/>
                <w:szCs w:val="16"/>
              </w:rPr>
              <w:t xml:space="preserve"> R</w:t>
            </w:r>
            <w:r w:rsidR="00183F4C" w:rsidRPr="00183F4C">
              <w:rPr>
                <w:rFonts w:ascii="Times New Roman" w:hAnsi="Times New Roman"/>
                <w:sz w:val="16"/>
                <w:szCs w:val="16"/>
              </w:rPr>
              <w:t>ādītāja mērķa vērtības</w:t>
            </w:r>
            <w:r w:rsidR="002A656E">
              <w:rPr>
                <w:rFonts w:ascii="Times New Roman" w:hAnsi="Times New Roman"/>
                <w:sz w:val="16"/>
                <w:szCs w:val="16"/>
              </w:rPr>
              <w:t xml:space="preserve"> (2023.gad</w:t>
            </w:r>
            <w:r w:rsidR="004629CB">
              <w:rPr>
                <w:rFonts w:ascii="Times New Roman" w:hAnsi="Times New Roman"/>
                <w:sz w:val="16"/>
                <w:szCs w:val="16"/>
              </w:rPr>
              <w:t>ā</w:t>
            </w:r>
            <w:r w:rsidR="002A656E">
              <w:rPr>
                <w:rFonts w:ascii="Times New Roman" w:hAnsi="Times New Roman"/>
                <w:sz w:val="16"/>
                <w:szCs w:val="16"/>
              </w:rPr>
              <w:t>)</w:t>
            </w:r>
            <w:r w:rsidR="00183F4C" w:rsidRPr="00183F4C">
              <w:rPr>
                <w:rFonts w:ascii="Times New Roman" w:hAnsi="Times New Roman"/>
                <w:sz w:val="16"/>
                <w:szCs w:val="16"/>
              </w:rPr>
              <w:t xml:space="preserve"> sasniegšanu apstiprina veiksmīgi ieviests projekts un īstenoti tā mērķi, t.i. izstrādātas modulārās profesionālās izglītības programmas</w:t>
            </w:r>
            <w:r w:rsidR="00183F4C">
              <w:rPr>
                <w:rFonts w:ascii="Times New Roman" w:hAnsi="Times New Roman"/>
                <w:sz w:val="16"/>
                <w:szCs w:val="16"/>
              </w:rPr>
              <w:t>.</w:t>
            </w:r>
          </w:p>
          <w:p w14:paraId="612432D1" w14:textId="77777777" w:rsidR="00E345C8" w:rsidRPr="00DC53C2" w:rsidRDefault="00E345C8" w:rsidP="00FA05C1">
            <w:pPr>
              <w:spacing w:after="0" w:line="240" w:lineRule="auto"/>
              <w:jc w:val="both"/>
              <w:rPr>
                <w:rFonts w:ascii="Times New Roman" w:eastAsiaTheme="minorHAnsi" w:hAnsi="Times New Roman"/>
                <w:i/>
                <w:sz w:val="16"/>
                <w:szCs w:val="16"/>
              </w:rPr>
            </w:pPr>
          </w:p>
          <w:p w14:paraId="44BE644D" w14:textId="77777777" w:rsidR="007A666C" w:rsidRPr="00DC53C2" w:rsidRDefault="000E56F4" w:rsidP="00FA05C1">
            <w:pPr>
              <w:spacing w:after="0" w:line="240" w:lineRule="auto"/>
              <w:jc w:val="both"/>
              <w:rPr>
                <w:rFonts w:ascii="Times New Roman" w:hAnsi="Times New Roman"/>
                <w:sz w:val="16"/>
                <w:szCs w:val="16"/>
              </w:rPr>
            </w:pPr>
            <w:r w:rsidRPr="00DC53C2">
              <w:rPr>
                <w:rFonts w:ascii="Times New Roman" w:eastAsiaTheme="minorHAnsi" w:hAnsi="Times New Roman"/>
                <w:i/>
                <w:sz w:val="16"/>
                <w:szCs w:val="16"/>
              </w:rPr>
              <w:t>Datu avots</w:t>
            </w:r>
            <w:r w:rsidRPr="00DC53C2">
              <w:rPr>
                <w:rFonts w:ascii="Times New Roman" w:eastAsiaTheme="minorHAnsi" w:hAnsi="Times New Roman"/>
                <w:sz w:val="16"/>
                <w:szCs w:val="16"/>
              </w:rPr>
              <w:t>:</w:t>
            </w:r>
          </w:p>
          <w:p w14:paraId="571AB8C9" w14:textId="76D43881" w:rsidR="00C71E79" w:rsidRPr="00DC53C2" w:rsidRDefault="00C71E79" w:rsidP="00FA05C1">
            <w:pPr>
              <w:spacing w:after="0" w:line="240" w:lineRule="auto"/>
              <w:jc w:val="both"/>
              <w:rPr>
                <w:rFonts w:ascii="Times New Roman" w:eastAsiaTheme="minorHAnsi" w:hAnsi="Times New Roman"/>
                <w:sz w:val="16"/>
                <w:szCs w:val="16"/>
              </w:rPr>
            </w:pPr>
            <w:r w:rsidRPr="00DC53C2">
              <w:rPr>
                <w:rFonts w:ascii="Times New Roman" w:hAnsi="Times New Roman"/>
                <w:sz w:val="16"/>
                <w:szCs w:val="16"/>
              </w:rPr>
              <w:t>Projektu dati</w:t>
            </w:r>
          </w:p>
          <w:p w14:paraId="372FD68E" w14:textId="77777777" w:rsidR="00E345C8" w:rsidRPr="00DC53C2" w:rsidRDefault="00E345C8" w:rsidP="00FA05C1">
            <w:pPr>
              <w:spacing w:after="0" w:line="240" w:lineRule="auto"/>
              <w:jc w:val="both"/>
              <w:rPr>
                <w:rFonts w:ascii="Times New Roman" w:eastAsiaTheme="minorHAnsi" w:hAnsi="Times New Roman"/>
                <w:i/>
                <w:sz w:val="16"/>
                <w:szCs w:val="16"/>
              </w:rPr>
            </w:pPr>
          </w:p>
          <w:p w14:paraId="4146CFC4" w14:textId="77777777" w:rsidR="00C71E79" w:rsidRPr="00DC53C2" w:rsidRDefault="00C71E79" w:rsidP="00FA05C1">
            <w:pPr>
              <w:spacing w:after="0" w:line="240" w:lineRule="auto"/>
              <w:jc w:val="both"/>
              <w:rPr>
                <w:rFonts w:ascii="Times New Roman" w:eastAsiaTheme="minorHAnsi" w:hAnsi="Times New Roman"/>
                <w:i/>
                <w:sz w:val="16"/>
                <w:szCs w:val="16"/>
              </w:rPr>
            </w:pPr>
            <w:r w:rsidRPr="00DC53C2">
              <w:rPr>
                <w:rFonts w:ascii="Times New Roman" w:eastAsiaTheme="minorHAnsi" w:hAnsi="Times New Roman"/>
                <w:i/>
                <w:sz w:val="16"/>
                <w:szCs w:val="16"/>
              </w:rPr>
              <w:t>Apkopošanas biežums un ieguves metodoloģija:</w:t>
            </w:r>
          </w:p>
          <w:p w14:paraId="549D654C" w14:textId="38256CB9" w:rsidR="00C71E79" w:rsidRPr="00DC53C2" w:rsidRDefault="00CC46C3" w:rsidP="00FA05C1">
            <w:pPr>
              <w:spacing w:after="0" w:line="240" w:lineRule="auto"/>
              <w:jc w:val="both"/>
              <w:rPr>
                <w:rFonts w:ascii="Times New Roman" w:eastAsiaTheme="minorHAnsi" w:hAnsi="Times New Roman"/>
                <w:sz w:val="16"/>
                <w:szCs w:val="16"/>
              </w:rPr>
            </w:pPr>
            <w:r>
              <w:rPr>
                <w:rFonts w:ascii="Times New Roman" w:eastAsiaTheme="minorHAnsi" w:hAnsi="Times New Roman"/>
                <w:sz w:val="16"/>
                <w:szCs w:val="16"/>
              </w:rPr>
              <w:t>Reizi gadā</w:t>
            </w:r>
            <w:r w:rsidR="00C71E79" w:rsidRPr="00DC53C2">
              <w:rPr>
                <w:rFonts w:ascii="Times New Roman" w:eastAsiaTheme="minorHAnsi" w:hAnsi="Times New Roman"/>
                <w:sz w:val="16"/>
                <w:szCs w:val="16"/>
              </w:rPr>
              <w:t>, apkopojot projektu datus</w:t>
            </w:r>
          </w:p>
          <w:p w14:paraId="3543FF4F" w14:textId="77777777" w:rsidR="00C71E79" w:rsidRPr="00DC53C2" w:rsidRDefault="00C71E79" w:rsidP="00FA05C1">
            <w:pPr>
              <w:spacing w:after="0" w:line="240" w:lineRule="auto"/>
              <w:jc w:val="both"/>
              <w:rPr>
                <w:rFonts w:ascii="Times New Roman" w:eastAsiaTheme="minorHAnsi" w:hAnsi="Times New Roman"/>
                <w:i/>
                <w:sz w:val="16"/>
                <w:szCs w:val="16"/>
              </w:rPr>
            </w:pPr>
          </w:p>
          <w:p w14:paraId="0CA6465B" w14:textId="77777777" w:rsidR="00C71E79" w:rsidRPr="00DC53C2" w:rsidRDefault="00C71E79" w:rsidP="00FA05C1">
            <w:pPr>
              <w:spacing w:after="0" w:line="240" w:lineRule="auto"/>
              <w:jc w:val="both"/>
              <w:rPr>
                <w:rFonts w:ascii="Times New Roman" w:eastAsiaTheme="minorHAnsi" w:hAnsi="Times New Roman"/>
                <w:i/>
                <w:sz w:val="16"/>
                <w:szCs w:val="16"/>
              </w:rPr>
            </w:pPr>
            <w:r w:rsidRPr="00DC53C2">
              <w:rPr>
                <w:rFonts w:ascii="Times New Roman" w:eastAsiaTheme="minorHAnsi" w:hAnsi="Times New Roman"/>
                <w:i/>
                <w:sz w:val="16"/>
                <w:szCs w:val="16"/>
              </w:rPr>
              <w:t>Starpposma vērtība 2018:</w:t>
            </w:r>
            <w:r w:rsidR="00B1507D" w:rsidRPr="00DC53C2">
              <w:rPr>
                <w:rFonts w:ascii="Times New Roman" w:eastAsiaTheme="minorHAnsi" w:hAnsi="Times New Roman"/>
                <w:i/>
                <w:sz w:val="16"/>
                <w:szCs w:val="16"/>
              </w:rPr>
              <w:t>10</w:t>
            </w:r>
          </w:p>
          <w:p w14:paraId="442EA43B" w14:textId="77777777" w:rsidR="00C71E79" w:rsidRPr="00DC53C2" w:rsidRDefault="00C71E79" w:rsidP="00FA05C1">
            <w:pPr>
              <w:spacing w:after="0" w:line="240" w:lineRule="auto"/>
              <w:jc w:val="both"/>
              <w:rPr>
                <w:rFonts w:ascii="Times New Roman" w:eastAsiaTheme="minorHAnsi" w:hAnsi="Times New Roman"/>
                <w:sz w:val="16"/>
                <w:szCs w:val="16"/>
              </w:rPr>
            </w:pPr>
          </w:p>
          <w:p w14:paraId="4C5F35B0" w14:textId="77777777" w:rsidR="00C71E79" w:rsidRPr="00DC53C2" w:rsidRDefault="00C71E79" w:rsidP="00FA05C1">
            <w:pPr>
              <w:spacing w:after="0" w:line="240" w:lineRule="auto"/>
              <w:jc w:val="both"/>
              <w:rPr>
                <w:rFonts w:ascii="Times New Roman" w:eastAsiaTheme="minorHAnsi" w:hAnsi="Times New Roman"/>
                <w:sz w:val="16"/>
                <w:szCs w:val="16"/>
              </w:rPr>
            </w:pPr>
            <w:r w:rsidRPr="00DC53C2">
              <w:rPr>
                <w:rFonts w:ascii="Times New Roman" w:eastAsiaTheme="minorHAnsi" w:hAnsi="Times New Roman"/>
                <w:i/>
                <w:sz w:val="16"/>
                <w:szCs w:val="16"/>
              </w:rPr>
              <w:t>Mērķis 2023</w:t>
            </w:r>
            <w:r w:rsidRPr="00DC53C2">
              <w:rPr>
                <w:rFonts w:ascii="Times New Roman" w:eastAsiaTheme="minorHAnsi" w:hAnsi="Times New Roman"/>
                <w:sz w:val="16"/>
                <w:szCs w:val="16"/>
              </w:rPr>
              <w:t xml:space="preserve">: </w:t>
            </w:r>
            <w:r w:rsidR="000E56F4" w:rsidRPr="00DC53C2">
              <w:rPr>
                <w:rFonts w:ascii="Times New Roman" w:hAnsi="Times New Roman"/>
                <w:sz w:val="16"/>
                <w:szCs w:val="16"/>
              </w:rPr>
              <w:t>1</w:t>
            </w:r>
            <w:r w:rsidR="00997E09" w:rsidRPr="00DC53C2">
              <w:rPr>
                <w:rFonts w:ascii="Times New Roman" w:hAnsi="Times New Roman"/>
                <w:sz w:val="16"/>
                <w:szCs w:val="16"/>
              </w:rPr>
              <w:t>84</w:t>
            </w:r>
          </w:p>
          <w:p w14:paraId="7B9B7AFF" w14:textId="77777777" w:rsidR="00C71E79" w:rsidRPr="00DC53C2" w:rsidRDefault="00C71E79" w:rsidP="00FA05C1">
            <w:pPr>
              <w:spacing w:after="0" w:line="240" w:lineRule="auto"/>
              <w:jc w:val="both"/>
              <w:rPr>
                <w:rFonts w:ascii="Times New Roman" w:eastAsiaTheme="minorHAnsi" w:hAnsi="Times New Roman"/>
                <w:sz w:val="16"/>
                <w:szCs w:val="16"/>
              </w:rPr>
            </w:pPr>
          </w:p>
          <w:p w14:paraId="16CA9594" w14:textId="77777777" w:rsidR="00C71E79" w:rsidRPr="00DC53C2" w:rsidRDefault="00C71E79" w:rsidP="00FA05C1">
            <w:pPr>
              <w:spacing w:after="0" w:line="240" w:lineRule="auto"/>
              <w:jc w:val="both"/>
              <w:rPr>
                <w:rFonts w:ascii="Times New Roman" w:eastAsiaTheme="minorHAnsi" w:hAnsi="Times New Roman"/>
                <w:sz w:val="16"/>
                <w:szCs w:val="16"/>
              </w:rPr>
            </w:pPr>
            <w:r w:rsidRPr="00DC53C2">
              <w:rPr>
                <w:rFonts w:ascii="Times New Roman" w:eastAsiaTheme="minorHAnsi" w:hAnsi="Times New Roman"/>
                <w:i/>
                <w:sz w:val="16"/>
                <w:szCs w:val="16"/>
              </w:rPr>
              <w:t>Mērķa vērtības noteikšanas principi/metodoloģija</w:t>
            </w:r>
            <w:r w:rsidRPr="00DC53C2">
              <w:rPr>
                <w:rFonts w:ascii="Times New Roman" w:eastAsiaTheme="minorHAnsi" w:hAnsi="Times New Roman"/>
                <w:sz w:val="16"/>
                <w:szCs w:val="16"/>
              </w:rPr>
              <w:t>:</w:t>
            </w:r>
          </w:p>
          <w:p w14:paraId="74D91BDD" w14:textId="06976D1D" w:rsidR="00AA2B98" w:rsidRPr="00DC53C2" w:rsidRDefault="00AA2B98" w:rsidP="00AA2B98">
            <w:pPr>
              <w:spacing w:after="0" w:line="240" w:lineRule="auto"/>
              <w:jc w:val="both"/>
              <w:rPr>
                <w:rFonts w:ascii="Times New Roman" w:hAnsi="Times New Roman"/>
                <w:sz w:val="16"/>
                <w:szCs w:val="16"/>
              </w:rPr>
            </w:pPr>
            <w:r w:rsidRPr="00DC53C2">
              <w:rPr>
                <w:rFonts w:ascii="Times New Roman" w:hAnsi="Times New Roman"/>
                <w:sz w:val="16"/>
                <w:szCs w:val="16"/>
              </w:rPr>
              <w:t xml:space="preserve">Darbības līmenis ir projekts. </w:t>
            </w:r>
            <w:r w:rsidR="00FE5B0C" w:rsidRPr="00DC53C2">
              <w:rPr>
                <w:rFonts w:ascii="Times New Roman" w:hAnsi="Times New Roman"/>
                <w:sz w:val="16"/>
                <w:szCs w:val="16"/>
              </w:rPr>
              <w:t>Dati par dalībniekiem netiks uzkrāti, jo atbalsts ir vērsts uz sistēmām, nevis dalībniekiem.</w:t>
            </w:r>
          </w:p>
          <w:p w14:paraId="2A10DC99" w14:textId="77777777" w:rsidR="00FE5B0C" w:rsidRPr="00DC53C2" w:rsidRDefault="00FE5B0C" w:rsidP="00AA2B98">
            <w:pPr>
              <w:spacing w:after="0" w:line="240" w:lineRule="auto"/>
              <w:jc w:val="both"/>
              <w:rPr>
                <w:rFonts w:ascii="Times New Roman" w:hAnsi="Times New Roman"/>
                <w:sz w:val="16"/>
                <w:szCs w:val="16"/>
              </w:rPr>
            </w:pPr>
          </w:p>
          <w:p w14:paraId="6705CDA9" w14:textId="21363931" w:rsidR="00C71E79" w:rsidRDefault="002F7F81" w:rsidP="002F7F81">
            <w:pPr>
              <w:spacing w:after="0" w:line="240" w:lineRule="auto"/>
              <w:jc w:val="both"/>
              <w:rPr>
                <w:rFonts w:ascii="Times New Roman" w:eastAsiaTheme="minorHAnsi" w:hAnsi="Times New Roman"/>
                <w:sz w:val="16"/>
                <w:szCs w:val="16"/>
              </w:rPr>
            </w:pPr>
            <w:r w:rsidRPr="00DC53C2">
              <w:rPr>
                <w:rFonts w:ascii="Times New Roman" w:eastAsiaTheme="minorHAnsi" w:hAnsi="Times New Roman"/>
                <w:sz w:val="16"/>
                <w:szCs w:val="16"/>
              </w:rPr>
              <w:t>Indikatīvs f</w:t>
            </w:r>
            <w:r w:rsidRPr="00DC53C2">
              <w:rPr>
                <w:rFonts w:ascii="Times New Roman" w:eastAsiaTheme="minorHAnsi" w:hAnsi="Times New Roman"/>
                <w:iCs/>
                <w:sz w:val="16"/>
                <w:szCs w:val="16"/>
              </w:rPr>
              <w:t>inanšu rādītāja aprēķins veidojas šādi:</w:t>
            </w:r>
            <w:r w:rsidRPr="00DC53C2">
              <w:rPr>
                <w:rFonts w:ascii="Times New Roman" w:eastAsiaTheme="minorHAnsi" w:hAnsi="Times New Roman"/>
                <w:i/>
                <w:iCs/>
                <w:sz w:val="16"/>
                <w:szCs w:val="16"/>
              </w:rPr>
              <w:t xml:space="preserve"> </w:t>
            </w:r>
            <w:r w:rsidRPr="00DC53C2">
              <w:rPr>
                <w:rFonts w:ascii="Times New Roman" w:eastAsiaTheme="minorHAnsi" w:hAnsi="Times New Roman"/>
                <w:sz w:val="16"/>
                <w:szCs w:val="16"/>
              </w:rPr>
              <w:t>v</w:t>
            </w:r>
            <w:r w:rsidR="000D7C1E" w:rsidRPr="00DC53C2">
              <w:rPr>
                <w:rFonts w:ascii="Times New Roman" w:eastAsiaTheme="minorHAnsi" w:hAnsi="Times New Roman"/>
                <w:sz w:val="16"/>
                <w:szCs w:val="16"/>
              </w:rPr>
              <w:t xml:space="preserve">ienas modulārās izglītības programmas izstrāde </w:t>
            </w:r>
            <w:r w:rsidR="00454880" w:rsidRPr="00DC53C2">
              <w:rPr>
                <w:rFonts w:ascii="Times New Roman" w:eastAsiaTheme="minorHAnsi" w:hAnsi="Times New Roman"/>
                <w:sz w:val="16"/>
                <w:szCs w:val="16"/>
              </w:rPr>
              <w:t>14 940 EUR</w:t>
            </w:r>
            <w:r w:rsidR="000D7C1E" w:rsidRPr="00DC53C2">
              <w:rPr>
                <w:rFonts w:ascii="Times New Roman" w:eastAsiaTheme="minorHAnsi" w:hAnsi="Times New Roman"/>
                <w:sz w:val="16"/>
                <w:szCs w:val="16"/>
              </w:rPr>
              <w:t xml:space="preserve"> (</w:t>
            </w:r>
            <w:r w:rsidR="00454880" w:rsidRPr="00DC53C2">
              <w:rPr>
                <w:rFonts w:ascii="Times New Roman" w:eastAsiaTheme="minorHAnsi" w:hAnsi="Times New Roman"/>
                <w:sz w:val="16"/>
                <w:szCs w:val="16"/>
              </w:rPr>
              <w:t xml:space="preserve">10 nozares </w:t>
            </w:r>
            <w:r w:rsidR="000D7C1E" w:rsidRPr="00DC53C2">
              <w:rPr>
                <w:rFonts w:ascii="Times New Roman" w:eastAsiaTheme="minorHAnsi" w:hAnsi="Times New Roman"/>
                <w:sz w:val="16"/>
                <w:szCs w:val="16"/>
              </w:rPr>
              <w:t xml:space="preserve">ekspertu darba grupa, norises telpas, tehniskais nodrošinājums un nozares ārējā ekspertīze). </w:t>
            </w:r>
            <w:r w:rsidRPr="00DC53C2">
              <w:rPr>
                <w:rFonts w:ascii="Times New Roman" w:eastAsiaTheme="minorHAnsi" w:hAnsi="Times New Roman"/>
                <w:sz w:val="16"/>
                <w:szCs w:val="16"/>
              </w:rPr>
              <w:t>14 940 EUR</w:t>
            </w:r>
            <w:r w:rsidR="000D7C1E" w:rsidRPr="00DC53C2">
              <w:rPr>
                <w:rFonts w:ascii="Times New Roman" w:eastAsiaTheme="minorHAnsi" w:hAnsi="Times New Roman"/>
                <w:sz w:val="16"/>
                <w:szCs w:val="16"/>
              </w:rPr>
              <w:t xml:space="preserve"> x </w:t>
            </w:r>
            <w:r w:rsidR="00DB6AD1">
              <w:rPr>
                <w:rFonts w:ascii="Times New Roman" w:eastAsiaTheme="minorHAnsi" w:hAnsi="Times New Roman"/>
                <w:sz w:val="16"/>
                <w:szCs w:val="16"/>
              </w:rPr>
              <w:t xml:space="preserve">184 </w:t>
            </w:r>
            <w:r w:rsidR="000D7C1E" w:rsidRPr="00DC53C2">
              <w:rPr>
                <w:rFonts w:ascii="Times New Roman" w:eastAsiaTheme="minorHAnsi" w:hAnsi="Times New Roman"/>
                <w:sz w:val="16"/>
                <w:szCs w:val="16"/>
              </w:rPr>
              <w:t xml:space="preserve">profesionālās kvalifikācijas  </w:t>
            </w:r>
            <w:r w:rsidR="000D7C1E" w:rsidRPr="004035C2">
              <w:rPr>
                <w:rFonts w:ascii="Times New Roman" w:eastAsiaTheme="minorHAnsi" w:hAnsi="Times New Roman"/>
                <w:sz w:val="16"/>
                <w:szCs w:val="16"/>
              </w:rPr>
              <w:t>=</w:t>
            </w:r>
            <w:r w:rsidRPr="004035C2">
              <w:rPr>
                <w:rFonts w:ascii="Times New Roman" w:eastAsiaTheme="minorHAnsi" w:hAnsi="Times New Roman"/>
                <w:sz w:val="16"/>
                <w:szCs w:val="16"/>
              </w:rPr>
              <w:t xml:space="preserve"> 2 748 960</w:t>
            </w:r>
            <w:r w:rsidRPr="00DC53C2">
              <w:rPr>
                <w:rFonts w:ascii="Times New Roman" w:eastAsiaTheme="minorHAnsi" w:hAnsi="Times New Roman"/>
                <w:sz w:val="16"/>
                <w:szCs w:val="16"/>
              </w:rPr>
              <w:t xml:space="preserve"> EUR</w:t>
            </w:r>
            <w:r w:rsidR="00BB6449">
              <w:rPr>
                <w:rFonts w:ascii="Times New Roman" w:eastAsiaTheme="minorHAnsi" w:hAnsi="Times New Roman"/>
                <w:sz w:val="16"/>
                <w:szCs w:val="16"/>
              </w:rPr>
              <w:t>.</w:t>
            </w:r>
          </w:p>
          <w:p w14:paraId="6E2045D6" w14:textId="4746C3CD" w:rsidR="00BB6449" w:rsidRPr="0057422E" w:rsidRDefault="00BB6449" w:rsidP="00BB6449">
            <w:pPr>
              <w:spacing w:after="0" w:line="240" w:lineRule="auto"/>
              <w:jc w:val="both"/>
              <w:rPr>
                <w:rFonts w:ascii="Times New Roman" w:eastAsiaTheme="minorHAnsi" w:hAnsi="Times New Roman"/>
                <w:sz w:val="16"/>
                <w:szCs w:val="16"/>
              </w:rPr>
            </w:pPr>
            <w:r w:rsidRPr="0057422E">
              <w:rPr>
                <w:rFonts w:ascii="Times New Roman" w:eastAsiaTheme="minorHAnsi" w:hAnsi="Times New Roman"/>
                <w:sz w:val="16"/>
                <w:szCs w:val="16"/>
              </w:rPr>
              <w:t>Viena mācību līdzekļa izstrāde vidēji izmaksā 44 220 EUR un ietver atlīdzību autorkolektīvam, kas izstrādā mācību un metodisko līdzekli, digitālajam noformējumam, IT programmatūras izstrādei, interaktīvai ieviešanai un lietošanas nodrošināšanai izglītības iestādē.</w:t>
            </w:r>
            <w:r w:rsidRPr="0057422E">
              <w:rPr>
                <w:rFonts w:ascii="Times New Roman" w:eastAsiaTheme="minorHAnsi" w:hAnsi="Times New Roman"/>
                <w:b/>
                <w:sz w:val="16"/>
                <w:szCs w:val="16"/>
              </w:rPr>
              <w:t xml:space="preserve"> </w:t>
            </w:r>
            <w:r w:rsidRPr="00DB6AD1">
              <w:rPr>
                <w:rFonts w:ascii="Times New Roman" w:eastAsiaTheme="minorHAnsi" w:hAnsi="Times New Roman"/>
                <w:sz w:val="16"/>
                <w:szCs w:val="16"/>
              </w:rPr>
              <w:t>Mācību līdzekļi</w:t>
            </w:r>
            <w:r w:rsidRPr="0057422E">
              <w:rPr>
                <w:rFonts w:ascii="Times New Roman" w:eastAsiaTheme="minorHAnsi" w:hAnsi="Times New Roman"/>
                <w:sz w:val="16"/>
                <w:szCs w:val="16"/>
              </w:rPr>
              <w:t xml:space="preserve"> 16 nozares x 2 mācību līdzekļi, t.sk.</w:t>
            </w:r>
            <w:r w:rsidRPr="0057422E">
              <w:rPr>
                <w:rFonts w:ascii="Times New Roman" w:hAnsi="Times New Roman"/>
                <w:sz w:val="16"/>
                <w:szCs w:val="16"/>
              </w:rPr>
              <w:t xml:space="preserve"> digitālie mācību līdzekļi, kā arī novērtēšanas materiāli</w:t>
            </w:r>
            <w:r w:rsidRPr="0057422E">
              <w:rPr>
                <w:rFonts w:ascii="Times New Roman" w:eastAsiaTheme="minorHAnsi" w:hAnsi="Times New Roman"/>
                <w:sz w:val="16"/>
                <w:szCs w:val="16"/>
              </w:rPr>
              <w:t xml:space="preserve"> katrā nozarē x 44 220 EUR= </w:t>
            </w:r>
            <w:r w:rsidRPr="004035C2">
              <w:rPr>
                <w:rFonts w:ascii="Times New Roman" w:eastAsiaTheme="minorHAnsi" w:hAnsi="Times New Roman"/>
                <w:sz w:val="16"/>
                <w:szCs w:val="16"/>
              </w:rPr>
              <w:t>1 415 040</w:t>
            </w:r>
            <w:r w:rsidRPr="0057422E">
              <w:rPr>
                <w:rFonts w:ascii="Times New Roman" w:eastAsiaTheme="minorHAnsi" w:hAnsi="Times New Roman"/>
                <w:sz w:val="16"/>
                <w:szCs w:val="16"/>
              </w:rPr>
              <w:t xml:space="preserve"> EUR</w:t>
            </w:r>
            <w:r>
              <w:rPr>
                <w:rFonts w:ascii="Times New Roman" w:eastAsiaTheme="minorHAnsi" w:hAnsi="Times New Roman"/>
                <w:sz w:val="16"/>
                <w:szCs w:val="16"/>
              </w:rPr>
              <w:t>.</w:t>
            </w:r>
            <w:r w:rsidRPr="0057422E">
              <w:rPr>
                <w:rFonts w:ascii="Times New Roman" w:eastAsiaTheme="minorHAnsi" w:hAnsi="Times New Roman"/>
                <w:sz w:val="16"/>
                <w:szCs w:val="16"/>
              </w:rPr>
              <w:t xml:space="preserve"> </w:t>
            </w:r>
          </w:p>
          <w:p w14:paraId="278414CD" w14:textId="3D5ACC2A" w:rsidR="00BB6449" w:rsidRDefault="00BB6449" w:rsidP="00BB6449">
            <w:pPr>
              <w:spacing w:after="0" w:line="240" w:lineRule="auto"/>
              <w:jc w:val="both"/>
              <w:rPr>
                <w:rFonts w:ascii="Times New Roman" w:eastAsiaTheme="minorHAnsi" w:hAnsi="Times New Roman"/>
                <w:sz w:val="16"/>
                <w:szCs w:val="16"/>
              </w:rPr>
            </w:pPr>
            <w:r w:rsidRPr="0057422E">
              <w:rPr>
                <w:rFonts w:ascii="Times New Roman" w:eastAsiaTheme="minorHAnsi" w:hAnsi="Times New Roman"/>
                <w:sz w:val="16"/>
                <w:szCs w:val="16"/>
              </w:rPr>
              <w:t>Viena</w:t>
            </w:r>
            <w:r w:rsidRPr="0057422E">
              <w:rPr>
                <w:rFonts w:ascii="Times New Roman" w:eastAsiaTheme="minorHAnsi" w:hAnsi="Times New Roman"/>
                <w:b/>
                <w:sz w:val="16"/>
                <w:szCs w:val="16"/>
              </w:rPr>
              <w:t xml:space="preserve"> </w:t>
            </w:r>
            <w:r w:rsidRPr="00DB6AD1">
              <w:rPr>
                <w:rFonts w:ascii="Times New Roman" w:eastAsiaTheme="minorHAnsi" w:hAnsi="Times New Roman"/>
                <w:sz w:val="16"/>
                <w:szCs w:val="16"/>
              </w:rPr>
              <w:t>simulācijas</w:t>
            </w:r>
            <w:r w:rsidRPr="0057422E">
              <w:rPr>
                <w:rFonts w:ascii="Times New Roman" w:hAnsi="Times New Roman"/>
                <w:sz w:val="16"/>
                <w:szCs w:val="16"/>
              </w:rPr>
              <w:t xml:space="preserve"> komplekta vidējās izmaksas veido 59 750 EUR, atkarībā no nozares specifikas no 22 000 EUR līdz 97 500 EUR</w:t>
            </w:r>
            <w:r w:rsidRPr="0057422E">
              <w:rPr>
                <w:rFonts w:ascii="Times New Roman" w:eastAsiaTheme="minorHAnsi" w:hAnsi="Times New Roman"/>
                <w:sz w:val="16"/>
                <w:szCs w:val="16"/>
              </w:rPr>
              <w:t xml:space="preserve"> tās ietver izmaksas par simulācijas iekārtām, IT programmām vai spēļu iepirkšanu, uzstādīšanas izmaksas izglītības iestādēs, apkopes izmaksas garantijas laikā, metodisko līdzekļu sagatavošanu, t.sk., instrukciju tulkošana, instruktāžu.</w:t>
            </w:r>
            <w:r>
              <w:rPr>
                <w:rFonts w:ascii="Times New Roman" w:eastAsiaTheme="minorHAnsi" w:hAnsi="Times New Roman"/>
                <w:sz w:val="16"/>
                <w:szCs w:val="16"/>
              </w:rPr>
              <w:t xml:space="preserve"> </w:t>
            </w:r>
            <w:r w:rsidRPr="0057422E">
              <w:rPr>
                <w:rFonts w:ascii="Times New Roman" w:eastAsiaTheme="minorHAnsi" w:hAnsi="Times New Roman"/>
                <w:sz w:val="16"/>
                <w:szCs w:val="16"/>
              </w:rPr>
              <w:t xml:space="preserve">Katrā nozarē indikatīvi 2 simulācijas, kopā paredzēts iegādāties 48 simulāciju komplektus = </w:t>
            </w:r>
            <w:r w:rsidR="00841F89">
              <w:rPr>
                <w:rFonts w:ascii="Times New Roman" w:eastAsiaTheme="minorHAnsi" w:hAnsi="Times New Roman"/>
                <w:sz w:val="16"/>
                <w:szCs w:val="16"/>
              </w:rPr>
              <w:t>1 556 457</w:t>
            </w:r>
            <w:r w:rsidR="004035C2">
              <w:rPr>
                <w:rFonts w:ascii="Times New Roman" w:eastAsiaTheme="minorHAnsi" w:hAnsi="Times New Roman"/>
                <w:sz w:val="16"/>
                <w:szCs w:val="16"/>
              </w:rPr>
              <w:t xml:space="preserve"> </w:t>
            </w:r>
            <w:r w:rsidRPr="0057422E">
              <w:rPr>
                <w:rFonts w:ascii="Times New Roman" w:eastAsiaTheme="minorHAnsi" w:hAnsi="Times New Roman"/>
                <w:sz w:val="16"/>
                <w:szCs w:val="16"/>
              </w:rPr>
              <w:t>EUR.</w:t>
            </w:r>
          </w:p>
          <w:p w14:paraId="4AAE24F6" w14:textId="5F572D50" w:rsidR="00232E55" w:rsidRPr="00DC53C2" w:rsidRDefault="008530D5" w:rsidP="00232E55">
            <w:pPr>
              <w:spacing w:after="0" w:line="240" w:lineRule="auto"/>
              <w:jc w:val="both"/>
              <w:rPr>
                <w:rFonts w:ascii="Times New Roman" w:eastAsiaTheme="minorHAnsi" w:hAnsi="Times New Roman"/>
                <w:sz w:val="16"/>
                <w:szCs w:val="16"/>
              </w:rPr>
            </w:pPr>
            <w:r>
              <w:rPr>
                <w:rFonts w:ascii="Times New Roman" w:eastAsiaTheme="minorHAnsi" w:hAnsi="Times New Roman"/>
                <w:sz w:val="16"/>
                <w:szCs w:val="16"/>
              </w:rPr>
              <w:t xml:space="preserve">Ekspertīzes nodrošināšana modulāro profesionālās izglītības programmu izstrādei, iegādāto un izstrādāto mācību </w:t>
            </w:r>
            <w:r w:rsidR="00841F89">
              <w:rPr>
                <w:rFonts w:ascii="Times New Roman" w:eastAsiaTheme="minorHAnsi" w:hAnsi="Times New Roman"/>
                <w:sz w:val="16"/>
                <w:szCs w:val="16"/>
              </w:rPr>
              <w:t xml:space="preserve">līdzekļu (t.sk. digitālo mācību līdzekļu) </w:t>
            </w:r>
            <w:r>
              <w:rPr>
                <w:rFonts w:ascii="Times New Roman" w:eastAsiaTheme="minorHAnsi" w:hAnsi="Times New Roman"/>
                <w:sz w:val="16"/>
                <w:szCs w:val="16"/>
              </w:rPr>
              <w:t>saturam</w:t>
            </w:r>
            <w:r w:rsidR="00841F89">
              <w:rPr>
                <w:rFonts w:ascii="Times New Roman" w:eastAsiaTheme="minorHAnsi" w:hAnsi="Times New Roman"/>
                <w:sz w:val="16"/>
                <w:szCs w:val="16"/>
              </w:rPr>
              <w:t xml:space="preserve"> un iegādātajām simulācijas iekārtām 569 588 EUR. </w:t>
            </w:r>
            <w:r w:rsidR="00232E55">
              <w:rPr>
                <w:rFonts w:ascii="Times New Roman" w:eastAsiaTheme="minorHAnsi" w:hAnsi="Times New Roman"/>
                <w:sz w:val="16"/>
                <w:szCs w:val="16"/>
              </w:rPr>
              <w:t>Administratīvās izmaksas 1 257 860 EUR.</w:t>
            </w:r>
          </w:p>
          <w:p w14:paraId="40DB5352" w14:textId="77777777" w:rsidR="00BB6449" w:rsidRPr="00DC53C2" w:rsidRDefault="00BB6449" w:rsidP="002F7F81">
            <w:pPr>
              <w:spacing w:after="0" w:line="240" w:lineRule="auto"/>
              <w:jc w:val="both"/>
              <w:rPr>
                <w:rFonts w:ascii="Times New Roman" w:eastAsiaTheme="minorHAnsi" w:hAnsi="Times New Roman"/>
                <w:sz w:val="16"/>
                <w:szCs w:val="16"/>
              </w:rPr>
            </w:pPr>
          </w:p>
          <w:p w14:paraId="64AFB225" w14:textId="77777777" w:rsidR="00E345C8" w:rsidRPr="00DC53C2" w:rsidRDefault="00E345C8" w:rsidP="00FA05C1">
            <w:pPr>
              <w:spacing w:after="0" w:line="240" w:lineRule="auto"/>
              <w:jc w:val="both"/>
              <w:rPr>
                <w:rFonts w:ascii="Times New Roman" w:eastAsiaTheme="minorHAnsi" w:hAnsi="Times New Roman"/>
                <w:i/>
                <w:sz w:val="16"/>
                <w:szCs w:val="16"/>
              </w:rPr>
            </w:pPr>
          </w:p>
          <w:p w14:paraId="435228E8" w14:textId="7481905C" w:rsidR="00C71E79" w:rsidRPr="00DC53C2" w:rsidRDefault="00C71E79" w:rsidP="00FA05C1">
            <w:pPr>
              <w:spacing w:after="0" w:line="240" w:lineRule="auto"/>
              <w:jc w:val="both"/>
              <w:rPr>
                <w:rFonts w:ascii="Times New Roman" w:eastAsiaTheme="minorHAnsi" w:hAnsi="Times New Roman"/>
                <w:i/>
                <w:sz w:val="16"/>
                <w:szCs w:val="16"/>
              </w:rPr>
            </w:pPr>
            <w:r w:rsidRPr="00DC53C2">
              <w:rPr>
                <w:rFonts w:ascii="Times New Roman" w:eastAsiaTheme="minorHAnsi" w:hAnsi="Times New Roman"/>
                <w:i/>
                <w:sz w:val="16"/>
                <w:szCs w:val="16"/>
              </w:rPr>
              <w:t>Iznākuma rādītājam sasniegšanai paredzētais finansējums</w:t>
            </w:r>
            <w:r w:rsidR="00454880" w:rsidRPr="00DC53C2">
              <w:rPr>
                <w:rFonts w:ascii="Times New Roman" w:eastAsiaTheme="minorHAnsi" w:hAnsi="Times New Roman"/>
                <w:i/>
                <w:sz w:val="16"/>
                <w:szCs w:val="16"/>
              </w:rPr>
              <w:t>:</w:t>
            </w:r>
          </w:p>
          <w:p w14:paraId="41F82299" w14:textId="438369B1" w:rsidR="00997E09" w:rsidRPr="00DC53C2" w:rsidRDefault="00BD7A55" w:rsidP="008823C2">
            <w:pPr>
              <w:spacing w:after="0" w:line="240" w:lineRule="auto"/>
              <w:jc w:val="both"/>
              <w:rPr>
                <w:rFonts w:ascii="Times New Roman" w:eastAsiaTheme="minorHAnsi" w:hAnsi="Times New Roman"/>
                <w:i/>
                <w:sz w:val="16"/>
                <w:szCs w:val="16"/>
              </w:rPr>
            </w:pPr>
            <w:r>
              <w:rPr>
                <w:rFonts w:ascii="Times New Roman" w:hAnsi="Times New Roman"/>
                <w:sz w:val="16"/>
                <w:szCs w:val="16"/>
              </w:rPr>
              <w:t xml:space="preserve">  </w:t>
            </w:r>
            <w:r w:rsidR="008530D5">
              <w:rPr>
                <w:rFonts w:ascii="Times New Roman" w:hAnsi="Times New Roman"/>
                <w:sz w:val="16"/>
                <w:szCs w:val="16"/>
              </w:rPr>
              <w:t>7 547 905</w:t>
            </w:r>
            <w:r w:rsidR="00AA2B98" w:rsidRPr="00DC53C2">
              <w:rPr>
                <w:rFonts w:ascii="Times New Roman" w:hAnsi="Times New Roman"/>
                <w:sz w:val="16"/>
                <w:szCs w:val="16"/>
              </w:rPr>
              <w:t xml:space="preserve"> </w:t>
            </w:r>
            <w:r w:rsidR="00595B58" w:rsidRPr="00DC53C2">
              <w:rPr>
                <w:rFonts w:ascii="Times New Roman" w:eastAsiaTheme="minorHAnsi" w:hAnsi="Times New Roman"/>
                <w:i/>
                <w:sz w:val="16"/>
                <w:szCs w:val="16"/>
              </w:rPr>
              <w:t>EUR</w:t>
            </w:r>
          </w:p>
          <w:p w14:paraId="03D39777" w14:textId="77777777" w:rsidR="000D71AA" w:rsidRDefault="000D71AA" w:rsidP="000D71AA">
            <w:pPr>
              <w:spacing w:after="0" w:line="240" w:lineRule="auto"/>
              <w:jc w:val="both"/>
              <w:rPr>
                <w:rFonts w:ascii="Times New Roman" w:eastAsiaTheme="minorHAnsi" w:hAnsi="Times New Roman"/>
                <w:i/>
                <w:sz w:val="16"/>
                <w:szCs w:val="16"/>
              </w:rPr>
            </w:pPr>
          </w:p>
          <w:p w14:paraId="67666534" w14:textId="77777777" w:rsidR="000D71AA" w:rsidRDefault="000D71AA" w:rsidP="000D71AA">
            <w:pPr>
              <w:spacing w:after="0" w:line="240" w:lineRule="auto"/>
              <w:jc w:val="both"/>
              <w:rPr>
                <w:rFonts w:ascii="Times New Roman" w:eastAsiaTheme="minorHAnsi" w:hAnsi="Times New Roman"/>
                <w:i/>
                <w:sz w:val="16"/>
                <w:szCs w:val="16"/>
              </w:rPr>
            </w:pPr>
            <w:r w:rsidRPr="006A015F">
              <w:rPr>
                <w:rFonts w:ascii="Times New Roman" w:eastAsiaTheme="minorHAnsi" w:hAnsi="Times New Roman"/>
                <w:i/>
                <w:sz w:val="16"/>
                <w:szCs w:val="16"/>
              </w:rPr>
              <w:t xml:space="preserve">Darbība, kas liek uzskatīt mērķa vērtību par izpildītu:  </w:t>
            </w:r>
          </w:p>
          <w:p w14:paraId="75C34FDC" w14:textId="77777777" w:rsidR="00844378" w:rsidRPr="0013267D" w:rsidRDefault="00844378" w:rsidP="00844378">
            <w:pPr>
              <w:spacing w:after="0" w:line="240" w:lineRule="auto"/>
              <w:jc w:val="both"/>
              <w:rPr>
                <w:rFonts w:ascii="Times New Roman" w:hAnsi="Times New Roman"/>
                <w:sz w:val="16"/>
                <w:szCs w:val="16"/>
              </w:rPr>
            </w:pPr>
            <w:r w:rsidRPr="0013267D">
              <w:rPr>
                <w:rFonts w:ascii="Times New Roman" w:eastAsiaTheme="minorHAnsi" w:hAnsi="Times New Roman"/>
                <w:sz w:val="16"/>
                <w:szCs w:val="16"/>
              </w:rPr>
              <w:lastRenderedPageBreak/>
              <w:t xml:space="preserve">Iznākuma rādītāju uzskata par sasniegtu brīdī, kad </w:t>
            </w:r>
            <w:r w:rsidRPr="0013267D">
              <w:rPr>
                <w:rFonts w:ascii="Times New Roman" w:hAnsi="Times New Roman"/>
                <w:sz w:val="16"/>
                <w:szCs w:val="16"/>
              </w:rPr>
              <w:t>ir uzsākta modulārās profesionālās izglītības programmas izstrāde, proti, ir noslēgts līgums par modulāro profesionālās izglītības programmas izstrādi. Rādītāja mērķa vērtības (2023.gadā) sasniegšanu apstiprina pamatojošais dokuments -  līgums (pakalpojuma vai autoratlīdzību) par modulārās profesionālās izglītības programmas izstrādi.</w:t>
            </w:r>
          </w:p>
          <w:p w14:paraId="3AC5E8CC" w14:textId="77777777" w:rsidR="001A1B43" w:rsidRPr="00DC53C2" w:rsidRDefault="001A1B43" w:rsidP="001F0D2E">
            <w:pPr>
              <w:spacing w:after="0" w:line="240" w:lineRule="auto"/>
              <w:jc w:val="both"/>
              <w:rPr>
                <w:rFonts w:ascii="Times New Roman" w:eastAsiaTheme="minorHAnsi" w:hAnsi="Times New Roman"/>
                <w:sz w:val="16"/>
                <w:szCs w:val="16"/>
              </w:rPr>
            </w:pPr>
          </w:p>
        </w:tc>
        <w:tc>
          <w:tcPr>
            <w:tcW w:w="2612" w:type="dxa"/>
          </w:tcPr>
          <w:p w14:paraId="5580A6FC" w14:textId="77777777" w:rsidR="001F0C54" w:rsidRPr="00DC53C2" w:rsidRDefault="001F0C54" w:rsidP="00FA05C1">
            <w:pPr>
              <w:spacing w:after="0" w:line="240" w:lineRule="auto"/>
              <w:jc w:val="both"/>
              <w:rPr>
                <w:rFonts w:ascii="Times New Roman" w:eastAsiaTheme="minorHAnsi" w:hAnsi="Times New Roman"/>
                <w:i/>
                <w:sz w:val="16"/>
                <w:szCs w:val="16"/>
              </w:rPr>
            </w:pPr>
            <w:r w:rsidRPr="00DC53C2">
              <w:rPr>
                <w:rFonts w:ascii="Times New Roman" w:eastAsiaTheme="minorHAnsi" w:hAnsi="Times New Roman"/>
                <w:i/>
                <w:sz w:val="16"/>
                <w:szCs w:val="16"/>
              </w:rPr>
              <w:lastRenderedPageBreak/>
              <w:t>Starpposma</w:t>
            </w:r>
            <w:r w:rsidR="00047169" w:rsidRPr="00DC53C2">
              <w:rPr>
                <w:rFonts w:ascii="Times New Roman" w:eastAsiaTheme="minorHAnsi" w:hAnsi="Times New Roman"/>
                <w:i/>
                <w:sz w:val="16"/>
                <w:szCs w:val="16"/>
              </w:rPr>
              <w:t xml:space="preserve"> vērtība 2018. gadam</w:t>
            </w:r>
            <w:r w:rsidRPr="00DC53C2">
              <w:rPr>
                <w:rFonts w:ascii="Times New Roman" w:eastAsiaTheme="minorHAnsi" w:hAnsi="Times New Roman"/>
                <w:i/>
                <w:sz w:val="16"/>
                <w:szCs w:val="16"/>
              </w:rPr>
              <w:t>:</w:t>
            </w:r>
            <w:r w:rsidR="00A44E97" w:rsidRPr="00DC53C2">
              <w:rPr>
                <w:rFonts w:ascii="Times New Roman" w:eastAsiaTheme="minorHAnsi" w:hAnsi="Times New Roman"/>
                <w:sz w:val="16"/>
                <w:szCs w:val="16"/>
              </w:rPr>
              <w:t xml:space="preserve"> </w:t>
            </w:r>
          </w:p>
          <w:p w14:paraId="4392F953" w14:textId="77777777" w:rsidR="001F0C54" w:rsidRPr="00DC53C2" w:rsidRDefault="000F6155" w:rsidP="00FA05C1">
            <w:pPr>
              <w:spacing w:after="0" w:line="240" w:lineRule="auto"/>
              <w:jc w:val="both"/>
              <w:rPr>
                <w:rFonts w:ascii="Times New Roman" w:eastAsiaTheme="minorHAnsi" w:hAnsi="Times New Roman"/>
                <w:i/>
                <w:sz w:val="16"/>
                <w:szCs w:val="16"/>
              </w:rPr>
            </w:pPr>
            <w:r w:rsidRPr="00DC53C2">
              <w:rPr>
                <w:rFonts w:ascii="Times New Roman" w:eastAsiaTheme="minorHAnsi" w:hAnsi="Times New Roman"/>
                <w:i/>
                <w:sz w:val="16"/>
                <w:szCs w:val="16"/>
              </w:rPr>
              <w:t>5 821 430</w:t>
            </w:r>
            <w:r w:rsidR="00B92A4E" w:rsidRPr="00DC53C2">
              <w:rPr>
                <w:rFonts w:ascii="Times New Roman" w:eastAsiaTheme="minorHAnsi" w:hAnsi="Times New Roman"/>
                <w:i/>
                <w:sz w:val="16"/>
                <w:szCs w:val="16"/>
              </w:rPr>
              <w:t xml:space="preserve"> </w:t>
            </w:r>
            <w:r w:rsidR="00603733" w:rsidRPr="00DC53C2">
              <w:rPr>
                <w:rFonts w:ascii="Times New Roman" w:eastAsiaTheme="minorHAnsi" w:hAnsi="Times New Roman"/>
                <w:i/>
                <w:sz w:val="16"/>
                <w:szCs w:val="16"/>
              </w:rPr>
              <w:t>EUR</w:t>
            </w:r>
            <w:r w:rsidRPr="00DC53C2">
              <w:rPr>
                <w:rFonts w:ascii="Times New Roman" w:eastAsiaTheme="minorHAnsi" w:hAnsi="Times New Roman"/>
                <w:i/>
                <w:sz w:val="16"/>
                <w:szCs w:val="16"/>
              </w:rPr>
              <w:t xml:space="preserve"> (45% no SAM 8.5.2. paredzētā kopējā finansējuma)</w:t>
            </w:r>
          </w:p>
          <w:p w14:paraId="7873AE94" w14:textId="77777777" w:rsidR="00E345C8" w:rsidRPr="00DC53C2" w:rsidRDefault="00E345C8" w:rsidP="00FA05C1">
            <w:pPr>
              <w:spacing w:after="0" w:line="240" w:lineRule="auto"/>
              <w:jc w:val="both"/>
              <w:rPr>
                <w:rFonts w:ascii="Times New Roman" w:eastAsiaTheme="minorHAnsi" w:hAnsi="Times New Roman"/>
                <w:i/>
                <w:sz w:val="16"/>
                <w:szCs w:val="16"/>
              </w:rPr>
            </w:pPr>
          </w:p>
          <w:p w14:paraId="08FD6445" w14:textId="30D38AE9" w:rsidR="001F0C54" w:rsidRPr="00DC53C2" w:rsidRDefault="001F0C54" w:rsidP="00FA05C1">
            <w:pPr>
              <w:spacing w:after="0" w:line="240" w:lineRule="auto"/>
              <w:jc w:val="both"/>
              <w:rPr>
                <w:rFonts w:ascii="Times New Roman" w:eastAsiaTheme="minorHAnsi" w:hAnsi="Times New Roman"/>
                <w:sz w:val="16"/>
                <w:szCs w:val="16"/>
              </w:rPr>
            </w:pPr>
            <w:r w:rsidRPr="00DC53C2">
              <w:rPr>
                <w:rFonts w:ascii="Times New Roman" w:eastAsiaTheme="minorHAnsi" w:hAnsi="Times New Roman"/>
                <w:i/>
                <w:sz w:val="16"/>
                <w:szCs w:val="16"/>
              </w:rPr>
              <w:t xml:space="preserve">Mērķis 2023. </w:t>
            </w:r>
            <w:r w:rsidR="00047169" w:rsidRPr="00DC53C2">
              <w:rPr>
                <w:rFonts w:ascii="Times New Roman" w:eastAsiaTheme="minorHAnsi" w:hAnsi="Times New Roman"/>
                <w:i/>
                <w:sz w:val="16"/>
                <w:szCs w:val="16"/>
              </w:rPr>
              <w:t>g</w:t>
            </w:r>
            <w:r w:rsidRPr="00DC53C2">
              <w:rPr>
                <w:rFonts w:ascii="Times New Roman" w:eastAsiaTheme="minorHAnsi" w:hAnsi="Times New Roman"/>
                <w:i/>
                <w:sz w:val="16"/>
                <w:szCs w:val="16"/>
              </w:rPr>
              <w:t>adam</w:t>
            </w:r>
            <w:r w:rsidR="00047169" w:rsidRPr="00DC53C2">
              <w:rPr>
                <w:rFonts w:ascii="Times New Roman" w:eastAsiaTheme="minorHAnsi" w:hAnsi="Times New Roman"/>
                <w:i/>
                <w:sz w:val="16"/>
                <w:szCs w:val="16"/>
              </w:rPr>
              <w:t xml:space="preserve"> (vien</w:t>
            </w:r>
            <w:r w:rsidR="00CC5A95" w:rsidRPr="00DC53C2">
              <w:rPr>
                <w:rFonts w:ascii="Times New Roman" w:eastAsiaTheme="minorHAnsi" w:hAnsi="Times New Roman"/>
                <w:i/>
                <w:sz w:val="16"/>
                <w:szCs w:val="16"/>
              </w:rPr>
              <w:t>āds</w:t>
            </w:r>
            <w:r w:rsidR="00047169" w:rsidRPr="00DC53C2">
              <w:rPr>
                <w:rFonts w:ascii="Times New Roman" w:eastAsiaTheme="minorHAnsi" w:hAnsi="Times New Roman"/>
                <w:i/>
                <w:sz w:val="16"/>
                <w:szCs w:val="16"/>
              </w:rPr>
              <w:t xml:space="preserve"> ar </w:t>
            </w:r>
            <w:r w:rsidR="00CC5A95" w:rsidRPr="00DC53C2">
              <w:rPr>
                <w:rFonts w:ascii="Times New Roman" w:eastAsiaTheme="minorHAnsi" w:hAnsi="Times New Roman"/>
                <w:i/>
                <w:sz w:val="16"/>
                <w:szCs w:val="16"/>
              </w:rPr>
              <w:t xml:space="preserve"> 100 % no  SAM paredzētā kopējā finansējuma</w:t>
            </w:r>
            <w:r w:rsidR="00047169" w:rsidRPr="00DC53C2">
              <w:rPr>
                <w:rFonts w:ascii="Times New Roman" w:eastAsiaTheme="minorHAnsi" w:hAnsi="Times New Roman"/>
                <w:i/>
                <w:sz w:val="16"/>
                <w:szCs w:val="16"/>
              </w:rPr>
              <w:t>)</w:t>
            </w:r>
            <w:r w:rsidRPr="00DC53C2">
              <w:rPr>
                <w:rFonts w:ascii="Times New Roman" w:eastAsiaTheme="minorHAnsi" w:hAnsi="Times New Roman"/>
                <w:i/>
                <w:sz w:val="16"/>
                <w:szCs w:val="16"/>
              </w:rPr>
              <w:t>:</w:t>
            </w:r>
            <w:r w:rsidR="00B92A4E" w:rsidRPr="00DC53C2">
              <w:rPr>
                <w:rFonts w:ascii="Times New Roman" w:eastAsiaTheme="minorHAnsi" w:hAnsi="Times New Roman"/>
                <w:i/>
                <w:sz w:val="16"/>
                <w:szCs w:val="16"/>
              </w:rPr>
              <w:t xml:space="preserve"> </w:t>
            </w:r>
            <w:r w:rsidR="00551FCA" w:rsidRPr="00551FCA">
              <w:rPr>
                <w:rFonts w:ascii="Times New Roman" w:hAnsi="Times New Roman"/>
                <w:sz w:val="16"/>
                <w:szCs w:val="16"/>
                <w:shd w:val="clear" w:color="auto" w:fill="FFFFFF"/>
              </w:rPr>
              <w:t>12 572</w:t>
            </w:r>
            <w:r w:rsidR="00551FCA">
              <w:rPr>
                <w:rFonts w:ascii="Times New Roman" w:hAnsi="Times New Roman"/>
                <w:sz w:val="16"/>
                <w:szCs w:val="16"/>
                <w:shd w:val="clear" w:color="auto" w:fill="FFFFFF"/>
              </w:rPr>
              <w:t> </w:t>
            </w:r>
            <w:r w:rsidR="00551FCA" w:rsidRPr="00551FCA">
              <w:rPr>
                <w:rFonts w:ascii="Times New Roman" w:hAnsi="Times New Roman"/>
                <w:sz w:val="16"/>
                <w:szCs w:val="16"/>
                <w:shd w:val="clear" w:color="auto" w:fill="FFFFFF"/>
              </w:rPr>
              <w:t>584</w:t>
            </w:r>
            <w:r w:rsidR="00551FCA">
              <w:rPr>
                <w:rFonts w:ascii="Times New Roman" w:hAnsi="Times New Roman"/>
                <w:sz w:val="16"/>
                <w:szCs w:val="16"/>
                <w:shd w:val="clear" w:color="auto" w:fill="FFFFFF"/>
              </w:rPr>
              <w:t xml:space="preserve"> </w:t>
            </w:r>
            <w:r w:rsidR="00603733" w:rsidRPr="00DC53C2">
              <w:rPr>
                <w:rFonts w:ascii="Times New Roman" w:eastAsiaTheme="minorHAnsi" w:hAnsi="Times New Roman"/>
                <w:sz w:val="16"/>
                <w:szCs w:val="16"/>
              </w:rPr>
              <w:t xml:space="preserve">EUR </w:t>
            </w:r>
          </w:p>
          <w:p w14:paraId="7BFC7252" w14:textId="77777777" w:rsidR="001F0C54" w:rsidRPr="00DC53C2" w:rsidRDefault="001F0C54" w:rsidP="00FA05C1">
            <w:pPr>
              <w:spacing w:after="0" w:line="240" w:lineRule="auto"/>
              <w:jc w:val="both"/>
              <w:rPr>
                <w:rFonts w:ascii="Times New Roman" w:eastAsiaTheme="minorHAnsi" w:hAnsi="Times New Roman"/>
                <w:i/>
                <w:sz w:val="16"/>
                <w:szCs w:val="16"/>
              </w:rPr>
            </w:pPr>
          </w:p>
          <w:p w14:paraId="1EBAAA07" w14:textId="77777777" w:rsidR="008A74AE" w:rsidRPr="00DC53C2" w:rsidRDefault="001F0C54" w:rsidP="00FA05C1">
            <w:pPr>
              <w:spacing w:after="0" w:line="240" w:lineRule="auto"/>
              <w:jc w:val="both"/>
              <w:rPr>
                <w:rFonts w:ascii="Times New Roman" w:eastAsiaTheme="minorHAnsi" w:hAnsi="Times New Roman"/>
                <w:i/>
                <w:sz w:val="16"/>
                <w:szCs w:val="16"/>
              </w:rPr>
            </w:pPr>
            <w:r w:rsidRPr="00DC53C2">
              <w:rPr>
                <w:rFonts w:ascii="Times New Roman" w:eastAsiaTheme="minorHAnsi" w:hAnsi="Times New Roman"/>
                <w:i/>
                <w:sz w:val="16"/>
                <w:szCs w:val="16"/>
              </w:rPr>
              <w:t xml:space="preserve">Starpposma vērtības noteikšanas aprēķins: </w:t>
            </w:r>
            <w:r w:rsidR="008A74AE" w:rsidRPr="00DC53C2">
              <w:rPr>
                <w:rFonts w:ascii="Times New Roman" w:eastAsiaTheme="minorHAnsi" w:hAnsi="Times New Roman"/>
                <w:i/>
                <w:sz w:val="16"/>
                <w:szCs w:val="16"/>
              </w:rPr>
              <w:t>ievērojot to</w:t>
            </w:r>
            <w:r w:rsidR="00D21F36" w:rsidRPr="00DC53C2">
              <w:rPr>
                <w:rFonts w:ascii="Times New Roman" w:eastAsiaTheme="minorHAnsi" w:hAnsi="Times New Roman"/>
                <w:i/>
                <w:sz w:val="16"/>
                <w:szCs w:val="16"/>
              </w:rPr>
              <w:t>, ka</w:t>
            </w:r>
            <w:r w:rsidR="008A74AE" w:rsidRPr="00DC53C2">
              <w:rPr>
                <w:rFonts w:ascii="Times New Roman" w:eastAsiaTheme="minorHAnsi" w:hAnsi="Times New Roman"/>
                <w:i/>
                <w:sz w:val="16"/>
                <w:szCs w:val="16"/>
              </w:rPr>
              <w:t>:</w:t>
            </w:r>
          </w:p>
          <w:p w14:paraId="7A199A4B" w14:textId="6A8C1E22" w:rsidR="008A74AE" w:rsidRPr="00DC53C2" w:rsidRDefault="008A74AE" w:rsidP="00FA05C1">
            <w:pPr>
              <w:spacing w:after="0" w:line="240" w:lineRule="auto"/>
              <w:jc w:val="both"/>
              <w:rPr>
                <w:rFonts w:ascii="Times New Roman" w:eastAsiaTheme="minorHAnsi" w:hAnsi="Times New Roman"/>
                <w:i/>
                <w:sz w:val="16"/>
                <w:szCs w:val="16"/>
              </w:rPr>
            </w:pPr>
            <w:r w:rsidRPr="00DC53C2">
              <w:rPr>
                <w:rFonts w:ascii="Times New Roman" w:eastAsiaTheme="minorHAnsi" w:hAnsi="Times New Roman"/>
                <w:i/>
                <w:sz w:val="16"/>
                <w:szCs w:val="16"/>
              </w:rPr>
              <w:t>a)</w:t>
            </w:r>
            <w:r w:rsidR="00D21F36" w:rsidRPr="00DC53C2">
              <w:rPr>
                <w:rFonts w:ascii="Times New Roman" w:eastAsiaTheme="minorHAnsi" w:hAnsi="Times New Roman"/>
                <w:i/>
                <w:sz w:val="16"/>
                <w:szCs w:val="16"/>
              </w:rPr>
              <w:t xml:space="preserve"> projekta īstenošana varētu sākties 201</w:t>
            </w:r>
            <w:r w:rsidR="00642FB1" w:rsidRPr="00DC53C2">
              <w:rPr>
                <w:rFonts w:ascii="Times New Roman" w:eastAsiaTheme="minorHAnsi" w:hAnsi="Times New Roman"/>
                <w:i/>
                <w:sz w:val="16"/>
                <w:szCs w:val="16"/>
              </w:rPr>
              <w:t>6</w:t>
            </w:r>
            <w:r w:rsidR="00D21F36" w:rsidRPr="00DC53C2">
              <w:rPr>
                <w:rFonts w:ascii="Times New Roman" w:eastAsiaTheme="minorHAnsi" w:hAnsi="Times New Roman"/>
                <w:i/>
                <w:sz w:val="16"/>
                <w:szCs w:val="16"/>
              </w:rPr>
              <w:t xml:space="preserve">.gada </w:t>
            </w:r>
            <w:r w:rsidR="00642FB1" w:rsidRPr="00DC53C2">
              <w:rPr>
                <w:rFonts w:ascii="Times New Roman" w:eastAsiaTheme="minorHAnsi" w:hAnsi="Times New Roman"/>
                <w:i/>
                <w:sz w:val="16"/>
                <w:szCs w:val="16"/>
              </w:rPr>
              <w:t>2</w:t>
            </w:r>
            <w:r w:rsidRPr="00DC53C2">
              <w:rPr>
                <w:rFonts w:ascii="Times New Roman" w:eastAsiaTheme="minorHAnsi" w:hAnsi="Times New Roman"/>
                <w:i/>
                <w:sz w:val="16"/>
                <w:szCs w:val="16"/>
              </w:rPr>
              <w:t>.ceturksnī;</w:t>
            </w:r>
          </w:p>
          <w:p w14:paraId="43412196" w14:textId="1CB91BE6" w:rsidR="00921BC8" w:rsidRPr="00DC53C2" w:rsidRDefault="00921BC8" w:rsidP="00921BC8">
            <w:pPr>
              <w:spacing w:after="0" w:line="240" w:lineRule="auto"/>
              <w:jc w:val="both"/>
              <w:rPr>
                <w:rFonts w:ascii="Times New Roman" w:eastAsiaTheme="minorHAnsi" w:hAnsi="Times New Roman"/>
                <w:i/>
                <w:sz w:val="16"/>
                <w:szCs w:val="16"/>
              </w:rPr>
            </w:pPr>
            <w:r w:rsidRPr="00DC53C2">
              <w:rPr>
                <w:rFonts w:ascii="Times New Roman" w:eastAsiaTheme="minorHAnsi" w:hAnsi="Times New Roman"/>
                <w:i/>
                <w:sz w:val="16"/>
                <w:szCs w:val="16"/>
              </w:rPr>
              <w:t xml:space="preserve">b) </w:t>
            </w:r>
            <w:r w:rsidR="00642FB1" w:rsidRPr="00DC53C2">
              <w:rPr>
                <w:rFonts w:ascii="Times New Roman" w:eastAsiaTheme="minorHAnsi" w:hAnsi="Times New Roman"/>
                <w:i/>
                <w:sz w:val="16"/>
                <w:szCs w:val="16"/>
              </w:rPr>
              <w:t xml:space="preserve">projekts </w:t>
            </w:r>
            <w:r w:rsidRPr="00DC53C2">
              <w:rPr>
                <w:rFonts w:ascii="Times New Roman" w:eastAsiaTheme="minorHAnsi" w:hAnsi="Times New Roman"/>
                <w:i/>
                <w:sz w:val="16"/>
                <w:szCs w:val="16"/>
              </w:rPr>
              <w:t xml:space="preserve">tiks </w:t>
            </w:r>
            <w:r w:rsidR="00642FB1" w:rsidRPr="00DC53C2">
              <w:rPr>
                <w:rFonts w:ascii="Times New Roman" w:eastAsiaTheme="minorHAnsi" w:hAnsi="Times New Roman"/>
                <w:i/>
                <w:sz w:val="16"/>
                <w:szCs w:val="16"/>
              </w:rPr>
              <w:t xml:space="preserve">īstenots </w:t>
            </w:r>
            <w:r w:rsidRPr="00DC53C2">
              <w:rPr>
                <w:rFonts w:ascii="Times New Roman" w:eastAsiaTheme="minorHAnsi" w:hAnsi="Times New Roman"/>
                <w:i/>
                <w:sz w:val="16"/>
                <w:szCs w:val="16"/>
              </w:rPr>
              <w:t>IPIA veidā;</w:t>
            </w:r>
          </w:p>
          <w:p w14:paraId="34B25886" w14:textId="44D12239" w:rsidR="00D01D88" w:rsidRPr="00DC53C2" w:rsidRDefault="006B33CE" w:rsidP="000F6155">
            <w:pPr>
              <w:spacing w:after="0" w:line="240" w:lineRule="auto"/>
              <w:jc w:val="both"/>
              <w:rPr>
                <w:rFonts w:ascii="Times New Roman" w:eastAsiaTheme="minorHAnsi" w:hAnsi="Times New Roman"/>
                <w:i/>
                <w:sz w:val="16"/>
                <w:szCs w:val="16"/>
              </w:rPr>
            </w:pPr>
            <w:r w:rsidRPr="00DC53C2">
              <w:rPr>
                <w:rFonts w:ascii="Times New Roman" w:eastAsiaTheme="minorHAnsi" w:hAnsi="Times New Roman"/>
                <w:i/>
                <w:sz w:val="16"/>
                <w:szCs w:val="16"/>
              </w:rPr>
              <w:t>c</w:t>
            </w:r>
            <w:r w:rsidR="00921BC8" w:rsidRPr="00DC53C2">
              <w:rPr>
                <w:rFonts w:ascii="Times New Roman" w:eastAsiaTheme="minorHAnsi" w:hAnsi="Times New Roman"/>
                <w:i/>
                <w:sz w:val="16"/>
                <w:szCs w:val="16"/>
              </w:rPr>
              <w:t>)balstoties uz 1.2.1.1.1.apakšaktivitāt</w:t>
            </w:r>
            <w:r w:rsidR="00642FB1" w:rsidRPr="00DC53C2">
              <w:rPr>
                <w:rFonts w:ascii="Times New Roman" w:eastAsiaTheme="minorHAnsi" w:hAnsi="Times New Roman"/>
                <w:i/>
                <w:sz w:val="16"/>
                <w:szCs w:val="16"/>
              </w:rPr>
              <w:t xml:space="preserve">es </w:t>
            </w:r>
            <w:r w:rsidR="00921BC8" w:rsidRPr="00DC53C2">
              <w:rPr>
                <w:rFonts w:ascii="Times New Roman" w:eastAsiaTheme="minorHAnsi" w:hAnsi="Times New Roman"/>
                <w:i/>
                <w:sz w:val="16"/>
                <w:szCs w:val="16"/>
              </w:rPr>
              <w:t>projekt</w:t>
            </w:r>
            <w:r w:rsidR="00642FB1" w:rsidRPr="00DC53C2">
              <w:rPr>
                <w:rFonts w:ascii="Times New Roman" w:eastAsiaTheme="minorHAnsi" w:hAnsi="Times New Roman"/>
                <w:i/>
                <w:sz w:val="16"/>
                <w:szCs w:val="16"/>
              </w:rPr>
              <w:t>a</w:t>
            </w:r>
            <w:r w:rsidR="00921BC8" w:rsidRPr="00DC53C2">
              <w:rPr>
                <w:rFonts w:ascii="Times New Roman" w:eastAsiaTheme="minorHAnsi" w:hAnsi="Times New Roman"/>
                <w:i/>
                <w:sz w:val="16"/>
                <w:szCs w:val="16"/>
              </w:rPr>
              <w:t xml:space="preserve"> ieviešanas gaitu attiecīgā laika periodā un ieviešanas mehānismu, kuram atbilstošu plānots īstenot arī šajā atbalsta pasākumā, plānots, ka līdz 2018.gada beigām tiks apgūti </w:t>
            </w:r>
            <w:r w:rsidRPr="00DC53C2">
              <w:rPr>
                <w:rFonts w:ascii="Times New Roman" w:eastAsiaTheme="minorHAnsi" w:hAnsi="Times New Roman"/>
                <w:i/>
                <w:sz w:val="16"/>
                <w:szCs w:val="16"/>
              </w:rPr>
              <w:t>45</w:t>
            </w:r>
            <w:r w:rsidR="00921BC8" w:rsidRPr="00DC53C2">
              <w:rPr>
                <w:rFonts w:ascii="Times New Roman" w:eastAsiaTheme="minorHAnsi" w:hAnsi="Times New Roman"/>
                <w:i/>
                <w:sz w:val="16"/>
                <w:szCs w:val="16"/>
              </w:rPr>
              <w:t>% pieejamā finansējuma.</w:t>
            </w:r>
          </w:p>
          <w:p w14:paraId="38FAEF23" w14:textId="77777777" w:rsidR="00D01D88" w:rsidRPr="00DC53C2" w:rsidRDefault="00D01D88" w:rsidP="00FA05C1">
            <w:pPr>
              <w:spacing w:after="0" w:line="240" w:lineRule="auto"/>
              <w:jc w:val="both"/>
              <w:rPr>
                <w:rFonts w:ascii="Times New Roman" w:eastAsiaTheme="minorHAnsi" w:hAnsi="Times New Roman"/>
                <w:bCs/>
                <w:i/>
                <w:sz w:val="16"/>
                <w:szCs w:val="16"/>
              </w:rPr>
            </w:pPr>
          </w:p>
          <w:p w14:paraId="6EE04DB9" w14:textId="77777777" w:rsidR="00A5548E" w:rsidRPr="00DC53C2" w:rsidRDefault="00A5548E" w:rsidP="00C4491B">
            <w:pPr>
              <w:spacing w:after="0" w:line="240" w:lineRule="auto"/>
              <w:jc w:val="both"/>
              <w:rPr>
                <w:rFonts w:ascii="Times New Roman" w:eastAsiaTheme="minorHAnsi" w:hAnsi="Times New Roman"/>
                <w:sz w:val="16"/>
                <w:szCs w:val="16"/>
              </w:rPr>
            </w:pPr>
          </w:p>
        </w:tc>
      </w:tr>
    </w:tbl>
    <w:p w14:paraId="1D4AC3CB" w14:textId="644181CF" w:rsidR="00CB437B" w:rsidRPr="00DC53C2" w:rsidRDefault="00CB437B"/>
    <w:sectPr w:rsidR="00CB437B" w:rsidRPr="00DC53C2" w:rsidSect="001F0C54">
      <w:pgSz w:w="16838" w:h="11906" w:orient="landscape"/>
      <w:pgMar w:top="340" w:right="1440" w:bottom="1440" w:left="144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7EFAB9" w16cid:durableId="224D7B61"/>
  <w16cid:commentId w16cid:paraId="17A080E4" w16cid:durableId="224D7B62"/>
  <w16cid:commentId w16cid:paraId="35616F24" w16cid:durableId="224D7B63"/>
  <w16cid:commentId w16cid:paraId="0077FB19" w16cid:durableId="224D7B64"/>
  <w16cid:commentId w16cid:paraId="54C9E6BC" w16cid:durableId="224D7B65"/>
  <w16cid:commentId w16cid:paraId="2156D9A7" w16cid:durableId="224D7B66"/>
  <w16cid:commentId w16cid:paraId="6E30C875" w16cid:durableId="224D7B67"/>
  <w16cid:commentId w16cid:paraId="5FEB807A" w16cid:durableId="224D7B68"/>
  <w16cid:commentId w16cid:paraId="6043A2C9" w16cid:durableId="224D7B69"/>
  <w16cid:commentId w16cid:paraId="20AA65B4" w16cid:durableId="224D7B6A"/>
  <w16cid:commentId w16cid:paraId="42C085EF" w16cid:durableId="224D7C70"/>
  <w16cid:commentId w16cid:paraId="5AFC3CF6" w16cid:durableId="224D7B6B"/>
  <w16cid:commentId w16cid:paraId="12B33874" w16cid:durableId="224D7B6C"/>
  <w16cid:commentId w16cid:paraId="63D7E65E" w16cid:durableId="224D7B6D"/>
  <w16cid:commentId w16cid:paraId="74C21CC9" w16cid:durableId="221E1FF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B6EB83" w14:textId="77777777" w:rsidR="00FA2647" w:rsidRDefault="00FA2647" w:rsidP="00C109A7">
      <w:pPr>
        <w:spacing w:after="0" w:line="240" w:lineRule="auto"/>
      </w:pPr>
      <w:r>
        <w:separator/>
      </w:r>
    </w:p>
  </w:endnote>
  <w:endnote w:type="continuationSeparator" w:id="0">
    <w:p w14:paraId="7C0D4DDB" w14:textId="77777777" w:rsidR="00FA2647" w:rsidRDefault="00FA2647" w:rsidP="00C109A7">
      <w:pPr>
        <w:spacing w:after="0" w:line="240" w:lineRule="auto"/>
      </w:pPr>
      <w:r>
        <w:continuationSeparator/>
      </w:r>
    </w:p>
  </w:endnote>
  <w:endnote w:type="continuationNotice" w:id="1">
    <w:p w14:paraId="71FFF984" w14:textId="77777777" w:rsidR="00FA2647" w:rsidRDefault="00FA26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D46D37" w14:textId="77777777" w:rsidR="00FA2647" w:rsidRDefault="00FA2647" w:rsidP="00C109A7">
      <w:pPr>
        <w:spacing w:after="0" w:line="240" w:lineRule="auto"/>
      </w:pPr>
      <w:r>
        <w:separator/>
      </w:r>
    </w:p>
  </w:footnote>
  <w:footnote w:type="continuationSeparator" w:id="0">
    <w:p w14:paraId="2393D035" w14:textId="77777777" w:rsidR="00FA2647" w:rsidRDefault="00FA2647" w:rsidP="00C109A7">
      <w:pPr>
        <w:spacing w:after="0" w:line="240" w:lineRule="auto"/>
      </w:pPr>
      <w:r>
        <w:continuationSeparator/>
      </w:r>
    </w:p>
  </w:footnote>
  <w:footnote w:type="continuationNotice" w:id="1">
    <w:p w14:paraId="444ADCD3" w14:textId="77777777" w:rsidR="00FA2647" w:rsidRDefault="00FA2647">
      <w:pPr>
        <w:spacing w:after="0" w:line="240" w:lineRule="auto"/>
      </w:pPr>
    </w:p>
  </w:footnote>
  <w:footnote w:id="2">
    <w:p w14:paraId="12E9AEA9" w14:textId="4E233A9E" w:rsidR="00AA5745" w:rsidRPr="00AA16E0" w:rsidRDefault="001D727E" w:rsidP="00D323DD">
      <w:pPr>
        <w:pStyle w:val="FootnoteText"/>
        <w:jc w:val="both"/>
        <w:rPr>
          <w:rFonts w:ascii="Times New Roman" w:hAnsi="Times New Roman"/>
          <w:sz w:val="16"/>
          <w:szCs w:val="16"/>
        </w:rPr>
      </w:pPr>
      <w:r w:rsidRPr="001D727E">
        <w:rPr>
          <w:rStyle w:val="FootnoteReference"/>
          <w:rFonts w:ascii="Times New Roman" w:hAnsi="Times New Roman"/>
          <w:sz w:val="16"/>
          <w:szCs w:val="16"/>
        </w:rPr>
        <w:footnoteRef/>
      </w:r>
      <w:r w:rsidRPr="001D727E">
        <w:rPr>
          <w:rFonts w:ascii="Times New Roman" w:hAnsi="Times New Roman"/>
          <w:sz w:val="16"/>
          <w:szCs w:val="16"/>
        </w:rPr>
        <w:t xml:space="preserve"> Finanšu rādītāju mērvienība - </w:t>
      </w:r>
      <w:r w:rsidR="00AE59D0">
        <w:rPr>
          <w:rFonts w:ascii="Times New Roman" w:hAnsi="Times New Roman"/>
          <w:i/>
          <w:sz w:val="14"/>
          <w:szCs w:val="14"/>
        </w:rPr>
        <w:t>s</w:t>
      </w:r>
      <w:r w:rsidR="00AE59D0" w:rsidRPr="00014A01">
        <w:rPr>
          <w:rFonts w:ascii="Times New Roman" w:hAnsi="Times New Roman"/>
          <w:i/>
          <w:sz w:val="14"/>
          <w:szCs w:val="14"/>
        </w:rPr>
        <w:t>tarpposma vērtība 2018.gadam ir attiecināmie izdevumi EUR sertificējošās iestādes uzskaites sistēmā līdz 30.06.2019. sertificētie izdevumi, kas finansējuma saņēmējam radušies līdz 31.12.2018. Starpposma vērtības noteikšanā nedrīkst iekļaut snieguma rezerves apjomu 6 %, kamēr mērķis nosakāms iekļaujot rezerves apjomu. Nosakot finanšu rādītājus, izmanto kopējo SAM piešķirot attiecināmo finansējumu (EUR). Finanšu rādītāji tiešā veidā ir saistīti ar piešķirto līdzekļu apguvi un norāda uz progresu, kādā tie tiek apgūti.</w:t>
      </w:r>
    </w:p>
  </w:footnote>
  <w:footnote w:id="3">
    <w:p w14:paraId="5110C34F" w14:textId="4ABAD736" w:rsidR="00AA5745" w:rsidRPr="00AA16E0" w:rsidRDefault="00AA5745" w:rsidP="00D323DD">
      <w:pPr>
        <w:pStyle w:val="FootnoteText"/>
        <w:jc w:val="both"/>
        <w:rPr>
          <w:rFonts w:ascii="Times New Roman" w:hAnsi="Times New Roman"/>
          <w:sz w:val="16"/>
          <w:szCs w:val="16"/>
        </w:rPr>
      </w:pP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50BE2"/>
    <w:multiLevelType w:val="hybridMultilevel"/>
    <w:tmpl w:val="26B44898"/>
    <w:lvl w:ilvl="0" w:tplc="3C32D85E">
      <w:start w:val="1"/>
      <w:numFmt w:val="decimal"/>
      <w:lvlText w:val="(%1)"/>
      <w:lvlJc w:val="left"/>
      <w:pPr>
        <w:ind w:left="644" w:hanging="360"/>
      </w:pPr>
      <w:rPr>
        <w:rFonts w:ascii="Times New Roman" w:hAnsi="Times New Roman" w:cs="Times New Roman" w:hint="default"/>
        <w:b w:val="0"/>
        <w:i w:val="0"/>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090005">
      <w:start w:val="1"/>
      <w:numFmt w:val="decimal"/>
      <w:lvlText w:val="(%4)"/>
      <w:lvlJc w:val="left"/>
      <w:pPr>
        <w:ind w:left="2880" w:hanging="360"/>
      </w:pPr>
      <w:rPr>
        <w:rFonts w:hint="default"/>
      </w:r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C997BB2"/>
    <w:multiLevelType w:val="hybridMultilevel"/>
    <w:tmpl w:val="14F090AE"/>
    <w:lvl w:ilvl="0" w:tplc="20F84964">
      <w:start w:val="2"/>
      <w:numFmt w:val="bullet"/>
      <w:lvlText w:val="-"/>
      <w:lvlJc w:val="left"/>
      <w:pPr>
        <w:ind w:left="405" w:hanging="360"/>
      </w:pPr>
      <w:rPr>
        <w:rFonts w:ascii="Times New Roman" w:eastAsia="Calibri"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2" w15:restartNumberingAfterBreak="0">
    <w:nsid w:val="518D5D90"/>
    <w:multiLevelType w:val="multilevel"/>
    <w:tmpl w:val="FAA2D8E0"/>
    <w:lvl w:ilvl="0">
      <w:start w:val="5"/>
      <w:numFmt w:val="decimal"/>
      <w:lvlText w:val="%1."/>
      <w:lvlJc w:val="left"/>
      <w:pPr>
        <w:ind w:left="1352" w:hanging="360"/>
      </w:pPr>
      <w:rPr>
        <w:rFonts w:ascii="Times New Roman" w:eastAsia="Times New Roman" w:hAnsi="Times New Roman" w:cs="Times New Roman" w:hint="default"/>
        <w:b w:val="0"/>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0"/>
  </w:num>
  <w:num w:numId="2">
    <w:abstractNumId w:val="1"/>
  </w:num>
  <w:num w:numId="3">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9A7"/>
    <w:rsid w:val="0000001E"/>
    <w:rsid w:val="00013ADA"/>
    <w:rsid w:val="000171FF"/>
    <w:rsid w:val="00043314"/>
    <w:rsid w:val="00044B03"/>
    <w:rsid w:val="00047169"/>
    <w:rsid w:val="000512E0"/>
    <w:rsid w:val="000538F8"/>
    <w:rsid w:val="00066AB8"/>
    <w:rsid w:val="0007299A"/>
    <w:rsid w:val="00081259"/>
    <w:rsid w:val="00082545"/>
    <w:rsid w:val="00082588"/>
    <w:rsid w:val="00082C45"/>
    <w:rsid w:val="00097D24"/>
    <w:rsid w:val="000A12CE"/>
    <w:rsid w:val="000A18BB"/>
    <w:rsid w:val="000A6C69"/>
    <w:rsid w:val="000B156A"/>
    <w:rsid w:val="000C3252"/>
    <w:rsid w:val="000C4EFE"/>
    <w:rsid w:val="000C6C8E"/>
    <w:rsid w:val="000D71AA"/>
    <w:rsid w:val="000D7C1E"/>
    <w:rsid w:val="000E56F4"/>
    <w:rsid w:val="000F4F5D"/>
    <w:rsid w:val="000F6155"/>
    <w:rsid w:val="00100A85"/>
    <w:rsid w:val="00103A18"/>
    <w:rsid w:val="001361EF"/>
    <w:rsid w:val="00137074"/>
    <w:rsid w:val="00143A07"/>
    <w:rsid w:val="00176067"/>
    <w:rsid w:val="00180BD3"/>
    <w:rsid w:val="00183F4C"/>
    <w:rsid w:val="00183FB0"/>
    <w:rsid w:val="001842FE"/>
    <w:rsid w:val="00191192"/>
    <w:rsid w:val="00191965"/>
    <w:rsid w:val="001929A5"/>
    <w:rsid w:val="001A1B43"/>
    <w:rsid w:val="001A7FAC"/>
    <w:rsid w:val="001B2800"/>
    <w:rsid w:val="001B3B0A"/>
    <w:rsid w:val="001D21A4"/>
    <w:rsid w:val="001D31B3"/>
    <w:rsid w:val="001D5772"/>
    <w:rsid w:val="001D6E03"/>
    <w:rsid w:val="001D727E"/>
    <w:rsid w:val="001E28F1"/>
    <w:rsid w:val="001E3990"/>
    <w:rsid w:val="001F0C54"/>
    <w:rsid w:val="001F0D2E"/>
    <w:rsid w:val="001F73B7"/>
    <w:rsid w:val="00202777"/>
    <w:rsid w:val="00213DA0"/>
    <w:rsid w:val="00217339"/>
    <w:rsid w:val="00223A1A"/>
    <w:rsid w:val="00232E55"/>
    <w:rsid w:val="002428D2"/>
    <w:rsid w:val="0024486C"/>
    <w:rsid w:val="002507D2"/>
    <w:rsid w:val="002512B8"/>
    <w:rsid w:val="00257559"/>
    <w:rsid w:val="00272506"/>
    <w:rsid w:val="002A2C60"/>
    <w:rsid w:val="002A656E"/>
    <w:rsid w:val="002C3668"/>
    <w:rsid w:val="002C4FD9"/>
    <w:rsid w:val="002C55AC"/>
    <w:rsid w:val="002C5FF6"/>
    <w:rsid w:val="002C6A85"/>
    <w:rsid w:val="002D0068"/>
    <w:rsid w:val="002D173A"/>
    <w:rsid w:val="002E006D"/>
    <w:rsid w:val="002E31F9"/>
    <w:rsid w:val="002E490F"/>
    <w:rsid w:val="002F1D4F"/>
    <w:rsid w:val="002F7F81"/>
    <w:rsid w:val="0030093F"/>
    <w:rsid w:val="00300B41"/>
    <w:rsid w:val="0030328C"/>
    <w:rsid w:val="0030760A"/>
    <w:rsid w:val="003135B5"/>
    <w:rsid w:val="00324F0A"/>
    <w:rsid w:val="00325068"/>
    <w:rsid w:val="00332203"/>
    <w:rsid w:val="00336F51"/>
    <w:rsid w:val="00345018"/>
    <w:rsid w:val="003672B1"/>
    <w:rsid w:val="00375051"/>
    <w:rsid w:val="003833E6"/>
    <w:rsid w:val="003848A7"/>
    <w:rsid w:val="003A5513"/>
    <w:rsid w:val="003A6E82"/>
    <w:rsid w:val="003B0179"/>
    <w:rsid w:val="003B481E"/>
    <w:rsid w:val="003D1499"/>
    <w:rsid w:val="003D2370"/>
    <w:rsid w:val="003D5BC9"/>
    <w:rsid w:val="003E36E4"/>
    <w:rsid w:val="003F1092"/>
    <w:rsid w:val="003F179F"/>
    <w:rsid w:val="003F3737"/>
    <w:rsid w:val="003F3E19"/>
    <w:rsid w:val="004035C2"/>
    <w:rsid w:val="00414788"/>
    <w:rsid w:val="0042690B"/>
    <w:rsid w:val="00430C4E"/>
    <w:rsid w:val="00441E7F"/>
    <w:rsid w:val="00450A31"/>
    <w:rsid w:val="00454880"/>
    <w:rsid w:val="00456098"/>
    <w:rsid w:val="0046217D"/>
    <w:rsid w:val="00462749"/>
    <w:rsid w:val="004629CB"/>
    <w:rsid w:val="004648E8"/>
    <w:rsid w:val="004709D7"/>
    <w:rsid w:val="00476F0F"/>
    <w:rsid w:val="004B2297"/>
    <w:rsid w:val="004C0644"/>
    <w:rsid w:val="004C4F8A"/>
    <w:rsid w:val="004C5DA1"/>
    <w:rsid w:val="004D35FD"/>
    <w:rsid w:val="004E2390"/>
    <w:rsid w:val="004E4549"/>
    <w:rsid w:val="004E6ED1"/>
    <w:rsid w:val="004F5A64"/>
    <w:rsid w:val="004F6DF9"/>
    <w:rsid w:val="004F7916"/>
    <w:rsid w:val="00507772"/>
    <w:rsid w:val="00510B4D"/>
    <w:rsid w:val="00512334"/>
    <w:rsid w:val="00522258"/>
    <w:rsid w:val="00526129"/>
    <w:rsid w:val="00536C60"/>
    <w:rsid w:val="00551FCA"/>
    <w:rsid w:val="00555301"/>
    <w:rsid w:val="00564658"/>
    <w:rsid w:val="005736E8"/>
    <w:rsid w:val="0057422E"/>
    <w:rsid w:val="00581691"/>
    <w:rsid w:val="005858A6"/>
    <w:rsid w:val="0059175B"/>
    <w:rsid w:val="00595B58"/>
    <w:rsid w:val="0059676C"/>
    <w:rsid w:val="005A072C"/>
    <w:rsid w:val="005A0CCB"/>
    <w:rsid w:val="005A15A0"/>
    <w:rsid w:val="005A525F"/>
    <w:rsid w:val="005C3BD9"/>
    <w:rsid w:val="005E3326"/>
    <w:rsid w:val="005F13EC"/>
    <w:rsid w:val="005F6364"/>
    <w:rsid w:val="006028B5"/>
    <w:rsid w:val="00603220"/>
    <w:rsid w:val="00603733"/>
    <w:rsid w:val="00607AA1"/>
    <w:rsid w:val="006201B2"/>
    <w:rsid w:val="00633B47"/>
    <w:rsid w:val="00635960"/>
    <w:rsid w:val="006379CC"/>
    <w:rsid w:val="0064152F"/>
    <w:rsid w:val="00642FB1"/>
    <w:rsid w:val="00651D0C"/>
    <w:rsid w:val="006520BA"/>
    <w:rsid w:val="00657383"/>
    <w:rsid w:val="006643C1"/>
    <w:rsid w:val="00666E4C"/>
    <w:rsid w:val="00667CC1"/>
    <w:rsid w:val="00683443"/>
    <w:rsid w:val="00687AFE"/>
    <w:rsid w:val="006A015F"/>
    <w:rsid w:val="006A172E"/>
    <w:rsid w:val="006A1BD4"/>
    <w:rsid w:val="006A343A"/>
    <w:rsid w:val="006A58E3"/>
    <w:rsid w:val="006B0FEE"/>
    <w:rsid w:val="006B33CE"/>
    <w:rsid w:val="006C2EF8"/>
    <w:rsid w:val="006E7F5B"/>
    <w:rsid w:val="006F5E93"/>
    <w:rsid w:val="007056B8"/>
    <w:rsid w:val="00724304"/>
    <w:rsid w:val="0072777F"/>
    <w:rsid w:val="00730050"/>
    <w:rsid w:val="007315C5"/>
    <w:rsid w:val="00740BA9"/>
    <w:rsid w:val="00753B39"/>
    <w:rsid w:val="00760D3C"/>
    <w:rsid w:val="00767B99"/>
    <w:rsid w:val="00782733"/>
    <w:rsid w:val="00787934"/>
    <w:rsid w:val="00794CB9"/>
    <w:rsid w:val="007A09D0"/>
    <w:rsid w:val="007A0C45"/>
    <w:rsid w:val="007A666C"/>
    <w:rsid w:val="007A6B42"/>
    <w:rsid w:val="007B014A"/>
    <w:rsid w:val="007B22B0"/>
    <w:rsid w:val="007B27C5"/>
    <w:rsid w:val="007C02D5"/>
    <w:rsid w:val="007D0057"/>
    <w:rsid w:val="007D093A"/>
    <w:rsid w:val="007D58FA"/>
    <w:rsid w:val="007E0CC7"/>
    <w:rsid w:val="007E103E"/>
    <w:rsid w:val="007F4F58"/>
    <w:rsid w:val="00806378"/>
    <w:rsid w:val="0082761A"/>
    <w:rsid w:val="00832A61"/>
    <w:rsid w:val="00837047"/>
    <w:rsid w:val="00841F89"/>
    <w:rsid w:val="008429FD"/>
    <w:rsid w:val="00844378"/>
    <w:rsid w:val="00845220"/>
    <w:rsid w:val="0084618B"/>
    <w:rsid w:val="008530D5"/>
    <w:rsid w:val="0086247A"/>
    <w:rsid w:val="00863D0E"/>
    <w:rsid w:val="008823C2"/>
    <w:rsid w:val="008920B8"/>
    <w:rsid w:val="00893F1C"/>
    <w:rsid w:val="0089630C"/>
    <w:rsid w:val="008A2952"/>
    <w:rsid w:val="008A74AE"/>
    <w:rsid w:val="008B40D2"/>
    <w:rsid w:val="008C0077"/>
    <w:rsid w:val="008C7618"/>
    <w:rsid w:val="008D41F1"/>
    <w:rsid w:val="008D7A94"/>
    <w:rsid w:val="008E3949"/>
    <w:rsid w:val="008F5FB7"/>
    <w:rsid w:val="00905402"/>
    <w:rsid w:val="00912F78"/>
    <w:rsid w:val="009142BD"/>
    <w:rsid w:val="00921BC8"/>
    <w:rsid w:val="00923097"/>
    <w:rsid w:val="0092512D"/>
    <w:rsid w:val="00931E19"/>
    <w:rsid w:val="009556B4"/>
    <w:rsid w:val="00956C2D"/>
    <w:rsid w:val="0096663F"/>
    <w:rsid w:val="0097194D"/>
    <w:rsid w:val="00976578"/>
    <w:rsid w:val="00987415"/>
    <w:rsid w:val="00990151"/>
    <w:rsid w:val="009904BA"/>
    <w:rsid w:val="0099384F"/>
    <w:rsid w:val="00993957"/>
    <w:rsid w:val="00997E09"/>
    <w:rsid w:val="009A4B2D"/>
    <w:rsid w:val="009B6148"/>
    <w:rsid w:val="009C24E6"/>
    <w:rsid w:val="009C6EB6"/>
    <w:rsid w:val="009D2AF5"/>
    <w:rsid w:val="009F31E2"/>
    <w:rsid w:val="00A00903"/>
    <w:rsid w:val="00A049BB"/>
    <w:rsid w:val="00A15A16"/>
    <w:rsid w:val="00A230BE"/>
    <w:rsid w:val="00A27C7E"/>
    <w:rsid w:val="00A33F50"/>
    <w:rsid w:val="00A427EF"/>
    <w:rsid w:val="00A44E97"/>
    <w:rsid w:val="00A520EE"/>
    <w:rsid w:val="00A53848"/>
    <w:rsid w:val="00A5548E"/>
    <w:rsid w:val="00A621D5"/>
    <w:rsid w:val="00A6314A"/>
    <w:rsid w:val="00A64DBA"/>
    <w:rsid w:val="00A9346C"/>
    <w:rsid w:val="00AA16E0"/>
    <w:rsid w:val="00AA2B98"/>
    <w:rsid w:val="00AA5745"/>
    <w:rsid w:val="00AC3E62"/>
    <w:rsid w:val="00AD1578"/>
    <w:rsid w:val="00AD6B09"/>
    <w:rsid w:val="00AD70C8"/>
    <w:rsid w:val="00AD7449"/>
    <w:rsid w:val="00AE59D0"/>
    <w:rsid w:val="00AF2F10"/>
    <w:rsid w:val="00AF3D1B"/>
    <w:rsid w:val="00AF7ED2"/>
    <w:rsid w:val="00B06057"/>
    <w:rsid w:val="00B06F4B"/>
    <w:rsid w:val="00B1507D"/>
    <w:rsid w:val="00B22B28"/>
    <w:rsid w:val="00B3289A"/>
    <w:rsid w:val="00B36FFE"/>
    <w:rsid w:val="00B4134B"/>
    <w:rsid w:val="00B45E9F"/>
    <w:rsid w:val="00B609F0"/>
    <w:rsid w:val="00B77E37"/>
    <w:rsid w:val="00B77ED9"/>
    <w:rsid w:val="00B81302"/>
    <w:rsid w:val="00B83AD6"/>
    <w:rsid w:val="00B92A4E"/>
    <w:rsid w:val="00B95388"/>
    <w:rsid w:val="00BA3087"/>
    <w:rsid w:val="00BB2C83"/>
    <w:rsid w:val="00BB6449"/>
    <w:rsid w:val="00BC0AD9"/>
    <w:rsid w:val="00BD17C3"/>
    <w:rsid w:val="00BD7A55"/>
    <w:rsid w:val="00BE7293"/>
    <w:rsid w:val="00BF22C4"/>
    <w:rsid w:val="00BF7E2F"/>
    <w:rsid w:val="00C03E69"/>
    <w:rsid w:val="00C109A7"/>
    <w:rsid w:val="00C10A5A"/>
    <w:rsid w:val="00C12131"/>
    <w:rsid w:val="00C1555D"/>
    <w:rsid w:val="00C2302C"/>
    <w:rsid w:val="00C33242"/>
    <w:rsid w:val="00C361C3"/>
    <w:rsid w:val="00C377A1"/>
    <w:rsid w:val="00C4491B"/>
    <w:rsid w:val="00C47982"/>
    <w:rsid w:val="00C55188"/>
    <w:rsid w:val="00C60C3A"/>
    <w:rsid w:val="00C71E79"/>
    <w:rsid w:val="00C73995"/>
    <w:rsid w:val="00C80618"/>
    <w:rsid w:val="00C849C2"/>
    <w:rsid w:val="00C8613A"/>
    <w:rsid w:val="00C91367"/>
    <w:rsid w:val="00C914B6"/>
    <w:rsid w:val="00C91C27"/>
    <w:rsid w:val="00C97B79"/>
    <w:rsid w:val="00CA5BDA"/>
    <w:rsid w:val="00CB3E40"/>
    <w:rsid w:val="00CB437B"/>
    <w:rsid w:val="00CB46F6"/>
    <w:rsid w:val="00CB588A"/>
    <w:rsid w:val="00CB7084"/>
    <w:rsid w:val="00CC46C3"/>
    <w:rsid w:val="00CC5A95"/>
    <w:rsid w:val="00CC630B"/>
    <w:rsid w:val="00CE22D5"/>
    <w:rsid w:val="00CE46EC"/>
    <w:rsid w:val="00CF05CA"/>
    <w:rsid w:val="00CF118C"/>
    <w:rsid w:val="00CF23E2"/>
    <w:rsid w:val="00CF6217"/>
    <w:rsid w:val="00CF6776"/>
    <w:rsid w:val="00CF6CA6"/>
    <w:rsid w:val="00D01D88"/>
    <w:rsid w:val="00D10085"/>
    <w:rsid w:val="00D124BF"/>
    <w:rsid w:val="00D21F36"/>
    <w:rsid w:val="00D26A6A"/>
    <w:rsid w:val="00D323DD"/>
    <w:rsid w:val="00D3250C"/>
    <w:rsid w:val="00D617CE"/>
    <w:rsid w:val="00D67382"/>
    <w:rsid w:val="00D70C19"/>
    <w:rsid w:val="00D73893"/>
    <w:rsid w:val="00D862CB"/>
    <w:rsid w:val="00D953D9"/>
    <w:rsid w:val="00DA26B6"/>
    <w:rsid w:val="00DA3AB3"/>
    <w:rsid w:val="00DA3E79"/>
    <w:rsid w:val="00DB6AD1"/>
    <w:rsid w:val="00DC53C2"/>
    <w:rsid w:val="00DD2337"/>
    <w:rsid w:val="00DE0A88"/>
    <w:rsid w:val="00DE5281"/>
    <w:rsid w:val="00DE60F5"/>
    <w:rsid w:val="00E25BA6"/>
    <w:rsid w:val="00E345C8"/>
    <w:rsid w:val="00E36830"/>
    <w:rsid w:val="00E44407"/>
    <w:rsid w:val="00E50291"/>
    <w:rsid w:val="00E56062"/>
    <w:rsid w:val="00E735ED"/>
    <w:rsid w:val="00E76AF9"/>
    <w:rsid w:val="00E80ADD"/>
    <w:rsid w:val="00E8123D"/>
    <w:rsid w:val="00E93973"/>
    <w:rsid w:val="00E94EC5"/>
    <w:rsid w:val="00EA5614"/>
    <w:rsid w:val="00EA6E09"/>
    <w:rsid w:val="00EB0ED2"/>
    <w:rsid w:val="00EC5A8D"/>
    <w:rsid w:val="00ED5E3D"/>
    <w:rsid w:val="00F009D8"/>
    <w:rsid w:val="00F12A32"/>
    <w:rsid w:val="00F14E11"/>
    <w:rsid w:val="00F2516D"/>
    <w:rsid w:val="00F31BC9"/>
    <w:rsid w:val="00F54768"/>
    <w:rsid w:val="00F57758"/>
    <w:rsid w:val="00F64ED4"/>
    <w:rsid w:val="00F718D9"/>
    <w:rsid w:val="00F77516"/>
    <w:rsid w:val="00F80D32"/>
    <w:rsid w:val="00F86E72"/>
    <w:rsid w:val="00F92EF3"/>
    <w:rsid w:val="00FA05C1"/>
    <w:rsid w:val="00FA18D1"/>
    <w:rsid w:val="00FA2647"/>
    <w:rsid w:val="00FB2DFD"/>
    <w:rsid w:val="00FB32DC"/>
    <w:rsid w:val="00FC7DD3"/>
    <w:rsid w:val="00FD0797"/>
    <w:rsid w:val="00FE5B0C"/>
    <w:rsid w:val="00FF6F7B"/>
  </w:rsids>
  <m:mathPr>
    <m:mathFont m:val="Cambria Math"/>
    <m:brkBin m:val="before"/>
    <m:brkBinSub m:val="--"/>
    <m:smallFrac m:val="0"/>
    <m:dispDef/>
    <m:lMargin m:val="0"/>
    <m:rMargin m:val="0"/>
    <m:defJc m:val="centerGroup"/>
    <m:wrapIndent m:val="1440"/>
    <m:intLim m:val="subSup"/>
    <m:naryLim m:val="undOvr"/>
  </m:mathPr>
  <w:themeFontLang w:val="lv-LV"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1F6D1"/>
  <w15:docId w15:val="{F9FA52B4-59E8-4E63-A589-324F0FE5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09A7"/>
    <w:pPr>
      <w:spacing w:after="200" w:line="276" w:lineRule="auto"/>
    </w:pPr>
    <w:rPr>
      <w:rFonts w:ascii="Calibri" w:eastAsia="Calibri" w:hAnsi="Calibri" w:cs="Times New Roman"/>
      <w:sz w:val="22"/>
    </w:rPr>
  </w:style>
  <w:style w:type="paragraph" w:styleId="Heading2">
    <w:name w:val="heading 2"/>
    <w:basedOn w:val="Normal"/>
    <w:next w:val="Normal"/>
    <w:link w:val="Heading2Char"/>
    <w:uiPriority w:val="9"/>
    <w:unhideWhenUsed/>
    <w:qFormat/>
    <w:rsid w:val="00C71E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Fußnote,Char,Char Rakstz. Rakstz. Rakstz. Rakstz. Rakstz. Rakstz. Rakstz.,Char Rakstz. Rakstz. Rakstz. Rakstz. Rakstz. Rakstz.,Char Rakstz. Rakstz. Rakstz. Rakstz. Rakstz. Rakstz. Rakstz. Rakstz. Rakstz. Rakstz. Rakstz.,single spa"/>
    <w:basedOn w:val="Normal"/>
    <w:link w:val="FootnoteTextChar"/>
    <w:unhideWhenUsed/>
    <w:rsid w:val="00C109A7"/>
    <w:pPr>
      <w:spacing w:after="0" w:line="240" w:lineRule="auto"/>
    </w:pPr>
    <w:rPr>
      <w:sz w:val="20"/>
      <w:szCs w:val="20"/>
    </w:rPr>
  </w:style>
  <w:style w:type="character" w:customStyle="1" w:styleId="FootnoteTextChar">
    <w:name w:val="Footnote Text Char"/>
    <w:aliases w:val="Footnote Char,Fußnote Char,Char Char,Char Rakstz. Rakstz. Rakstz. Rakstz. Rakstz. Rakstz. Rakstz. Char,Char Rakstz. Rakstz. Rakstz. Rakstz. Rakstz. Rakstz. Char,single spa Char"/>
    <w:basedOn w:val="DefaultParagraphFont"/>
    <w:link w:val="FootnoteText"/>
    <w:rsid w:val="00C109A7"/>
    <w:rPr>
      <w:rFonts w:ascii="Calibri" w:eastAsia="Calibri" w:hAnsi="Calibri" w:cs="Times New Roman"/>
      <w:sz w:val="20"/>
      <w:szCs w:val="20"/>
    </w:rPr>
  </w:style>
  <w:style w:type="character" w:styleId="FootnoteReference">
    <w:name w:val="footnote reference"/>
    <w:aliases w:val="Footnote Reference Number,SUPERS,Footnote symbol,Footnote Refernece,ftref,Footnote Reference Superscript,stylish,BVI fnr,Fußnotenzeichen_Raxen,callout,Footnotes refss,Fussnota,Footnote reference number,Times 10 Point,SUP,Ref,E,E FNZ"/>
    <w:basedOn w:val="DefaultParagraphFont"/>
    <w:link w:val="CharCharCharChar"/>
    <w:uiPriority w:val="99"/>
    <w:unhideWhenUsed/>
    <w:rsid w:val="00C109A7"/>
    <w:rPr>
      <w:vertAlign w:val="superscript"/>
    </w:rPr>
  </w:style>
  <w:style w:type="character" w:styleId="Hyperlink">
    <w:name w:val="Hyperlink"/>
    <w:basedOn w:val="DefaultParagraphFont"/>
    <w:uiPriority w:val="99"/>
    <w:unhideWhenUsed/>
    <w:rsid w:val="00C109A7"/>
    <w:rPr>
      <w:color w:val="0000FF" w:themeColor="hyperlink"/>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23DD"/>
    <w:rPr>
      <w:rFonts w:ascii="Calibri" w:eastAsia="Calibri" w:hAnsi="Calibri" w:cs="Times New Roman"/>
      <w:sz w:val="22"/>
    </w:rPr>
  </w:style>
  <w:style w:type="paragraph" w:customStyle="1" w:styleId="Normal1">
    <w:name w:val="Normal1"/>
    <w:rsid w:val="00A44E97"/>
    <w:rPr>
      <w:rFonts w:ascii="Calibri" w:eastAsia="Times New Roman" w:hAnsi="Calibri" w:cs="Calibri"/>
      <w:color w:val="000000"/>
      <w:sz w:val="22"/>
      <w:lang w:eastAsia="lv-LV"/>
    </w:rPr>
  </w:style>
  <w:style w:type="character" w:customStyle="1" w:styleId="Heading2Char">
    <w:name w:val="Heading 2 Char"/>
    <w:basedOn w:val="DefaultParagraphFont"/>
    <w:link w:val="Heading2"/>
    <w:uiPriority w:val="9"/>
    <w:rsid w:val="00C71E7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8A74AE"/>
    <w:pPr>
      <w:ind w:left="720"/>
      <w:contextualSpacing/>
    </w:pPr>
  </w:style>
  <w:style w:type="character" w:styleId="CommentReference">
    <w:name w:val="annotation reference"/>
    <w:basedOn w:val="DefaultParagraphFont"/>
    <w:uiPriority w:val="99"/>
    <w:semiHidden/>
    <w:unhideWhenUsed/>
    <w:rsid w:val="00A64DBA"/>
    <w:rPr>
      <w:sz w:val="16"/>
      <w:szCs w:val="16"/>
    </w:rPr>
  </w:style>
  <w:style w:type="paragraph" w:styleId="CommentText">
    <w:name w:val="annotation text"/>
    <w:basedOn w:val="Normal"/>
    <w:link w:val="CommentTextChar"/>
    <w:uiPriority w:val="99"/>
    <w:semiHidden/>
    <w:unhideWhenUsed/>
    <w:rsid w:val="00A64DBA"/>
    <w:pPr>
      <w:spacing w:line="240" w:lineRule="auto"/>
    </w:pPr>
    <w:rPr>
      <w:sz w:val="20"/>
      <w:szCs w:val="20"/>
    </w:rPr>
  </w:style>
  <w:style w:type="character" w:customStyle="1" w:styleId="CommentTextChar">
    <w:name w:val="Comment Text Char"/>
    <w:basedOn w:val="DefaultParagraphFont"/>
    <w:link w:val="CommentText"/>
    <w:uiPriority w:val="99"/>
    <w:semiHidden/>
    <w:rsid w:val="00A64DBA"/>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64DBA"/>
    <w:rPr>
      <w:b/>
      <w:bCs/>
    </w:rPr>
  </w:style>
  <w:style w:type="character" w:customStyle="1" w:styleId="CommentSubjectChar">
    <w:name w:val="Comment Subject Char"/>
    <w:basedOn w:val="CommentTextChar"/>
    <w:link w:val="CommentSubject"/>
    <w:uiPriority w:val="99"/>
    <w:semiHidden/>
    <w:rsid w:val="00A64DBA"/>
    <w:rPr>
      <w:rFonts w:ascii="Calibri" w:eastAsia="Calibri" w:hAnsi="Calibri" w:cs="Times New Roman"/>
      <w:b/>
      <w:bCs/>
      <w:sz w:val="20"/>
      <w:szCs w:val="20"/>
    </w:rPr>
  </w:style>
  <w:style w:type="paragraph" w:styleId="Revision">
    <w:name w:val="Revision"/>
    <w:hidden/>
    <w:uiPriority w:val="99"/>
    <w:semiHidden/>
    <w:rsid w:val="00A6314A"/>
    <w:rPr>
      <w:rFonts w:ascii="Calibri" w:eastAsia="Calibri" w:hAnsi="Calibri" w:cs="Times New Roman"/>
      <w:sz w:val="22"/>
    </w:rPr>
  </w:style>
  <w:style w:type="paragraph" w:customStyle="1" w:styleId="tv2131">
    <w:name w:val="tv2131"/>
    <w:basedOn w:val="Normal"/>
    <w:rsid w:val="003A5513"/>
    <w:pPr>
      <w:spacing w:after="0" w:line="360" w:lineRule="auto"/>
      <w:ind w:firstLine="300"/>
    </w:pPr>
    <w:rPr>
      <w:rFonts w:ascii="Times New Roman" w:eastAsia="Times New Roman" w:hAnsi="Times New Roman"/>
      <w:color w:val="414142"/>
      <w:sz w:val="20"/>
      <w:szCs w:val="20"/>
      <w:lang w:eastAsia="lv-LV"/>
    </w:rPr>
  </w:style>
  <w:style w:type="paragraph" w:customStyle="1" w:styleId="Default">
    <w:name w:val="Default"/>
    <w:rsid w:val="008920B8"/>
    <w:pPr>
      <w:autoSpaceDE w:val="0"/>
      <w:autoSpaceDN w:val="0"/>
      <w:adjustRightInd w:val="0"/>
    </w:pPr>
    <w:rPr>
      <w:rFonts w:cs="Times New Roman"/>
      <w:color w:val="000000"/>
      <w:szCs w:val="24"/>
    </w:rPr>
  </w:style>
  <w:style w:type="paragraph" w:customStyle="1" w:styleId="CharCharCharChar">
    <w:name w:val="Char Char Char Char"/>
    <w:aliases w:val="Char2"/>
    <w:basedOn w:val="Normal"/>
    <w:next w:val="Normal"/>
    <w:link w:val="FootnoteReference"/>
    <w:uiPriority w:val="99"/>
    <w:rsid w:val="00CC630B"/>
    <w:pPr>
      <w:spacing w:after="160" w:line="240" w:lineRule="exact"/>
      <w:jc w:val="both"/>
    </w:pPr>
    <w:rPr>
      <w:rFonts w:ascii="Times New Roman" w:eastAsiaTheme="minorHAnsi" w:hAnsi="Times New Roman" w:cstheme="minorBidi"/>
      <w:sz w:val="24"/>
      <w:vertAlign w:val="superscript"/>
    </w:rPr>
  </w:style>
  <w:style w:type="character" w:customStyle="1" w:styleId="t3">
    <w:name w:val="t3"/>
    <w:basedOn w:val="DefaultParagraphFont"/>
    <w:rsid w:val="00EC5A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9101">
      <w:bodyDiv w:val="1"/>
      <w:marLeft w:val="0"/>
      <w:marRight w:val="0"/>
      <w:marTop w:val="0"/>
      <w:marBottom w:val="0"/>
      <w:divBdr>
        <w:top w:val="none" w:sz="0" w:space="0" w:color="auto"/>
        <w:left w:val="none" w:sz="0" w:space="0" w:color="auto"/>
        <w:bottom w:val="none" w:sz="0" w:space="0" w:color="auto"/>
        <w:right w:val="none" w:sz="0" w:space="0" w:color="auto"/>
      </w:divBdr>
    </w:div>
    <w:div w:id="579221976">
      <w:bodyDiv w:val="1"/>
      <w:marLeft w:val="0"/>
      <w:marRight w:val="0"/>
      <w:marTop w:val="0"/>
      <w:marBottom w:val="0"/>
      <w:divBdr>
        <w:top w:val="none" w:sz="0" w:space="0" w:color="auto"/>
        <w:left w:val="none" w:sz="0" w:space="0" w:color="auto"/>
        <w:bottom w:val="none" w:sz="0" w:space="0" w:color="auto"/>
        <w:right w:val="none" w:sz="0" w:space="0" w:color="auto"/>
      </w:divBdr>
    </w:div>
    <w:div w:id="781731866">
      <w:bodyDiv w:val="1"/>
      <w:marLeft w:val="0"/>
      <w:marRight w:val="0"/>
      <w:marTop w:val="0"/>
      <w:marBottom w:val="0"/>
      <w:divBdr>
        <w:top w:val="none" w:sz="0" w:space="0" w:color="auto"/>
        <w:left w:val="none" w:sz="0" w:space="0" w:color="auto"/>
        <w:bottom w:val="none" w:sz="0" w:space="0" w:color="auto"/>
        <w:right w:val="none" w:sz="0" w:space="0" w:color="auto"/>
      </w:divBdr>
    </w:div>
    <w:div w:id="844057394">
      <w:bodyDiv w:val="1"/>
      <w:marLeft w:val="0"/>
      <w:marRight w:val="0"/>
      <w:marTop w:val="0"/>
      <w:marBottom w:val="0"/>
      <w:divBdr>
        <w:top w:val="none" w:sz="0" w:space="0" w:color="auto"/>
        <w:left w:val="none" w:sz="0" w:space="0" w:color="auto"/>
        <w:bottom w:val="none" w:sz="0" w:space="0" w:color="auto"/>
        <w:right w:val="none" w:sz="0" w:space="0" w:color="auto"/>
      </w:divBdr>
    </w:div>
    <w:div w:id="859319479">
      <w:bodyDiv w:val="1"/>
      <w:marLeft w:val="0"/>
      <w:marRight w:val="0"/>
      <w:marTop w:val="0"/>
      <w:marBottom w:val="0"/>
      <w:divBdr>
        <w:top w:val="none" w:sz="0" w:space="0" w:color="auto"/>
        <w:left w:val="none" w:sz="0" w:space="0" w:color="auto"/>
        <w:bottom w:val="none" w:sz="0" w:space="0" w:color="auto"/>
        <w:right w:val="none" w:sz="0" w:space="0" w:color="auto"/>
      </w:divBdr>
    </w:div>
    <w:div w:id="1354529829">
      <w:bodyDiv w:val="1"/>
      <w:marLeft w:val="0"/>
      <w:marRight w:val="0"/>
      <w:marTop w:val="0"/>
      <w:marBottom w:val="0"/>
      <w:divBdr>
        <w:top w:val="none" w:sz="0" w:space="0" w:color="auto"/>
        <w:left w:val="none" w:sz="0" w:space="0" w:color="auto"/>
        <w:bottom w:val="none" w:sz="0" w:space="0" w:color="auto"/>
        <w:right w:val="none" w:sz="0" w:space="0" w:color="auto"/>
      </w:divBdr>
    </w:div>
    <w:div w:id="1538199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CDEA860613EA764D817F892493A9F4E7" ma:contentTypeVersion="0" ma:contentTypeDescription="Izveidot jaunu dokumentu." ma:contentTypeScope="" ma:versionID="7ec00c100d33c5432cac3d74232d789e">
  <xsd:schema xmlns:xsd="http://www.w3.org/2001/XMLSchema" xmlns:p="http://schemas.microsoft.com/office/2006/metadata/properties" targetNamespace="http://schemas.microsoft.com/office/2006/metadata/properties" ma:root="true" ma:fieldsID="03f02128687e48d6f6cc7d7a99a2c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ma:readOnly="true"/>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988AC-9D26-4B0D-B274-DE2B605BA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2DE47B3-2E81-4820-80E2-07BE86690C84}">
  <ds:schemaRefs>
    <ds:schemaRef ds:uri="http://schemas.microsoft.com/sharepoint/v3/contenttype/forms"/>
  </ds:schemaRefs>
</ds:datastoreItem>
</file>

<file path=customXml/itemProps3.xml><?xml version="1.0" encoding="utf-8"?>
<ds:datastoreItem xmlns:ds="http://schemas.openxmlformats.org/officeDocument/2006/customXml" ds:itemID="{B767797A-95B1-4475-9997-57861BFD3FC7}">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21E04C01-EDE6-4800-BFE9-EAFE4B021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6880</Words>
  <Characters>3922</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10781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Ozols</dc:creator>
  <cp:lastModifiedBy>Linda Krūze</cp:lastModifiedBy>
  <cp:revision>3</cp:revision>
  <dcterms:created xsi:type="dcterms:W3CDTF">2020-04-24T12:17:00Z</dcterms:created>
  <dcterms:modified xsi:type="dcterms:W3CDTF">2020-04-24T13:18:00Z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0x010100CDEA860613EA764D817F892493A9F4E7</vt:lpwstr>
  </property>
</Properties>
</file>