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76E48" w14:textId="77777777" w:rsidR="00D946F2" w:rsidRPr="008F395E" w:rsidRDefault="00D946F2" w:rsidP="00D946F2">
      <w:pPr>
        <w:keepNext/>
        <w:spacing w:line="240" w:lineRule="auto"/>
        <w:jc w:val="center"/>
        <w:rPr>
          <w:rFonts w:ascii="Times New Roman" w:hAnsi="Times New Roman"/>
          <w:b/>
          <w:bCs/>
          <w:sz w:val="18"/>
          <w:szCs w:val="18"/>
        </w:rPr>
      </w:pPr>
      <w:r w:rsidRPr="008F395E">
        <w:rPr>
          <w:rFonts w:ascii="Times New Roman" w:hAnsi="Times New Roman"/>
          <w:b/>
          <w:bCs/>
          <w:sz w:val="18"/>
          <w:szCs w:val="18"/>
        </w:rPr>
        <w:t xml:space="preserve">Tabula </w:t>
      </w:r>
      <w:r w:rsidR="007C6C8F" w:rsidRPr="008F395E">
        <w:rPr>
          <w:rFonts w:ascii="Times New Roman" w:hAnsi="Times New Roman"/>
          <w:b/>
          <w:bCs/>
          <w:sz w:val="18"/>
          <w:szCs w:val="18"/>
        </w:rPr>
        <w:fldChar w:fldCharType="begin"/>
      </w:r>
      <w:r w:rsidRPr="008F395E">
        <w:rPr>
          <w:rFonts w:ascii="Times New Roman" w:hAnsi="Times New Roman"/>
          <w:b/>
          <w:bCs/>
          <w:sz w:val="18"/>
          <w:szCs w:val="18"/>
        </w:rPr>
        <w:instrText xml:space="preserve"> SEQ Tabula \* ARABIC </w:instrText>
      </w:r>
      <w:r w:rsidR="007C6C8F" w:rsidRPr="008F395E">
        <w:rPr>
          <w:rFonts w:ascii="Times New Roman" w:hAnsi="Times New Roman"/>
          <w:b/>
          <w:bCs/>
          <w:sz w:val="18"/>
          <w:szCs w:val="18"/>
        </w:rPr>
        <w:fldChar w:fldCharType="separate"/>
      </w:r>
      <w:r w:rsidR="00AD27D4">
        <w:rPr>
          <w:rFonts w:ascii="Times New Roman" w:hAnsi="Times New Roman"/>
          <w:b/>
          <w:bCs/>
          <w:noProof/>
          <w:sz w:val="18"/>
          <w:szCs w:val="18"/>
        </w:rPr>
        <w:t>1</w:t>
      </w:r>
      <w:r w:rsidR="007C6C8F" w:rsidRPr="008F395E">
        <w:rPr>
          <w:rFonts w:ascii="Times New Roman" w:hAnsi="Times New Roman"/>
          <w:b/>
          <w:bCs/>
          <w:sz w:val="18"/>
          <w:szCs w:val="18"/>
        </w:rPr>
        <w:fldChar w:fldCharType="end"/>
      </w:r>
      <w:r w:rsidRPr="008F395E">
        <w:rPr>
          <w:rFonts w:ascii="Times New Roman" w:hAnsi="Times New Roman"/>
          <w:b/>
          <w:bCs/>
          <w:sz w:val="18"/>
          <w:szCs w:val="18"/>
        </w:rPr>
        <w:t xml:space="preserve"> Rādītāju pase investīciju prioritātes specifiskajiem mērķiem</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134"/>
        <w:gridCol w:w="993"/>
        <w:gridCol w:w="6633"/>
        <w:gridCol w:w="3856"/>
        <w:gridCol w:w="1531"/>
      </w:tblGrid>
      <w:tr w:rsidR="00D946F2" w:rsidRPr="00D323DD" w14:paraId="449E4C3D" w14:textId="77777777" w:rsidTr="003F7C94">
        <w:tc>
          <w:tcPr>
            <w:tcW w:w="1021" w:type="dxa"/>
          </w:tcPr>
          <w:p w14:paraId="4ADE9F04" w14:textId="77777777" w:rsidR="00D946F2" w:rsidRPr="00A3214F" w:rsidRDefault="00D946F2" w:rsidP="00A3214F">
            <w:pPr>
              <w:spacing w:after="0" w:line="240" w:lineRule="auto"/>
              <w:jc w:val="center"/>
              <w:rPr>
                <w:rFonts w:ascii="Times New Roman" w:hAnsi="Times New Roman"/>
                <w:b/>
                <w:sz w:val="16"/>
                <w:szCs w:val="16"/>
              </w:rPr>
            </w:pPr>
            <w:r w:rsidRPr="00A3214F">
              <w:rPr>
                <w:rFonts w:ascii="Times New Roman" w:hAnsi="Times New Roman"/>
                <w:b/>
                <w:sz w:val="16"/>
                <w:szCs w:val="16"/>
              </w:rPr>
              <w:t>Prioritārais virziens</w:t>
            </w:r>
          </w:p>
        </w:tc>
        <w:tc>
          <w:tcPr>
            <w:tcW w:w="1134" w:type="dxa"/>
          </w:tcPr>
          <w:p w14:paraId="598734A4" w14:textId="77777777" w:rsidR="00D946F2" w:rsidRPr="00A3214F" w:rsidRDefault="00D946F2" w:rsidP="00A3214F">
            <w:pPr>
              <w:spacing w:after="0" w:line="240" w:lineRule="auto"/>
              <w:jc w:val="center"/>
              <w:rPr>
                <w:rFonts w:ascii="Times New Roman" w:hAnsi="Times New Roman"/>
                <w:b/>
                <w:sz w:val="16"/>
                <w:szCs w:val="16"/>
              </w:rPr>
            </w:pPr>
            <w:r w:rsidRPr="00A3214F">
              <w:rPr>
                <w:rFonts w:ascii="Times New Roman" w:hAnsi="Times New Roman"/>
                <w:b/>
                <w:sz w:val="16"/>
                <w:szCs w:val="16"/>
              </w:rPr>
              <w:t>Investīciju prioritātes nosaukums</w:t>
            </w:r>
          </w:p>
        </w:tc>
        <w:tc>
          <w:tcPr>
            <w:tcW w:w="993" w:type="dxa"/>
          </w:tcPr>
          <w:p w14:paraId="32FB6FC4" w14:textId="77777777" w:rsidR="00D946F2" w:rsidRPr="00A3214F" w:rsidRDefault="00D946F2" w:rsidP="00A3214F">
            <w:pPr>
              <w:spacing w:after="0" w:line="240" w:lineRule="auto"/>
              <w:jc w:val="center"/>
              <w:rPr>
                <w:rFonts w:ascii="Times New Roman" w:hAnsi="Times New Roman"/>
                <w:b/>
                <w:sz w:val="16"/>
                <w:szCs w:val="16"/>
              </w:rPr>
            </w:pPr>
            <w:r w:rsidRPr="00A3214F">
              <w:rPr>
                <w:rFonts w:ascii="Times New Roman" w:hAnsi="Times New Roman"/>
                <w:b/>
                <w:sz w:val="16"/>
                <w:szCs w:val="16"/>
              </w:rPr>
              <w:t>Specifiskie atbalsta mērķi (SAM)</w:t>
            </w:r>
          </w:p>
        </w:tc>
        <w:tc>
          <w:tcPr>
            <w:tcW w:w="6633" w:type="dxa"/>
          </w:tcPr>
          <w:p w14:paraId="72FB732A" w14:textId="77777777" w:rsidR="00D946F2" w:rsidRPr="00A3214F" w:rsidRDefault="00D946F2" w:rsidP="00A3214F">
            <w:pPr>
              <w:spacing w:after="0" w:line="240" w:lineRule="auto"/>
              <w:jc w:val="center"/>
              <w:rPr>
                <w:rFonts w:ascii="Times New Roman" w:hAnsi="Times New Roman"/>
                <w:b/>
                <w:sz w:val="16"/>
                <w:szCs w:val="16"/>
              </w:rPr>
            </w:pPr>
            <w:r w:rsidRPr="00A3214F">
              <w:rPr>
                <w:rFonts w:ascii="Times New Roman" w:hAnsi="Times New Roman"/>
                <w:b/>
                <w:sz w:val="16"/>
                <w:szCs w:val="16"/>
              </w:rPr>
              <w:t>Rezultāta rādītāji</w:t>
            </w:r>
          </w:p>
        </w:tc>
        <w:tc>
          <w:tcPr>
            <w:tcW w:w="3856" w:type="dxa"/>
          </w:tcPr>
          <w:p w14:paraId="337DFE9B" w14:textId="77777777" w:rsidR="00D946F2" w:rsidRPr="00A3214F" w:rsidRDefault="00D946F2" w:rsidP="00A3214F">
            <w:pPr>
              <w:spacing w:after="0" w:line="240" w:lineRule="auto"/>
              <w:jc w:val="center"/>
              <w:rPr>
                <w:rFonts w:ascii="Times New Roman" w:hAnsi="Times New Roman"/>
                <w:b/>
                <w:sz w:val="16"/>
                <w:szCs w:val="16"/>
              </w:rPr>
            </w:pPr>
            <w:r w:rsidRPr="00A3214F">
              <w:rPr>
                <w:rFonts w:ascii="Times New Roman" w:hAnsi="Times New Roman"/>
                <w:b/>
                <w:sz w:val="16"/>
                <w:szCs w:val="16"/>
              </w:rPr>
              <w:t>Iznākuma rādītāji (IR)</w:t>
            </w:r>
          </w:p>
        </w:tc>
        <w:tc>
          <w:tcPr>
            <w:tcW w:w="1531" w:type="dxa"/>
          </w:tcPr>
          <w:p w14:paraId="039D4CF7" w14:textId="77777777" w:rsidR="00D946F2" w:rsidRPr="00A3214F" w:rsidRDefault="00D946F2" w:rsidP="00B07B6C">
            <w:pPr>
              <w:spacing w:after="0" w:line="240" w:lineRule="auto"/>
              <w:jc w:val="center"/>
              <w:rPr>
                <w:rFonts w:ascii="Times New Roman" w:hAnsi="Times New Roman"/>
                <w:b/>
                <w:sz w:val="16"/>
                <w:szCs w:val="16"/>
              </w:rPr>
            </w:pPr>
            <w:r w:rsidRPr="00A3214F">
              <w:rPr>
                <w:rFonts w:ascii="Times New Roman" w:hAnsi="Times New Roman"/>
                <w:b/>
                <w:sz w:val="16"/>
                <w:szCs w:val="16"/>
              </w:rPr>
              <w:t>Finanšu rādītāji</w:t>
            </w:r>
            <w:r w:rsidR="00E87F47">
              <w:rPr>
                <w:rStyle w:val="FootnoteReference"/>
                <w:rFonts w:ascii="Times New Roman" w:hAnsi="Times New Roman"/>
                <w:b/>
                <w:sz w:val="16"/>
                <w:szCs w:val="16"/>
              </w:rPr>
              <w:footnoteReference w:id="1"/>
            </w:r>
          </w:p>
        </w:tc>
      </w:tr>
      <w:tr w:rsidR="00D946F2" w:rsidRPr="00341E4A" w14:paraId="7366B3A6" w14:textId="77777777" w:rsidTr="003F7C94">
        <w:trPr>
          <w:trHeight w:val="416"/>
        </w:trPr>
        <w:tc>
          <w:tcPr>
            <w:tcW w:w="1021" w:type="dxa"/>
          </w:tcPr>
          <w:p w14:paraId="07DF95F5" w14:textId="77777777" w:rsidR="00D946F2" w:rsidRPr="00A3214F" w:rsidRDefault="00D946F2" w:rsidP="00A3214F">
            <w:pPr>
              <w:spacing w:after="0" w:line="240" w:lineRule="auto"/>
              <w:jc w:val="both"/>
              <w:rPr>
                <w:rFonts w:ascii="Times New Roman" w:hAnsi="Times New Roman"/>
                <w:sz w:val="16"/>
                <w:szCs w:val="16"/>
              </w:rPr>
            </w:pPr>
            <w:r w:rsidRPr="00A3214F">
              <w:rPr>
                <w:rFonts w:ascii="Times New Roman" w:hAnsi="Times New Roman"/>
                <w:sz w:val="16"/>
                <w:szCs w:val="16"/>
              </w:rPr>
              <w:t>5.</w:t>
            </w:r>
            <w:r w:rsidR="006A38F8" w:rsidRPr="00A3214F">
              <w:rPr>
                <w:rFonts w:ascii="Times New Roman" w:hAnsi="Times New Roman"/>
                <w:sz w:val="16"/>
                <w:szCs w:val="16"/>
              </w:rPr>
              <w:t xml:space="preserve"> </w:t>
            </w:r>
            <w:r w:rsidRPr="00A3214F">
              <w:rPr>
                <w:rFonts w:ascii="Times New Roman" w:hAnsi="Times New Roman"/>
                <w:sz w:val="16"/>
                <w:szCs w:val="16"/>
              </w:rPr>
              <w:t>Vides aizsardzība un resursu izmantošanas efektivitāte</w:t>
            </w:r>
          </w:p>
        </w:tc>
        <w:tc>
          <w:tcPr>
            <w:tcW w:w="1134" w:type="dxa"/>
          </w:tcPr>
          <w:p w14:paraId="27888AA8" w14:textId="77777777" w:rsidR="00D946F2" w:rsidRPr="00A3214F" w:rsidRDefault="00D946F2" w:rsidP="00A3214F">
            <w:pPr>
              <w:spacing w:after="0" w:line="240" w:lineRule="auto"/>
              <w:jc w:val="both"/>
              <w:rPr>
                <w:rFonts w:ascii="Times New Roman" w:hAnsi="Times New Roman"/>
                <w:sz w:val="16"/>
                <w:szCs w:val="16"/>
              </w:rPr>
            </w:pPr>
            <w:r w:rsidRPr="00A3214F">
              <w:rPr>
                <w:rFonts w:ascii="Times New Roman" w:hAnsi="Times New Roman"/>
                <w:sz w:val="16"/>
                <w:szCs w:val="16"/>
              </w:rPr>
              <w:t>5.6.</w:t>
            </w:r>
            <w:r w:rsidR="006A38F8" w:rsidRPr="00A3214F">
              <w:rPr>
                <w:rFonts w:ascii="Times New Roman" w:hAnsi="Times New Roman"/>
                <w:sz w:val="16"/>
                <w:szCs w:val="16"/>
              </w:rPr>
              <w:t xml:space="preserve"> </w:t>
            </w:r>
            <w:r w:rsidRPr="00A3214F">
              <w:rPr>
                <w:rFonts w:ascii="Times New Roman" w:hAnsi="Times New Roman"/>
                <w:sz w:val="16"/>
                <w:szCs w:val="16"/>
              </w:rPr>
              <w:t xml:space="preserve">ieguldījumu prioritāte: </w:t>
            </w:r>
            <w:r w:rsidR="006A38F8" w:rsidRPr="00A3214F">
              <w:rPr>
                <w:rFonts w:ascii="Times New Roman" w:hAnsi="Times New Roman"/>
                <w:sz w:val="16"/>
                <w:szCs w:val="16"/>
              </w:rPr>
              <w:t>veicināt darbības</w:t>
            </w:r>
            <w:r w:rsidRPr="00A3214F">
              <w:rPr>
                <w:rFonts w:ascii="Times New Roman" w:hAnsi="Times New Roman"/>
                <w:sz w:val="16"/>
                <w:szCs w:val="16"/>
              </w:rPr>
              <w:t xml:space="preserve">, lai uzlabotu pilsētvidi, </w:t>
            </w:r>
            <w:r w:rsidR="00152154" w:rsidRPr="00A3214F">
              <w:rPr>
                <w:rFonts w:ascii="Times New Roman" w:hAnsi="Times New Roman"/>
                <w:sz w:val="16"/>
                <w:szCs w:val="16"/>
              </w:rPr>
              <w:t xml:space="preserve">revitalizētu </w:t>
            </w:r>
            <w:r w:rsidRPr="00A3214F">
              <w:rPr>
                <w:rFonts w:ascii="Times New Roman" w:hAnsi="Times New Roman"/>
                <w:sz w:val="16"/>
                <w:szCs w:val="16"/>
              </w:rPr>
              <w:t>pilsētas, atjaunotu un attīrītu pamestas rūpnieciskās teritorijas (tai skaitā pārveidei paredzētās zonas), samazinātu gaisa piesārņojumu un veicinātu trokšņa mazināšanas pasākumus</w:t>
            </w:r>
          </w:p>
        </w:tc>
        <w:tc>
          <w:tcPr>
            <w:tcW w:w="993" w:type="dxa"/>
          </w:tcPr>
          <w:p w14:paraId="3C3C20C7" w14:textId="77777777" w:rsidR="00D946F2" w:rsidRPr="00A3214F" w:rsidRDefault="00D946F2" w:rsidP="00A3214F">
            <w:pPr>
              <w:spacing w:after="0" w:line="240" w:lineRule="auto"/>
              <w:jc w:val="both"/>
              <w:rPr>
                <w:rFonts w:ascii="Times New Roman" w:hAnsi="Times New Roman"/>
                <w:sz w:val="16"/>
                <w:szCs w:val="16"/>
              </w:rPr>
            </w:pPr>
            <w:r w:rsidRPr="00A3214F">
              <w:rPr>
                <w:rFonts w:ascii="Times New Roman" w:hAnsi="Times New Roman"/>
                <w:sz w:val="16"/>
                <w:szCs w:val="16"/>
              </w:rPr>
              <w:t>5.6.2.</w:t>
            </w:r>
            <w:r w:rsidR="006A38F8" w:rsidRPr="00A3214F">
              <w:rPr>
                <w:rFonts w:ascii="Times New Roman" w:hAnsi="Times New Roman"/>
                <w:sz w:val="16"/>
                <w:szCs w:val="16"/>
              </w:rPr>
              <w:t xml:space="preserve"> </w:t>
            </w:r>
            <w:r w:rsidRPr="00A3214F">
              <w:rPr>
                <w:rFonts w:ascii="Times New Roman" w:hAnsi="Times New Roman"/>
                <w:sz w:val="16"/>
                <w:szCs w:val="16"/>
              </w:rPr>
              <w:t>specifiskais atbalsta mērķis: teritoriju revitalizācija, reģenerējot degradētās teritorijas atbilstoši pašvaldības integrētajām attīstības programmām</w:t>
            </w:r>
            <w:r w:rsidR="006A38F8" w:rsidRPr="00A3214F">
              <w:rPr>
                <w:rFonts w:ascii="Times New Roman" w:hAnsi="Times New Roman"/>
                <w:sz w:val="16"/>
                <w:szCs w:val="16"/>
              </w:rPr>
              <w:t>, ERAF</w:t>
            </w:r>
          </w:p>
        </w:tc>
        <w:tc>
          <w:tcPr>
            <w:tcW w:w="6633" w:type="dxa"/>
          </w:tcPr>
          <w:p w14:paraId="69C252A6"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i/>
                <w:sz w:val="16"/>
                <w:szCs w:val="16"/>
              </w:rPr>
              <w:t>Nosaukums un mērvienība</w:t>
            </w:r>
            <w:r w:rsidRPr="0044353D">
              <w:rPr>
                <w:rFonts w:ascii="Times New Roman" w:hAnsi="Times New Roman"/>
                <w:sz w:val="16"/>
                <w:szCs w:val="16"/>
              </w:rPr>
              <w:t>:</w:t>
            </w:r>
          </w:p>
          <w:p w14:paraId="5EE99AC5" w14:textId="77777777" w:rsidR="00D946F2" w:rsidRPr="0044353D" w:rsidRDefault="006A38F8" w:rsidP="00A3214F">
            <w:pPr>
              <w:spacing w:after="0" w:line="240" w:lineRule="auto"/>
              <w:jc w:val="both"/>
              <w:rPr>
                <w:rFonts w:ascii="Times New Roman" w:hAnsi="Times New Roman"/>
                <w:sz w:val="16"/>
                <w:szCs w:val="16"/>
              </w:rPr>
            </w:pPr>
            <w:r w:rsidRPr="0044353D">
              <w:rPr>
                <w:rFonts w:ascii="Times New Roman" w:hAnsi="Times New Roman"/>
                <w:sz w:val="16"/>
                <w:szCs w:val="16"/>
              </w:rPr>
              <w:t>r.5.6.2.</w:t>
            </w:r>
            <w:r w:rsidR="00C9016C" w:rsidRPr="0044353D">
              <w:rPr>
                <w:rFonts w:ascii="Times New Roman" w:hAnsi="Times New Roman"/>
                <w:sz w:val="16"/>
                <w:szCs w:val="16"/>
              </w:rPr>
              <w:t>a</w:t>
            </w:r>
            <w:r w:rsidRPr="0044353D">
              <w:rPr>
                <w:rFonts w:ascii="Times New Roman" w:hAnsi="Times New Roman"/>
                <w:sz w:val="16"/>
                <w:szCs w:val="16"/>
              </w:rPr>
              <w:t xml:space="preserve"> </w:t>
            </w:r>
            <w:r w:rsidR="00D946F2" w:rsidRPr="0044353D">
              <w:rPr>
                <w:rFonts w:ascii="Times New Roman" w:hAnsi="Times New Roman"/>
                <w:b/>
                <w:sz w:val="16"/>
                <w:szCs w:val="16"/>
              </w:rPr>
              <w:t>Strādājošo skaits (privātajā sektorā)</w:t>
            </w:r>
            <w:r w:rsidRPr="0044353D">
              <w:rPr>
                <w:rFonts w:ascii="Times New Roman" w:hAnsi="Times New Roman"/>
                <w:b/>
                <w:sz w:val="16"/>
                <w:szCs w:val="16"/>
              </w:rPr>
              <w:t xml:space="preserve"> uzņēmumos, kuru ražošanas vai pakalpojuma sniegšanas vieta ir nacionālas un reģionālas nozīmes attīstības centru teritorija un to funkcionālās teritorijas, strādājošo skaits</w:t>
            </w:r>
          </w:p>
          <w:p w14:paraId="42E36A0F" w14:textId="77777777" w:rsidR="006A38F8" w:rsidRPr="0044353D" w:rsidRDefault="006A38F8" w:rsidP="00A3214F">
            <w:pPr>
              <w:spacing w:after="0" w:line="240" w:lineRule="auto"/>
              <w:jc w:val="both"/>
              <w:rPr>
                <w:rFonts w:ascii="Times New Roman" w:hAnsi="Times New Roman"/>
                <w:i/>
                <w:sz w:val="16"/>
                <w:szCs w:val="16"/>
              </w:rPr>
            </w:pPr>
          </w:p>
          <w:p w14:paraId="296889E8" w14:textId="77777777" w:rsidR="00D946F2" w:rsidRPr="0044353D" w:rsidRDefault="00D946F2" w:rsidP="00A3214F">
            <w:pPr>
              <w:spacing w:after="0" w:line="240" w:lineRule="auto"/>
              <w:jc w:val="both"/>
              <w:rPr>
                <w:rFonts w:ascii="Times New Roman" w:hAnsi="Times New Roman"/>
                <w:i/>
                <w:sz w:val="16"/>
                <w:szCs w:val="16"/>
              </w:rPr>
            </w:pPr>
            <w:r w:rsidRPr="0044353D">
              <w:rPr>
                <w:rFonts w:ascii="Times New Roman" w:hAnsi="Times New Roman"/>
                <w:i/>
                <w:sz w:val="16"/>
                <w:szCs w:val="16"/>
              </w:rPr>
              <w:t>Definīcija:</w:t>
            </w:r>
          </w:p>
          <w:p w14:paraId="2A7F558F"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sz w:val="16"/>
                <w:szCs w:val="16"/>
              </w:rPr>
              <w:t xml:space="preserve">Strādājošo skaits pamatdarbā pēc faktiskās darbavietas uzņēmumos (privātajā sektorā), kuru ražošanas vai pakalpojuma sniegšanas vieta ir nacionālas un reģionālas nozīmes attīstības centru un to funkcionālās teritorijas </w:t>
            </w:r>
          </w:p>
          <w:p w14:paraId="72022557" w14:textId="77777777" w:rsidR="006A38F8" w:rsidRPr="0044353D" w:rsidRDefault="006A38F8" w:rsidP="00A3214F">
            <w:pPr>
              <w:spacing w:after="0" w:line="240" w:lineRule="auto"/>
              <w:jc w:val="both"/>
              <w:rPr>
                <w:rFonts w:ascii="Times New Roman" w:hAnsi="Times New Roman"/>
                <w:i/>
                <w:sz w:val="16"/>
                <w:szCs w:val="16"/>
              </w:rPr>
            </w:pPr>
          </w:p>
          <w:p w14:paraId="575F6501"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i/>
                <w:sz w:val="16"/>
                <w:szCs w:val="16"/>
              </w:rPr>
              <w:t>Bāzes vērtība un tās noteikšanas gads</w:t>
            </w:r>
            <w:r w:rsidRPr="0044353D">
              <w:rPr>
                <w:rFonts w:ascii="Times New Roman" w:hAnsi="Times New Roman"/>
                <w:sz w:val="16"/>
                <w:szCs w:val="16"/>
              </w:rPr>
              <w:t>:</w:t>
            </w:r>
          </w:p>
          <w:p w14:paraId="01B2AE82"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sz w:val="16"/>
                <w:szCs w:val="16"/>
              </w:rPr>
              <w:t>429,9 tūkst. (2011.g.)</w:t>
            </w:r>
          </w:p>
          <w:p w14:paraId="3EDD6E38" w14:textId="77777777" w:rsidR="006A38F8" w:rsidRPr="0044353D" w:rsidRDefault="006A38F8" w:rsidP="00A3214F">
            <w:pPr>
              <w:spacing w:after="0" w:line="240" w:lineRule="auto"/>
              <w:jc w:val="both"/>
              <w:rPr>
                <w:rFonts w:ascii="Times New Roman" w:hAnsi="Times New Roman"/>
                <w:i/>
                <w:sz w:val="16"/>
                <w:szCs w:val="16"/>
              </w:rPr>
            </w:pPr>
          </w:p>
          <w:p w14:paraId="4FDA2EA4"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i/>
                <w:sz w:val="16"/>
                <w:szCs w:val="16"/>
              </w:rPr>
              <w:t>Datu avots</w:t>
            </w:r>
            <w:r w:rsidRPr="0044353D">
              <w:rPr>
                <w:rFonts w:ascii="Times New Roman" w:hAnsi="Times New Roman"/>
                <w:sz w:val="16"/>
                <w:szCs w:val="16"/>
              </w:rPr>
              <w:t>:</w:t>
            </w:r>
          </w:p>
          <w:p w14:paraId="6EF84945" w14:textId="41160B1E" w:rsidR="00BB3B2F" w:rsidRPr="00A72AAF" w:rsidRDefault="00D946F2" w:rsidP="00BB3B2F">
            <w:pPr>
              <w:spacing w:after="0" w:line="240" w:lineRule="auto"/>
              <w:jc w:val="both"/>
              <w:rPr>
                <w:rFonts w:ascii="Times New Roman" w:eastAsiaTheme="minorHAnsi" w:hAnsi="Times New Roman"/>
                <w:sz w:val="18"/>
                <w:szCs w:val="18"/>
              </w:rPr>
            </w:pPr>
            <w:r w:rsidRPr="0044353D">
              <w:rPr>
                <w:rFonts w:ascii="Times New Roman" w:hAnsi="Times New Roman"/>
                <w:sz w:val="16"/>
                <w:szCs w:val="16"/>
              </w:rPr>
              <w:t>CSP</w:t>
            </w:r>
            <w:r w:rsidR="00BB3B2F">
              <w:rPr>
                <w:rFonts w:ascii="Times New Roman" w:hAnsi="Times New Roman"/>
                <w:sz w:val="16"/>
                <w:szCs w:val="16"/>
              </w:rPr>
              <w:t xml:space="preserve"> </w:t>
            </w:r>
            <w:r w:rsidR="00BB3B2F">
              <w:rPr>
                <w:rFonts w:ascii="Times New Roman" w:eastAsiaTheme="minorHAnsi" w:hAnsi="Times New Roman"/>
                <w:sz w:val="18"/>
                <w:szCs w:val="18"/>
              </w:rPr>
              <w:t>(speciāli gatavotā, nepublicētā informācija)</w:t>
            </w:r>
          </w:p>
          <w:p w14:paraId="003C2153" w14:textId="3F80FB7D" w:rsidR="00D946F2" w:rsidRPr="0044353D" w:rsidRDefault="00D946F2" w:rsidP="00A3214F">
            <w:pPr>
              <w:spacing w:after="0" w:line="240" w:lineRule="auto"/>
              <w:jc w:val="both"/>
              <w:rPr>
                <w:rFonts w:ascii="Times New Roman" w:hAnsi="Times New Roman"/>
                <w:sz w:val="16"/>
                <w:szCs w:val="16"/>
              </w:rPr>
            </w:pPr>
          </w:p>
          <w:p w14:paraId="1DD7152B" w14:textId="77777777" w:rsidR="006A38F8" w:rsidRPr="0044353D" w:rsidRDefault="006A38F8" w:rsidP="00A3214F">
            <w:pPr>
              <w:spacing w:after="0" w:line="240" w:lineRule="auto"/>
              <w:jc w:val="both"/>
              <w:rPr>
                <w:rFonts w:ascii="Times New Roman" w:hAnsi="Times New Roman"/>
                <w:i/>
                <w:sz w:val="16"/>
                <w:szCs w:val="16"/>
              </w:rPr>
            </w:pPr>
          </w:p>
          <w:p w14:paraId="5F53C5F2" w14:textId="77777777" w:rsidR="00D946F2" w:rsidRPr="0044353D" w:rsidRDefault="00D946F2" w:rsidP="00A3214F">
            <w:pPr>
              <w:spacing w:after="0" w:line="240" w:lineRule="auto"/>
              <w:jc w:val="both"/>
              <w:rPr>
                <w:rFonts w:ascii="Times New Roman" w:hAnsi="Times New Roman"/>
                <w:i/>
                <w:sz w:val="16"/>
                <w:szCs w:val="16"/>
              </w:rPr>
            </w:pPr>
            <w:r w:rsidRPr="0044353D">
              <w:rPr>
                <w:rFonts w:ascii="Times New Roman" w:hAnsi="Times New Roman"/>
                <w:i/>
                <w:sz w:val="16"/>
                <w:szCs w:val="16"/>
              </w:rPr>
              <w:t>Apkopošanas biežums un ieguves metodoloģija:</w:t>
            </w:r>
          </w:p>
          <w:p w14:paraId="2BDDCD66"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sz w:val="16"/>
                <w:szCs w:val="16"/>
              </w:rPr>
              <w:t>Reizi gadā</w:t>
            </w:r>
          </w:p>
          <w:p w14:paraId="771D9EE3" w14:textId="77777777" w:rsidR="006A38F8" w:rsidRPr="0044353D" w:rsidRDefault="006A38F8" w:rsidP="00A3214F">
            <w:pPr>
              <w:spacing w:after="0" w:line="240" w:lineRule="auto"/>
              <w:jc w:val="both"/>
              <w:rPr>
                <w:rFonts w:ascii="Times New Roman" w:hAnsi="Times New Roman"/>
                <w:i/>
                <w:sz w:val="16"/>
                <w:szCs w:val="16"/>
              </w:rPr>
            </w:pPr>
          </w:p>
          <w:p w14:paraId="46656CB1"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i/>
                <w:sz w:val="16"/>
                <w:szCs w:val="16"/>
              </w:rPr>
              <w:t>Mērķis 2023</w:t>
            </w:r>
            <w:r w:rsidRPr="0044353D">
              <w:rPr>
                <w:rFonts w:ascii="Times New Roman" w:hAnsi="Times New Roman"/>
                <w:sz w:val="16"/>
                <w:szCs w:val="16"/>
              </w:rPr>
              <w:t>:</w:t>
            </w:r>
          </w:p>
          <w:p w14:paraId="3C079074" w14:textId="77777777" w:rsidR="006A38F8" w:rsidRPr="0044353D" w:rsidRDefault="00CA5257" w:rsidP="00A3214F">
            <w:pPr>
              <w:spacing w:after="0" w:line="240" w:lineRule="auto"/>
              <w:jc w:val="both"/>
              <w:rPr>
                <w:rFonts w:ascii="Times New Roman" w:hAnsi="Times New Roman"/>
                <w:i/>
                <w:sz w:val="16"/>
                <w:szCs w:val="16"/>
              </w:rPr>
            </w:pPr>
            <w:r w:rsidRPr="0044353D">
              <w:rPr>
                <w:rFonts w:ascii="Times New Roman" w:hAnsi="Times New Roman"/>
                <w:sz w:val="16"/>
                <w:szCs w:val="16"/>
              </w:rPr>
              <w:t>446,3 – 475,1</w:t>
            </w:r>
            <w:r w:rsidR="0082320F">
              <w:rPr>
                <w:rFonts w:ascii="Times New Roman" w:hAnsi="Times New Roman"/>
                <w:sz w:val="16"/>
                <w:szCs w:val="16"/>
              </w:rPr>
              <w:t>,</w:t>
            </w:r>
            <w:r w:rsidR="0082320F">
              <w:t xml:space="preserve"> </w:t>
            </w:r>
            <w:r w:rsidR="0082320F" w:rsidRPr="0082320F">
              <w:rPr>
                <w:rFonts w:ascii="Times New Roman" w:eastAsiaTheme="minorHAnsi" w:hAnsi="Times New Roman"/>
                <w:sz w:val="16"/>
                <w:szCs w:val="16"/>
              </w:rPr>
              <w:t xml:space="preserve">t.sk. integrēto teritoriālo investīciju ietvaros – 441,0 – 469,8 </w:t>
            </w:r>
            <w:r w:rsidR="00B32718" w:rsidRPr="0044353D">
              <w:rPr>
                <w:rFonts w:ascii="Times New Roman" w:hAnsi="Times New Roman"/>
                <w:sz w:val="16"/>
                <w:szCs w:val="16"/>
              </w:rPr>
              <w:t xml:space="preserve"> (atbilstoši EM vispārējām prognozēm</w:t>
            </w:r>
            <w:r w:rsidR="00750B73" w:rsidRPr="0044353D">
              <w:rPr>
                <w:rFonts w:ascii="Times New Roman" w:hAnsi="Times New Roman"/>
                <w:sz w:val="16"/>
                <w:szCs w:val="16"/>
              </w:rPr>
              <w:t>)</w:t>
            </w:r>
            <w:r w:rsidR="00B32718" w:rsidRPr="0044353D" w:rsidDel="00B32718">
              <w:rPr>
                <w:rFonts w:ascii="Times New Roman" w:hAnsi="Times New Roman"/>
                <w:sz w:val="16"/>
                <w:szCs w:val="16"/>
              </w:rPr>
              <w:t xml:space="preserve"> </w:t>
            </w:r>
          </w:p>
          <w:p w14:paraId="093D76EE" w14:textId="77777777" w:rsidR="00B32718" w:rsidRPr="0044353D" w:rsidRDefault="00B32718" w:rsidP="00A3214F">
            <w:pPr>
              <w:spacing w:after="0" w:line="240" w:lineRule="auto"/>
              <w:jc w:val="both"/>
              <w:rPr>
                <w:rFonts w:ascii="Times New Roman" w:hAnsi="Times New Roman"/>
                <w:i/>
                <w:sz w:val="16"/>
                <w:szCs w:val="16"/>
              </w:rPr>
            </w:pPr>
          </w:p>
          <w:p w14:paraId="16083233"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i/>
                <w:sz w:val="16"/>
                <w:szCs w:val="16"/>
              </w:rPr>
              <w:t>Mērķa vērtības noteikšanas principi/metodoloģija</w:t>
            </w:r>
            <w:r w:rsidRPr="0044353D">
              <w:rPr>
                <w:rFonts w:ascii="Times New Roman" w:hAnsi="Times New Roman"/>
                <w:sz w:val="16"/>
                <w:szCs w:val="16"/>
              </w:rPr>
              <w:t>:</w:t>
            </w:r>
          </w:p>
          <w:p w14:paraId="537A88AC" w14:textId="77777777" w:rsidR="00D946F2" w:rsidRPr="0044353D" w:rsidRDefault="00D946F2" w:rsidP="00A3214F">
            <w:pPr>
              <w:pStyle w:val="ListParagraph"/>
              <w:numPr>
                <w:ilvl w:val="0"/>
                <w:numId w:val="1"/>
              </w:numPr>
              <w:spacing w:after="0" w:line="240" w:lineRule="auto"/>
              <w:ind w:left="205" w:hanging="219"/>
              <w:jc w:val="both"/>
              <w:rPr>
                <w:rFonts w:ascii="Times New Roman" w:hAnsi="Times New Roman"/>
                <w:sz w:val="16"/>
                <w:szCs w:val="16"/>
              </w:rPr>
            </w:pPr>
            <w:r w:rsidRPr="0044353D">
              <w:rPr>
                <w:rFonts w:ascii="Times New Roman" w:hAnsi="Times New Roman"/>
                <w:sz w:val="16"/>
                <w:szCs w:val="16"/>
              </w:rPr>
              <w:t>Strādājošo skaits noteikts uzņēmumos, kuru ražošanas vai pakalpojuma sniegšanas vieta ir nacionālas un reģionālas nozīmes attīstības centru un to funkcionālās teritorijas;</w:t>
            </w:r>
          </w:p>
          <w:p w14:paraId="1EDA0687" w14:textId="77777777" w:rsidR="00D946F2" w:rsidRPr="0044353D" w:rsidRDefault="00D946F2" w:rsidP="00A3214F">
            <w:pPr>
              <w:pStyle w:val="ListParagraph"/>
              <w:numPr>
                <w:ilvl w:val="0"/>
                <w:numId w:val="1"/>
              </w:numPr>
              <w:spacing w:after="0" w:line="240" w:lineRule="auto"/>
              <w:ind w:left="205" w:hanging="219"/>
              <w:jc w:val="both"/>
              <w:rPr>
                <w:rFonts w:ascii="Times New Roman" w:hAnsi="Times New Roman"/>
                <w:sz w:val="16"/>
                <w:szCs w:val="16"/>
              </w:rPr>
            </w:pPr>
            <w:r w:rsidRPr="0044353D">
              <w:rPr>
                <w:rFonts w:ascii="Times New Roman" w:hAnsi="Times New Roman"/>
                <w:sz w:val="16"/>
                <w:szCs w:val="16"/>
              </w:rPr>
              <w:t>Bāzes vērtība noteikta saskaņā ar CSP rādītāju Nr.jvsg071.„Strādājošo skaits pamatdarbā pēc faktiskās darbavietas republikas pilsētās, novados un reģionos”</w:t>
            </w:r>
          </w:p>
          <w:p w14:paraId="2D392CEE" w14:textId="77777777" w:rsidR="00D946F2" w:rsidRPr="0044353D" w:rsidRDefault="00D946F2" w:rsidP="00A3214F">
            <w:pPr>
              <w:pStyle w:val="ListParagraph"/>
              <w:numPr>
                <w:ilvl w:val="0"/>
                <w:numId w:val="1"/>
              </w:numPr>
              <w:spacing w:after="0" w:line="240" w:lineRule="auto"/>
              <w:ind w:left="205" w:hanging="219"/>
              <w:jc w:val="both"/>
              <w:rPr>
                <w:rFonts w:ascii="Times New Roman" w:hAnsi="Times New Roman"/>
                <w:sz w:val="16"/>
                <w:szCs w:val="16"/>
              </w:rPr>
            </w:pPr>
            <w:r w:rsidRPr="0044353D">
              <w:rPr>
                <w:rFonts w:ascii="Times New Roman" w:hAnsi="Times New Roman"/>
                <w:sz w:val="16"/>
                <w:szCs w:val="16"/>
              </w:rPr>
              <w:t xml:space="preserve">Mērķa vērtība noteikta, balstoties uz Ekonomikas ministrijas 2012.gada „Informatīvo ziņojumu par darba tirgus vidēja un ilgtermiņa prognozēm”, ekstrapolējot nodarbināto iedzīvotāju skaita vājas izaugsmes scenārija prognozi uz 2023.gadu un specifisko atbalsta mērķu ietekmes aprēķinu, pieņemot, ka vidēji vienas darbavietas radīšanai nepieciešamas investīcijas 41 000 </w:t>
            </w:r>
            <w:r w:rsidRPr="0044353D">
              <w:rPr>
                <w:rFonts w:ascii="Times New Roman" w:hAnsi="Times New Roman"/>
                <w:i/>
                <w:sz w:val="16"/>
                <w:szCs w:val="16"/>
              </w:rPr>
              <w:t>euro</w:t>
            </w:r>
            <w:r w:rsidRPr="0044353D">
              <w:rPr>
                <w:rFonts w:ascii="Times New Roman" w:hAnsi="Times New Roman"/>
                <w:sz w:val="16"/>
                <w:szCs w:val="16"/>
              </w:rPr>
              <w:t xml:space="preserve"> apmērā.</w:t>
            </w:r>
          </w:p>
          <w:p w14:paraId="057D6FAB" w14:textId="77777777" w:rsidR="00D946F2" w:rsidRPr="0044353D" w:rsidRDefault="00D946F2" w:rsidP="00A3214F">
            <w:pPr>
              <w:pStyle w:val="ListParagraph"/>
              <w:numPr>
                <w:ilvl w:val="0"/>
                <w:numId w:val="1"/>
              </w:numPr>
              <w:spacing w:after="0" w:line="240" w:lineRule="auto"/>
              <w:ind w:left="205" w:hanging="219"/>
              <w:jc w:val="both"/>
              <w:rPr>
                <w:rFonts w:ascii="Times New Roman" w:hAnsi="Times New Roman"/>
                <w:sz w:val="16"/>
                <w:szCs w:val="16"/>
              </w:rPr>
            </w:pPr>
            <w:r w:rsidRPr="0044353D">
              <w:rPr>
                <w:rFonts w:ascii="Times New Roman" w:hAnsi="Times New Roman"/>
                <w:sz w:val="16"/>
                <w:szCs w:val="16"/>
              </w:rPr>
              <w:t>Rezultāta noteikšanā ņemta vērā Finanšu ministrijas Makroekonomisko pieņēmumu un prognožu skaitliskās vērtības, diskontējot prognozi ietekmējošos rādītājus.</w:t>
            </w:r>
          </w:p>
          <w:p w14:paraId="3831B85B" w14:textId="77777777" w:rsidR="0075092B" w:rsidRPr="0044353D" w:rsidRDefault="00D946F2" w:rsidP="00455040">
            <w:pPr>
              <w:pStyle w:val="ListParagraph"/>
              <w:numPr>
                <w:ilvl w:val="0"/>
                <w:numId w:val="1"/>
              </w:numPr>
              <w:spacing w:after="0" w:line="240" w:lineRule="auto"/>
              <w:ind w:left="205" w:hanging="219"/>
              <w:jc w:val="both"/>
              <w:rPr>
                <w:rFonts w:ascii="Times New Roman" w:hAnsi="Times New Roman"/>
                <w:sz w:val="16"/>
                <w:szCs w:val="16"/>
              </w:rPr>
            </w:pPr>
            <w:r w:rsidRPr="0044353D">
              <w:rPr>
                <w:rFonts w:ascii="Times New Roman" w:hAnsi="Times New Roman"/>
                <w:sz w:val="16"/>
                <w:szCs w:val="16"/>
              </w:rPr>
              <w:t>Vispārējās ekonomiskās izaugsmes ietekme – 23,3 tūkst. strādājošo, 3.3.</w:t>
            </w:r>
            <w:r w:rsidR="00455040">
              <w:rPr>
                <w:rFonts w:ascii="Times New Roman" w:hAnsi="Times New Roman"/>
                <w:sz w:val="16"/>
                <w:szCs w:val="16"/>
              </w:rPr>
              <w:t>1</w:t>
            </w:r>
            <w:r w:rsidRPr="0044353D">
              <w:rPr>
                <w:rFonts w:ascii="Times New Roman" w:hAnsi="Times New Roman"/>
                <w:sz w:val="16"/>
                <w:szCs w:val="16"/>
              </w:rPr>
              <w:t xml:space="preserve">.specifiskā atbalsta mērķa ietekme – </w:t>
            </w:r>
            <w:r w:rsidR="00B32718" w:rsidRPr="0044353D">
              <w:rPr>
                <w:rFonts w:ascii="Times New Roman" w:hAnsi="Times New Roman"/>
                <w:sz w:val="16"/>
                <w:szCs w:val="16"/>
              </w:rPr>
              <w:t>1,5</w:t>
            </w:r>
            <w:r w:rsidRPr="0044353D">
              <w:rPr>
                <w:rFonts w:ascii="Times New Roman" w:hAnsi="Times New Roman"/>
                <w:sz w:val="16"/>
                <w:szCs w:val="16"/>
              </w:rPr>
              <w:t xml:space="preserve"> tūkst. strādājošo, bet 5.6.2.specifiskā atbalsta mērķa ietekme – </w:t>
            </w:r>
            <w:r w:rsidR="00B32718" w:rsidRPr="0044353D">
              <w:rPr>
                <w:rFonts w:ascii="Times New Roman" w:hAnsi="Times New Roman"/>
                <w:sz w:val="16"/>
                <w:szCs w:val="16"/>
              </w:rPr>
              <w:t>5,</w:t>
            </w:r>
            <w:r w:rsidR="00750B73" w:rsidRPr="0044353D">
              <w:rPr>
                <w:rFonts w:ascii="Times New Roman" w:hAnsi="Times New Roman"/>
                <w:sz w:val="16"/>
                <w:szCs w:val="16"/>
              </w:rPr>
              <w:t>8</w:t>
            </w:r>
            <w:r w:rsidRPr="0044353D">
              <w:rPr>
                <w:rFonts w:ascii="Times New Roman" w:hAnsi="Times New Roman"/>
                <w:sz w:val="16"/>
                <w:szCs w:val="16"/>
              </w:rPr>
              <w:t xml:space="preserve"> tūkst. strādājošo.</w:t>
            </w:r>
          </w:p>
        </w:tc>
        <w:tc>
          <w:tcPr>
            <w:tcW w:w="3856" w:type="dxa"/>
          </w:tcPr>
          <w:p w14:paraId="667A4E9A"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i/>
                <w:sz w:val="16"/>
                <w:szCs w:val="16"/>
              </w:rPr>
              <w:t>IR1 nosaukums un mērvienība</w:t>
            </w:r>
            <w:r w:rsidRPr="0044353D">
              <w:rPr>
                <w:rFonts w:ascii="Times New Roman" w:hAnsi="Times New Roman"/>
                <w:sz w:val="16"/>
                <w:szCs w:val="16"/>
              </w:rPr>
              <w:t>:</w:t>
            </w:r>
          </w:p>
          <w:p w14:paraId="7D265816" w14:textId="77777777" w:rsidR="00D946F2" w:rsidRPr="0044353D" w:rsidRDefault="006A38F8" w:rsidP="00A3214F">
            <w:pPr>
              <w:spacing w:after="0" w:line="240" w:lineRule="auto"/>
              <w:jc w:val="both"/>
              <w:rPr>
                <w:rFonts w:ascii="Times New Roman" w:hAnsi="Times New Roman"/>
                <w:b/>
                <w:sz w:val="16"/>
                <w:szCs w:val="16"/>
              </w:rPr>
            </w:pPr>
            <w:r w:rsidRPr="0044353D">
              <w:rPr>
                <w:rFonts w:ascii="Times New Roman" w:hAnsi="Times New Roman"/>
                <w:sz w:val="16"/>
                <w:szCs w:val="16"/>
              </w:rPr>
              <w:t>i.5.6.2.a</w:t>
            </w:r>
            <w:r w:rsidR="00C9016C" w:rsidRPr="0044353D">
              <w:rPr>
                <w:rFonts w:ascii="Times New Roman" w:hAnsi="Times New Roman"/>
                <w:sz w:val="16"/>
                <w:szCs w:val="16"/>
              </w:rPr>
              <w:t>k</w:t>
            </w:r>
            <w:r w:rsidRPr="0044353D">
              <w:rPr>
                <w:rFonts w:ascii="Times New Roman" w:hAnsi="Times New Roman"/>
                <w:sz w:val="16"/>
                <w:szCs w:val="16"/>
              </w:rPr>
              <w:t xml:space="preserve"> (</w:t>
            </w:r>
            <w:r w:rsidR="00225851" w:rsidRPr="0044353D">
              <w:rPr>
                <w:rFonts w:ascii="Times New Roman" w:hAnsi="Times New Roman"/>
                <w:sz w:val="16"/>
                <w:szCs w:val="16"/>
              </w:rPr>
              <w:t>CO22</w:t>
            </w:r>
            <w:r w:rsidRPr="0044353D">
              <w:rPr>
                <w:rFonts w:ascii="Times New Roman" w:hAnsi="Times New Roman"/>
                <w:sz w:val="16"/>
                <w:szCs w:val="16"/>
              </w:rPr>
              <w:t xml:space="preserve">) </w:t>
            </w:r>
            <w:r w:rsidR="00225851" w:rsidRPr="0044353D">
              <w:rPr>
                <w:rFonts w:ascii="Times New Roman" w:hAnsi="Times New Roman"/>
                <w:b/>
                <w:sz w:val="16"/>
                <w:szCs w:val="16"/>
              </w:rPr>
              <w:t>Kopējā atjaunotās zemes platība</w:t>
            </w:r>
            <w:r w:rsidRPr="0044353D">
              <w:rPr>
                <w:rFonts w:ascii="Times New Roman" w:hAnsi="Times New Roman"/>
                <w:b/>
                <w:sz w:val="16"/>
                <w:szCs w:val="16"/>
              </w:rPr>
              <w:t>, ha</w:t>
            </w:r>
            <w:r w:rsidR="00E87F47">
              <w:rPr>
                <w:rStyle w:val="FootnoteReference"/>
                <w:rFonts w:ascii="Times New Roman" w:hAnsi="Times New Roman"/>
                <w:b/>
                <w:sz w:val="16"/>
                <w:szCs w:val="16"/>
              </w:rPr>
              <w:footnoteReference w:id="2"/>
            </w:r>
          </w:p>
          <w:p w14:paraId="430E44A5" w14:textId="77777777" w:rsidR="006A38F8" w:rsidRPr="0044353D" w:rsidRDefault="006A38F8" w:rsidP="00A3214F">
            <w:pPr>
              <w:spacing w:after="0" w:line="240" w:lineRule="auto"/>
              <w:jc w:val="both"/>
              <w:rPr>
                <w:rFonts w:ascii="Times New Roman" w:hAnsi="Times New Roman"/>
                <w:i/>
                <w:sz w:val="16"/>
                <w:szCs w:val="16"/>
              </w:rPr>
            </w:pPr>
          </w:p>
          <w:p w14:paraId="156C4323" w14:textId="77777777" w:rsidR="00D946F2" w:rsidRPr="0044353D" w:rsidRDefault="00D946F2" w:rsidP="00A3214F">
            <w:pPr>
              <w:spacing w:after="0" w:line="240" w:lineRule="auto"/>
              <w:jc w:val="both"/>
              <w:rPr>
                <w:rFonts w:ascii="Times New Roman" w:hAnsi="Times New Roman"/>
                <w:i/>
                <w:sz w:val="16"/>
                <w:szCs w:val="16"/>
              </w:rPr>
            </w:pPr>
            <w:r w:rsidRPr="0044353D">
              <w:rPr>
                <w:rFonts w:ascii="Times New Roman" w:hAnsi="Times New Roman"/>
                <w:i/>
                <w:sz w:val="16"/>
                <w:szCs w:val="16"/>
              </w:rPr>
              <w:t>Definīcija:</w:t>
            </w:r>
          </w:p>
          <w:p w14:paraId="75585D58" w14:textId="77777777" w:rsidR="001B5BB4" w:rsidRPr="0044353D" w:rsidRDefault="001B5BB4" w:rsidP="00A3214F">
            <w:pPr>
              <w:spacing w:after="0" w:line="240" w:lineRule="auto"/>
              <w:jc w:val="both"/>
              <w:rPr>
                <w:rFonts w:ascii="Times New Roman" w:hAnsi="Times New Roman"/>
                <w:i/>
                <w:sz w:val="16"/>
                <w:szCs w:val="16"/>
              </w:rPr>
            </w:pPr>
            <w:r w:rsidRPr="0044353D">
              <w:rPr>
                <w:rFonts w:ascii="Times New Roman" w:hAnsi="Times New Roman"/>
                <w:sz w:val="16"/>
                <w:szCs w:val="16"/>
              </w:rPr>
              <w:t xml:space="preserve">Kopējā atjaunotās zemes platība jeb revitalizēto degradēto teritoriju platība, kas </w:t>
            </w:r>
            <w:r w:rsidR="00225851" w:rsidRPr="0044353D">
              <w:rPr>
                <w:rFonts w:ascii="Times New Roman" w:hAnsi="Times New Roman"/>
                <w:sz w:val="16"/>
                <w:szCs w:val="16"/>
              </w:rPr>
              <w:t>pielāgota jaunu uzņēmumu izvietošanai vai esošo paplašināšanai, lai sekmētu nodarbinātību un ekonomisko aktivitāti pašvaldībās</w:t>
            </w:r>
            <w:r w:rsidRPr="0044353D">
              <w:rPr>
                <w:rFonts w:ascii="Times New Roman" w:hAnsi="Times New Roman"/>
                <w:sz w:val="16"/>
                <w:szCs w:val="16"/>
              </w:rPr>
              <w:t xml:space="preserve">, t.i., </w:t>
            </w:r>
            <w:r w:rsidR="00032A16" w:rsidRPr="0044353D">
              <w:rPr>
                <w:rFonts w:ascii="Times New Roman" w:hAnsi="Times New Roman"/>
                <w:sz w:val="16"/>
                <w:szCs w:val="16"/>
              </w:rPr>
              <w:t>vieta vai pilsētas daļa, kas līdzšinējā laikā ir izmantota, apbūvēta vai plānota uzņēmējdarbības aktivitātēm, bet šobrīd tur uzņēmējdarbības aktivitātes un nodarbinātība nav apmierinošā līmenī. Teritorijas vai tajās esošie objekti ir pilnībā vai daļēji pamesti vai nolaisti vai arī nereti – piesārņoti.</w:t>
            </w:r>
          </w:p>
          <w:p w14:paraId="5A01EBAF"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i/>
                <w:sz w:val="16"/>
                <w:szCs w:val="16"/>
              </w:rPr>
              <w:t>Datu avots</w:t>
            </w:r>
            <w:r w:rsidRPr="0044353D">
              <w:rPr>
                <w:rFonts w:ascii="Times New Roman" w:hAnsi="Times New Roman"/>
                <w:sz w:val="16"/>
                <w:szCs w:val="16"/>
              </w:rPr>
              <w:t>:</w:t>
            </w:r>
          </w:p>
          <w:p w14:paraId="16BB7603"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sz w:val="16"/>
                <w:szCs w:val="16"/>
              </w:rPr>
              <w:t>Projektu dokumentācija</w:t>
            </w:r>
          </w:p>
          <w:p w14:paraId="30AB17F9" w14:textId="77777777" w:rsidR="006A38F8" w:rsidRPr="0044353D" w:rsidRDefault="006A38F8" w:rsidP="00A3214F">
            <w:pPr>
              <w:spacing w:after="0" w:line="240" w:lineRule="auto"/>
              <w:jc w:val="both"/>
              <w:rPr>
                <w:rFonts w:ascii="Times New Roman" w:hAnsi="Times New Roman"/>
                <w:i/>
                <w:sz w:val="16"/>
                <w:szCs w:val="16"/>
              </w:rPr>
            </w:pPr>
          </w:p>
          <w:p w14:paraId="2EC37EDB" w14:textId="77777777" w:rsidR="00D946F2" w:rsidRPr="0044353D" w:rsidRDefault="00D946F2" w:rsidP="00A3214F">
            <w:pPr>
              <w:spacing w:after="0" w:line="240" w:lineRule="auto"/>
              <w:jc w:val="both"/>
              <w:rPr>
                <w:rFonts w:ascii="Times New Roman" w:hAnsi="Times New Roman"/>
                <w:i/>
                <w:sz w:val="16"/>
                <w:szCs w:val="16"/>
              </w:rPr>
            </w:pPr>
            <w:r w:rsidRPr="0044353D">
              <w:rPr>
                <w:rFonts w:ascii="Times New Roman" w:hAnsi="Times New Roman"/>
                <w:i/>
                <w:sz w:val="16"/>
                <w:szCs w:val="16"/>
              </w:rPr>
              <w:t>Apkopošanas biežums un ieguves metodoloģija:</w:t>
            </w:r>
          </w:p>
          <w:p w14:paraId="1CE65168"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sz w:val="16"/>
                <w:szCs w:val="16"/>
              </w:rPr>
              <w:t>Reizi gadā.</w:t>
            </w:r>
          </w:p>
          <w:p w14:paraId="4ACDBEF3" w14:textId="77777777" w:rsidR="00D946F2" w:rsidRPr="0044353D" w:rsidRDefault="00D946F2" w:rsidP="00A3214F">
            <w:pPr>
              <w:spacing w:after="0" w:line="240" w:lineRule="auto"/>
              <w:jc w:val="both"/>
              <w:rPr>
                <w:rFonts w:ascii="Times New Roman" w:hAnsi="Times New Roman"/>
                <w:sz w:val="16"/>
                <w:szCs w:val="16"/>
              </w:rPr>
            </w:pPr>
          </w:p>
          <w:p w14:paraId="522344A5" w14:textId="77777777" w:rsidR="00D946F2" w:rsidRPr="0044353D" w:rsidRDefault="00D946F2" w:rsidP="00A3214F">
            <w:pPr>
              <w:spacing w:after="0" w:line="240" w:lineRule="auto"/>
              <w:jc w:val="both"/>
              <w:rPr>
                <w:rFonts w:ascii="Times New Roman" w:hAnsi="Times New Roman"/>
                <w:i/>
                <w:sz w:val="16"/>
                <w:szCs w:val="16"/>
              </w:rPr>
            </w:pPr>
            <w:r w:rsidRPr="0044353D">
              <w:rPr>
                <w:rFonts w:ascii="Times New Roman" w:hAnsi="Times New Roman"/>
                <w:i/>
                <w:sz w:val="16"/>
                <w:szCs w:val="16"/>
              </w:rPr>
              <w:t>Starpposma vērtība 2018:</w:t>
            </w:r>
          </w:p>
          <w:p w14:paraId="2E0D5C03" w14:textId="77777777" w:rsidR="00D946F2" w:rsidRDefault="00757FBD" w:rsidP="00D34FB6">
            <w:pPr>
              <w:spacing w:after="0" w:line="240" w:lineRule="auto"/>
              <w:jc w:val="both"/>
              <w:rPr>
                <w:rFonts w:ascii="Times New Roman" w:hAnsi="Times New Roman"/>
                <w:i/>
                <w:sz w:val="16"/>
                <w:szCs w:val="16"/>
              </w:rPr>
            </w:pPr>
            <w:r w:rsidRPr="0044353D">
              <w:rPr>
                <w:rFonts w:ascii="Times New Roman" w:hAnsi="Times New Roman"/>
                <w:i/>
                <w:sz w:val="16"/>
                <w:szCs w:val="16"/>
              </w:rPr>
              <w:t>0</w:t>
            </w:r>
          </w:p>
          <w:p w14:paraId="518FB269" w14:textId="77777777" w:rsidR="00CA2013" w:rsidRDefault="00CA2013">
            <w:pPr>
              <w:spacing w:after="0" w:line="240" w:lineRule="auto"/>
              <w:jc w:val="both"/>
              <w:rPr>
                <w:rFonts w:ascii="Times New Roman" w:hAnsi="Times New Roman"/>
                <w:i/>
                <w:sz w:val="16"/>
                <w:szCs w:val="16"/>
              </w:rPr>
            </w:pPr>
          </w:p>
          <w:p w14:paraId="2BB0869C" w14:textId="77777777" w:rsidR="002472EB" w:rsidRDefault="002472EB">
            <w:pPr>
              <w:spacing w:after="0" w:line="240" w:lineRule="auto"/>
              <w:jc w:val="both"/>
              <w:rPr>
                <w:rFonts w:ascii="Times New Roman" w:hAnsi="Times New Roman"/>
                <w:i/>
                <w:sz w:val="16"/>
                <w:szCs w:val="16"/>
              </w:rPr>
            </w:pPr>
          </w:p>
          <w:p w14:paraId="2E28D9E7" w14:textId="77777777" w:rsidR="00CA2013" w:rsidRDefault="00CA2013">
            <w:pPr>
              <w:spacing w:after="0" w:line="240" w:lineRule="auto"/>
              <w:jc w:val="both"/>
              <w:rPr>
                <w:rFonts w:ascii="Times New Roman" w:hAnsi="Times New Roman"/>
                <w:i/>
                <w:sz w:val="16"/>
                <w:szCs w:val="16"/>
              </w:rPr>
            </w:pPr>
            <w:r>
              <w:rPr>
                <w:rFonts w:ascii="Times New Roman" w:hAnsi="Times New Roman"/>
                <w:i/>
                <w:sz w:val="16"/>
                <w:szCs w:val="16"/>
              </w:rPr>
              <w:t>Galvenais īstenošanas posms:</w:t>
            </w:r>
          </w:p>
          <w:p w14:paraId="703C347A" w14:textId="6F910083" w:rsidR="00CA2013" w:rsidRDefault="00CA2013">
            <w:pPr>
              <w:spacing w:after="0" w:line="240" w:lineRule="auto"/>
              <w:jc w:val="both"/>
              <w:rPr>
                <w:rFonts w:ascii="Times New Roman" w:hAnsi="Times New Roman"/>
                <w:sz w:val="16"/>
                <w:szCs w:val="16"/>
              </w:rPr>
            </w:pPr>
            <w:r>
              <w:rPr>
                <w:rFonts w:ascii="Times New Roman" w:hAnsi="Times New Roman"/>
                <w:sz w:val="16"/>
                <w:szCs w:val="16"/>
              </w:rPr>
              <w:t>Noslēgti</w:t>
            </w:r>
            <w:r w:rsidR="00AD27D4">
              <w:rPr>
                <w:rFonts w:ascii="Times New Roman" w:hAnsi="Times New Roman"/>
                <w:sz w:val="16"/>
                <w:szCs w:val="16"/>
              </w:rPr>
              <w:t xml:space="preserve"> 10</w:t>
            </w:r>
            <w:r>
              <w:rPr>
                <w:rFonts w:ascii="Times New Roman" w:hAnsi="Times New Roman"/>
                <w:sz w:val="16"/>
                <w:szCs w:val="16"/>
              </w:rPr>
              <w:t xml:space="preserve"> līgumi ar finansējuma saņēmējiem par projektu ieviešanu nacionālas un reģionālas nozīmes attīstības centros, atbilstoši pašvaldību integrētajām attīstības programmām.</w:t>
            </w:r>
          </w:p>
          <w:p w14:paraId="50B62A0D" w14:textId="77777777" w:rsidR="00CA2013" w:rsidRDefault="00CA2013">
            <w:pPr>
              <w:spacing w:after="0" w:line="240" w:lineRule="auto"/>
              <w:jc w:val="both"/>
              <w:rPr>
                <w:rFonts w:ascii="Times New Roman" w:hAnsi="Times New Roman"/>
                <w:sz w:val="16"/>
                <w:szCs w:val="16"/>
              </w:rPr>
            </w:pPr>
          </w:p>
          <w:p w14:paraId="3520A274" w14:textId="77777777" w:rsidR="002472EB" w:rsidRDefault="002472EB">
            <w:pPr>
              <w:spacing w:after="0" w:line="240" w:lineRule="auto"/>
              <w:jc w:val="both"/>
              <w:rPr>
                <w:rFonts w:ascii="Times New Roman" w:hAnsi="Times New Roman"/>
                <w:i/>
                <w:sz w:val="16"/>
                <w:szCs w:val="16"/>
              </w:rPr>
            </w:pPr>
          </w:p>
          <w:p w14:paraId="400512FC"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i/>
                <w:sz w:val="16"/>
                <w:szCs w:val="16"/>
              </w:rPr>
              <w:t>Mērķis 2023</w:t>
            </w:r>
            <w:r w:rsidRPr="0044353D">
              <w:rPr>
                <w:rFonts w:ascii="Times New Roman" w:hAnsi="Times New Roman"/>
                <w:sz w:val="16"/>
                <w:szCs w:val="16"/>
              </w:rPr>
              <w:t>:</w:t>
            </w:r>
          </w:p>
          <w:p w14:paraId="1DB61508" w14:textId="31C15CB8" w:rsidR="00D946F2" w:rsidRPr="0044353D" w:rsidRDefault="00E413DF" w:rsidP="00A3214F">
            <w:pPr>
              <w:spacing w:after="0" w:line="240" w:lineRule="auto"/>
              <w:jc w:val="both"/>
              <w:rPr>
                <w:rFonts w:ascii="Times New Roman" w:hAnsi="Times New Roman"/>
                <w:i/>
                <w:sz w:val="16"/>
                <w:szCs w:val="16"/>
              </w:rPr>
            </w:pPr>
            <w:r>
              <w:rPr>
                <w:rFonts w:ascii="Times New Roman" w:hAnsi="Times New Roman"/>
                <w:i/>
                <w:sz w:val="16"/>
                <w:szCs w:val="16"/>
              </w:rPr>
              <w:t>471</w:t>
            </w:r>
            <w:r w:rsidR="00C3692E" w:rsidRPr="0044353D">
              <w:rPr>
                <w:rFonts w:ascii="Times New Roman" w:eastAsiaTheme="minorHAnsi" w:hAnsi="Times New Roman"/>
                <w:sz w:val="16"/>
                <w:szCs w:val="16"/>
              </w:rPr>
              <w:t xml:space="preserve">, t.sk. integrēto teritoriālo investīciju ietvaros – </w:t>
            </w:r>
            <w:r w:rsidR="0058118F">
              <w:rPr>
                <w:rFonts w:ascii="Times New Roman" w:eastAsiaTheme="minorHAnsi" w:hAnsi="Times New Roman"/>
                <w:sz w:val="16"/>
                <w:szCs w:val="16"/>
              </w:rPr>
              <w:t xml:space="preserve">indikatīvi </w:t>
            </w:r>
            <w:r w:rsidR="00C3692E" w:rsidRPr="0044353D">
              <w:rPr>
                <w:rFonts w:ascii="Times New Roman" w:eastAsiaTheme="minorHAnsi" w:hAnsi="Times New Roman"/>
                <w:sz w:val="16"/>
                <w:szCs w:val="16"/>
              </w:rPr>
              <w:t>217 </w:t>
            </w:r>
          </w:p>
          <w:p w14:paraId="6D519252" w14:textId="77777777" w:rsidR="006A38F8" w:rsidRPr="0044353D" w:rsidRDefault="006A38F8" w:rsidP="00A3214F">
            <w:pPr>
              <w:spacing w:after="0" w:line="240" w:lineRule="auto"/>
              <w:jc w:val="both"/>
              <w:rPr>
                <w:rFonts w:ascii="Times New Roman" w:hAnsi="Times New Roman"/>
                <w:i/>
                <w:sz w:val="16"/>
                <w:szCs w:val="16"/>
              </w:rPr>
            </w:pPr>
          </w:p>
          <w:p w14:paraId="6D673964" w14:textId="77777777"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i/>
                <w:sz w:val="16"/>
                <w:szCs w:val="16"/>
              </w:rPr>
              <w:t>Mērķa vērtības noteikšanas principi/metodoloģija</w:t>
            </w:r>
            <w:r w:rsidRPr="0044353D">
              <w:rPr>
                <w:rFonts w:ascii="Times New Roman" w:hAnsi="Times New Roman"/>
                <w:sz w:val="16"/>
                <w:szCs w:val="16"/>
              </w:rPr>
              <w:t>:</w:t>
            </w:r>
          </w:p>
          <w:p w14:paraId="2C1196DC" w14:textId="6FF7BC08" w:rsidR="00D946F2" w:rsidRPr="0044353D" w:rsidRDefault="00D946F2" w:rsidP="00A3214F">
            <w:pPr>
              <w:spacing w:after="0" w:line="240" w:lineRule="auto"/>
              <w:jc w:val="both"/>
              <w:rPr>
                <w:rFonts w:ascii="Times New Roman" w:hAnsi="Times New Roman"/>
                <w:sz w:val="16"/>
                <w:szCs w:val="16"/>
              </w:rPr>
            </w:pPr>
            <w:r w:rsidRPr="0044353D">
              <w:rPr>
                <w:rFonts w:ascii="Times New Roman" w:hAnsi="Times New Roman"/>
                <w:sz w:val="16"/>
                <w:szCs w:val="16"/>
              </w:rPr>
              <w:t>VARAM 2013.gadā veiktajā nacionālas un reģionālas nozīmes attīstības centru pašvaldību aptaujā konstatēti 5826 ha degradētās jeb perspektīvas platības. Vidējās investīcijas</w:t>
            </w:r>
            <w:r w:rsidR="0037237E">
              <w:rPr>
                <w:rFonts w:ascii="Times New Roman" w:hAnsi="Times New Roman"/>
                <w:sz w:val="16"/>
                <w:szCs w:val="16"/>
              </w:rPr>
              <w:t xml:space="preserve"> laika periodā</w:t>
            </w:r>
            <w:r w:rsidR="004061F8">
              <w:rPr>
                <w:rFonts w:ascii="Times New Roman" w:hAnsi="Times New Roman"/>
                <w:sz w:val="16"/>
                <w:szCs w:val="16"/>
              </w:rPr>
              <w:t xml:space="preserve"> 2016</w:t>
            </w:r>
            <w:r w:rsidR="00482DB1">
              <w:rPr>
                <w:rFonts w:ascii="Times New Roman" w:hAnsi="Times New Roman"/>
                <w:sz w:val="16"/>
                <w:szCs w:val="16"/>
              </w:rPr>
              <w:t>.</w:t>
            </w:r>
            <w:r w:rsidR="004061F8">
              <w:rPr>
                <w:rFonts w:ascii="Times New Roman" w:hAnsi="Times New Roman"/>
                <w:sz w:val="16"/>
                <w:szCs w:val="16"/>
              </w:rPr>
              <w:t>-202</w:t>
            </w:r>
            <w:r w:rsidR="00EC6CE0">
              <w:rPr>
                <w:rFonts w:ascii="Times New Roman" w:hAnsi="Times New Roman"/>
                <w:sz w:val="16"/>
                <w:szCs w:val="16"/>
              </w:rPr>
              <w:t>2</w:t>
            </w:r>
            <w:r w:rsidR="004061F8">
              <w:rPr>
                <w:rFonts w:ascii="Times New Roman" w:hAnsi="Times New Roman"/>
                <w:sz w:val="16"/>
                <w:szCs w:val="16"/>
              </w:rPr>
              <w:t>.gadam</w:t>
            </w:r>
            <w:r w:rsidRPr="0044353D">
              <w:rPr>
                <w:rFonts w:ascii="Times New Roman" w:hAnsi="Times New Roman"/>
                <w:sz w:val="16"/>
                <w:szCs w:val="16"/>
              </w:rPr>
              <w:t xml:space="preserve"> uz 1 ha, lai to labiekārtotu un veiktu atbilstošas investīcijas </w:t>
            </w:r>
            <w:r w:rsidRPr="0044353D">
              <w:rPr>
                <w:rFonts w:ascii="Times New Roman" w:hAnsi="Times New Roman"/>
                <w:sz w:val="16"/>
                <w:szCs w:val="16"/>
              </w:rPr>
              <w:lastRenderedPageBreak/>
              <w:t xml:space="preserve">publiskajā infrastruktūrā, ir aptuveni </w:t>
            </w:r>
            <w:r w:rsidR="00225851" w:rsidRPr="0044353D">
              <w:rPr>
                <w:rFonts w:ascii="Times New Roman" w:hAnsi="Times New Roman"/>
                <w:sz w:val="16"/>
                <w:szCs w:val="16"/>
              </w:rPr>
              <w:t> </w:t>
            </w:r>
            <w:r w:rsidR="00DD09EE" w:rsidRPr="0044353D">
              <w:rPr>
                <w:rFonts w:ascii="Times New Roman" w:hAnsi="Times New Roman"/>
                <w:sz w:val="16"/>
                <w:szCs w:val="16"/>
              </w:rPr>
              <w:t>5</w:t>
            </w:r>
            <w:r w:rsidR="00DD09EE">
              <w:rPr>
                <w:rFonts w:ascii="Times New Roman" w:hAnsi="Times New Roman"/>
                <w:sz w:val="16"/>
                <w:szCs w:val="16"/>
              </w:rPr>
              <w:t>9</w:t>
            </w:r>
            <w:r w:rsidR="00DD09EE" w:rsidRPr="0044353D">
              <w:rPr>
                <w:rFonts w:ascii="Times New Roman" w:hAnsi="Times New Roman"/>
                <w:sz w:val="16"/>
                <w:szCs w:val="16"/>
              </w:rPr>
              <w:t>0</w:t>
            </w:r>
            <w:r w:rsidR="00225851" w:rsidRPr="0044353D">
              <w:rPr>
                <w:rFonts w:ascii="Times New Roman" w:hAnsi="Times New Roman"/>
                <w:sz w:val="16"/>
                <w:szCs w:val="16"/>
              </w:rPr>
              <w:t>,</w:t>
            </w:r>
            <w:r w:rsidR="00AB78A4">
              <w:rPr>
                <w:rFonts w:ascii="Times New Roman" w:hAnsi="Times New Roman"/>
                <w:sz w:val="16"/>
                <w:szCs w:val="16"/>
              </w:rPr>
              <w:t>79</w:t>
            </w:r>
            <w:r w:rsidR="00AB78A4" w:rsidRPr="0044353D">
              <w:rPr>
                <w:rFonts w:ascii="Times New Roman" w:hAnsi="Times New Roman"/>
                <w:sz w:val="16"/>
                <w:szCs w:val="16"/>
              </w:rPr>
              <w:t xml:space="preserve"> </w:t>
            </w:r>
            <w:r w:rsidRPr="0044353D">
              <w:rPr>
                <w:rFonts w:ascii="Times New Roman" w:hAnsi="Times New Roman"/>
                <w:sz w:val="16"/>
                <w:szCs w:val="16"/>
              </w:rPr>
              <w:t>tūkst. euro/ha, kas atbilst</w:t>
            </w:r>
            <w:r w:rsidR="00254BB2" w:rsidRPr="0044353D">
              <w:rPr>
                <w:rFonts w:ascii="Times New Roman" w:hAnsi="Times New Roman"/>
                <w:sz w:val="16"/>
                <w:szCs w:val="16"/>
              </w:rPr>
              <w:t xml:space="preserve"> </w:t>
            </w:r>
            <w:r w:rsidR="00F51737">
              <w:rPr>
                <w:rFonts w:ascii="Times New Roman" w:hAnsi="Times New Roman"/>
                <w:sz w:val="16"/>
                <w:szCs w:val="16"/>
              </w:rPr>
              <w:t xml:space="preserve"> </w:t>
            </w:r>
            <w:r w:rsidR="00C80443">
              <w:rPr>
                <w:rFonts w:ascii="Times New Roman" w:hAnsi="Times New Roman"/>
                <w:sz w:val="16"/>
                <w:szCs w:val="16"/>
              </w:rPr>
              <w:t>471</w:t>
            </w:r>
            <w:r w:rsidR="00C80443" w:rsidRPr="0044353D">
              <w:rPr>
                <w:rFonts w:ascii="Times New Roman" w:hAnsi="Times New Roman"/>
                <w:sz w:val="16"/>
                <w:szCs w:val="16"/>
              </w:rPr>
              <w:t xml:space="preserve"> </w:t>
            </w:r>
            <w:r w:rsidRPr="0044353D">
              <w:rPr>
                <w:rFonts w:ascii="Times New Roman" w:hAnsi="Times New Roman"/>
                <w:sz w:val="16"/>
                <w:szCs w:val="16"/>
              </w:rPr>
              <w:t>ha.</w:t>
            </w:r>
          </w:p>
          <w:p w14:paraId="0C00A18B" w14:textId="77777777" w:rsidR="00AD27D4" w:rsidRDefault="00AD27D4" w:rsidP="00AD27D4">
            <w:pPr>
              <w:spacing w:after="0" w:line="240" w:lineRule="auto"/>
              <w:jc w:val="both"/>
              <w:rPr>
                <w:rFonts w:ascii="Times New Roman" w:hAnsi="Times New Roman"/>
                <w:i/>
                <w:sz w:val="16"/>
                <w:szCs w:val="16"/>
              </w:rPr>
            </w:pPr>
          </w:p>
          <w:p w14:paraId="3BB41BA6" w14:textId="77777777" w:rsidR="00AD27D4" w:rsidRDefault="00AD27D4" w:rsidP="00AD27D4">
            <w:pPr>
              <w:spacing w:after="0" w:line="240" w:lineRule="auto"/>
              <w:jc w:val="both"/>
              <w:rPr>
                <w:rFonts w:ascii="Times New Roman" w:hAnsi="Times New Roman"/>
                <w:i/>
                <w:sz w:val="16"/>
                <w:szCs w:val="16"/>
              </w:rPr>
            </w:pPr>
            <w:r>
              <w:rPr>
                <w:rFonts w:ascii="Times New Roman" w:hAnsi="Times New Roman"/>
                <w:i/>
                <w:sz w:val="16"/>
                <w:szCs w:val="16"/>
              </w:rPr>
              <w:t>Darbība, kas liek uzskatīt mērķa vērtību par izpildītu:</w:t>
            </w:r>
          </w:p>
          <w:p w14:paraId="079576F1" w14:textId="77777777" w:rsidR="00AD27D4" w:rsidRPr="002073A7" w:rsidRDefault="00AD27D4" w:rsidP="00AD27D4">
            <w:pPr>
              <w:spacing w:after="0" w:line="240" w:lineRule="auto"/>
              <w:jc w:val="both"/>
              <w:rPr>
                <w:rFonts w:ascii="Times New Roman" w:hAnsi="Times New Roman"/>
                <w:sz w:val="16"/>
                <w:szCs w:val="16"/>
              </w:rPr>
            </w:pPr>
            <w:r w:rsidRPr="002472EB">
              <w:rPr>
                <w:rFonts w:ascii="Times New Roman" w:hAnsi="Times New Roman"/>
                <w:sz w:val="16"/>
                <w:szCs w:val="16"/>
              </w:rPr>
              <w:t>Brīdis, kad sadarbības iestāde apstiprina projekta iznākuma rādītāja sasniegšanu</w:t>
            </w:r>
            <w:r>
              <w:rPr>
                <w:rFonts w:ascii="Times New Roman" w:hAnsi="Times New Roman"/>
                <w:sz w:val="16"/>
                <w:szCs w:val="16"/>
              </w:rPr>
              <w:t>.</w:t>
            </w:r>
          </w:p>
          <w:p w14:paraId="39D52E32" w14:textId="77777777" w:rsidR="007C5718" w:rsidRPr="0044353D" w:rsidRDefault="007C5718" w:rsidP="00A3214F">
            <w:pPr>
              <w:spacing w:after="0" w:line="240" w:lineRule="auto"/>
              <w:jc w:val="both"/>
              <w:rPr>
                <w:rFonts w:ascii="Times New Roman" w:hAnsi="Times New Roman"/>
                <w:i/>
                <w:sz w:val="16"/>
                <w:szCs w:val="16"/>
              </w:rPr>
            </w:pPr>
          </w:p>
          <w:p w14:paraId="4259F773" w14:textId="77777777" w:rsidR="00D946F2" w:rsidRPr="0044353D" w:rsidRDefault="00D946F2" w:rsidP="00A3214F">
            <w:pPr>
              <w:spacing w:after="0" w:line="240" w:lineRule="auto"/>
              <w:jc w:val="both"/>
              <w:rPr>
                <w:rFonts w:ascii="Times New Roman" w:hAnsi="Times New Roman"/>
                <w:i/>
                <w:sz w:val="16"/>
                <w:szCs w:val="16"/>
              </w:rPr>
            </w:pPr>
            <w:r w:rsidRPr="0044353D">
              <w:rPr>
                <w:rFonts w:ascii="Times New Roman" w:hAnsi="Times New Roman"/>
                <w:i/>
                <w:sz w:val="16"/>
                <w:szCs w:val="16"/>
              </w:rPr>
              <w:t>Iznākuma rādītājam sasniegšanai paredzētais finansējums:</w:t>
            </w:r>
          </w:p>
          <w:p w14:paraId="1076D4F7" w14:textId="77777777" w:rsidR="00B21A91" w:rsidRPr="0044353D" w:rsidRDefault="007C5718" w:rsidP="0044353D">
            <w:pPr>
              <w:spacing w:after="0" w:line="240" w:lineRule="auto"/>
              <w:jc w:val="both"/>
              <w:rPr>
                <w:rFonts w:ascii="Times New Roman" w:hAnsi="Times New Roman"/>
                <w:i/>
                <w:sz w:val="16"/>
                <w:szCs w:val="16"/>
              </w:rPr>
            </w:pPr>
            <w:r w:rsidRPr="0044353D">
              <w:rPr>
                <w:rFonts w:ascii="Times New Roman" w:hAnsi="Times New Roman"/>
                <w:i/>
                <w:sz w:val="16"/>
                <w:szCs w:val="16"/>
              </w:rPr>
              <w:t xml:space="preserve">278 263 967 </w:t>
            </w:r>
            <w:r w:rsidR="00D946F2" w:rsidRPr="0044353D">
              <w:rPr>
                <w:rFonts w:ascii="Times New Roman" w:hAnsi="Times New Roman"/>
                <w:i/>
                <w:sz w:val="16"/>
                <w:szCs w:val="16"/>
              </w:rPr>
              <w:t>EUR</w:t>
            </w:r>
          </w:p>
        </w:tc>
        <w:tc>
          <w:tcPr>
            <w:tcW w:w="1531" w:type="dxa"/>
          </w:tcPr>
          <w:p w14:paraId="39D4C792" w14:textId="77777777" w:rsidR="00D946F2" w:rsidRPr="00A3214F" w:rsidRDefault="00D946F2" w:rsidP="00A3214F">
            <w:pPr>
              <w:spacing w:after="0" w:line="240" w:lineRule="auto"/>
              <w:jc w:val="both"/>
              <w:rPr>
                <w:rFonts w:ascii="Times New Roman" w:hAnsi="Times New Roman"/>
                <w:i/>
                <w:sz w:val="16"/>
                <w:szCs w:val="16"/>
              </w:rPr>
            </w:pPr>
            <w:r w:rsidRPr="00A3214F">
              <w:rPr>
                <w:rFonts w:ascii="Times New Roman" w:hAnsi="Times New Roman"/>
                <w:i/>
                <w:sz w:val="16"/>
                <w:szCs w:val="16"/>
              </w:rPr>
              <w:lastRenderedPageBreak/>
              <w:t>Starpposma vērtība 2018. gadam:</w:t>
            </w:r>
          </w:p>
          <w:p w14:paraId="32F8FC97" w14:textId="77777777" w:rsidR="006A38F8" w:rsidRDefault="006E4439" w:rsidP="00A3214F">
            <w:pPr>
              <w:spacing w:after="0" w:line="240" w:lineRule="auto"/>
              <w:jc w:val="both"/>
              <w:rPr>
                <w:rFonts w:ascii="Times New Roman" w:hAnsi="Times New Roman"/>
                <w:i/>
                <w:sz w:val="16"/>
                <w:szCs w:val="16"/>
              </w:rPr>
            </w:pPr>
            <w:r w:rsidRPr="006E4439">
              <w:rPr>
                <w:rFonts w:ascii="Times New Roman" w:hAnsi="Times New Roman"/>
                <w:i/>
                <w:sz w:val="16"/>
                <w:szCs w:val="16"/>
              </w:rPr>
              <w:t>58 873 907</w:t>
            </w:r>
            <w:r w:rsidR="009A4549">
              <w:rPr>
                <w:rFonts w:ascii="Times New Roman" w:hAnsi="Times New Roman"/>
                <w:i/>
                <w:sz w:val="16"/>
                <w:szCs w:val="16"/>
              </w:rPr>
              <w:t xml:space="preserve"> </w:t>
            </w:r>
            <w:r w:rsidR="00D946F2" w:rsidRPr="0044353D">
              <w:rPr>
                <w:rFonts w:ascii="Times New Roman" w:hAnsi="Times New Roman"/>
                <w:i/>
                <w:sz w:val="16"/>
                <w:szCs w:val="16"/>
              </w:rPr>
              <w:t>EUR</w:t>
            </w:r>
          </w:p>
          <w:p w14:paraId="14FEEA73" w14:textId="77777777" w:rsidR="009A4549" w:rsidRPr="00A3214F" w:rsidRDefault="009A4549" w:rsidP="00A3214F">
            <w:pPr>
              <w:spacing w:after="0" w:line="240" w:lineRule="auto"/>
              <w:jc w:val="both"/>
              <w:rPr>
                <w:rFonts w:ascii="Times New Roman" w:hAnsi="Times New Roman"/>
                <w:i/>
                <w:sz w:val="16"/>
                <w:szCs w:val="16"/>
              </w:rPr>
            </w:pPr>
          </w:p>
          <w:p w14:paraId="1274FD18" w14:textId="77777777" w:rsidR="00D946F2" w:rsidRPr="0044353D" w:rsidRDefault="00B32718" w:rsidP="00A3214F">
            <w:pPr>
              <w:spacing w:after="0" w:line="240" w:lineRule="auto"/>
              <w:jc w:val="both"/>
              <w:rPr>
                <w:rFonts w:ascii="Times New Roman" w:hAnsi="Times New Roman"/>
                <w:i/>
                <w:sz w:val="16"/>
                <w:szCs w:val="16"/>
              </w:rPr>
            </w:pPr>
            <w:r w:rsidRPr="00A3214F">
              <w:rPr>
                <w:rFonts w:ascii="Times New Roman" w:hAnsi="Times New Roman"/>
                <w:i/>
                <w:sz w:val="16"/>
                <w:szCs w:val="16"/>
              </w:rPr>
              <w:t>Mērķis 2023. gadam (vienāds ar</w:t>
            </w:r>
            <w:r w:rsidR="00D946F2" w:rsidRPr="00A3214F">
              <w:rPr>
                <w:rFonts w:ascii="Times New Roman" w:hAnsi="Times New Roman"/>
                <w:i/>
                <w:sz w:val="16"/>
                <w:szCs w:val="16"/>
              </w:rPr>
              <w:t xml:space="preserve"> 100 % no  SAM paredzētā kopējā </w:t>
            </w:r>
            <w:r w:rsidR="00D946F2" w:rsidRPr="0044353D">
              <w:rPr>
                <w:rFonts w:ascii="Times New Roman" w:hAnsi="Times New Roman"/>
                <w:i/>
                <w:sz w:val="16"/>
                <w:szCs w:val="16"/>
              </w:rPr>
              <w:t>finansējuma):</w:t>
            </w:r>
          </w:p>
          <w:p w14:paraId="2D1E47DA" w14:textId="77777777" w:rsidR="00D946F2" w:rsidRPr="00A3214F" w:rsidRDefault="007C5718" w:rsidP="00A3214F">
            <w:pPr>
              <w:spacing w:after="0" w:line="240" w:lineRule="auto"/>
              <w:jc w:val="both"/>
              <w:rPr>
                <w:rFonts w:ascii="Times New Roman" w:hAnsi="Times New Roman"/>
                <w:i/>
                <w:sz w:val="16"/>
                <w:szCs w:val="16"/>
              </w:rPr>
            </w:pPr>
            <w:r w:rsidRPr="0044353D">
              <w:rPr>
                <w:rFonts w:ascii="Times New Roman" w:hAnsi="Times New Roman"/>
                <w:i/>
                <w:sz w:val="16"/>
                <w:szCs w:val="16"/>
              </w:rPr>
              <w:t>278 263 </w:t>
            </w:r>
            <w:r w:rsidR="00E6175E" w:rsidRPr="0044353D">
              <w:rPr>
                <w:rFonts w:ascii="Times New Roman" w:hAnsi="Times New Roman"/>
                <w:i/>
                <w:sz w:val="16"/>
                <w:szCs w:val="16"/>
              </w:rPr>
              <w:t>968</w:t>
            </w:r>
            <w:r w:rsidRPr="0044353D">
              <w:rPr>
                <w:rFonts w:ascii="Times New Roman" w:hAnsi="Times New Roman"/>
                <w:i/>
                <w:sz w:val="16"/>
                <w:szCs w:val="16"/>
              </w:rPr>
              <w:t xml:space="preserve"> </w:t>
            </w:r>
            <w:r w:rsidR="00D946F2" w:rsidRPr="0044353D">
              <w:rPr>
                <w:rFonts w:ascii="Times New Roman" w:hAnsi="Times New Roman"/>
                <w:i/>
                <w:sz w:val="16"/>
                <w:szCs w:val="16"/>
              </w:rPr>
              <w:t>EUR</w:t>
            </w:r>
            <w:r w:rsidR="009A4549">
              <w:rPr>
                <w:rFonts w:ascii="Times New Roman" w:hAnsi="Times New Roman"/>
                <w:i/>
                <w:sz w:val="16"/>
                <w:szCs w:val="16"/>
              </w:rPr>
              <w:t>,</w:t>
            </w:r>
            <w:r w:rsidR="009A4549" w:rsidRPr="0044353D">
              <w:rPr>
                <w:rFonts w:ascii="Times New Roman" w:eastAsiaTheme="minorHAnsi" w:hAnsi="Times New Roman"/>
                <w:sz w:val="16"/>
                <w:szCs w:val="16"/>
              </w:rPr>
              <w:t xml:space="preserve"> t.sk. integrēto teritoriālo investīciju ietvaros – </w:t>
            </w:r>
            <w:r w:rsidR="009A4549" w:rsidRPr="0044353D">
              <w:rPr>
                <w:rFonts w:ascii="Times New Roman" w:hAnsi="Times New Roman"/>
                <w:sz w:val="16"/>
                <w:szCs w:val="16"/>
              </w:rPr>
              <w:t xml:space="preserve"> </w:t>
            </w:r>
            <w:r w:rsidR="009A4549" w:rsidRPr="0044353D">
              <w:rPr>
                <w:rFonts w:ascii="Times New Roman" w:eastAsiaTheme="minorHAnsi" w:hAnsi="Times New Roman"/>
                <w:sz w:val="16"/>
                <w:szCs w:val="16"/>
              </w:rPr>
              <w:t>92 138 673 EUR</w:t>
            </w:r>
          </w:p>
          <w:p w14:paraId="7DB750A1" w14:textId="77777777" w:rsidR="006A38F8" w:rsidRPr="00A3214F" w:rsidRDefault="006A38F8" w:rsidP="00A3214F">
            <w:pPr>
              <w:spacing w:after="0" w:line="240" w:lineRule="auto"/>
              <w:jc w:val="both"/>
              <w:rPr>
                <w:rFonts w:ascii="Times New Roman" w:hAnsi="Times New Roman"/>
                <w:i/>
                <w:sz w:val="16"/>
                <w:szCs w:val="16"/>
              </w:rPr>
            </w:pPr>
          </w:p>
          <w:p w14:paraId="7C9D39E7" w14:textId="77777777" w:rsidR="00D946F2" w:rsidRPr="00A3214F" w:rsidRDefault="00D946F2" w:rsidP="00A3214F">
            <w:pPr>
              <w:spacing w:after="0" w:line="240" w:lineRule="auto"/>
              <w:jc w:val="both"/>
              <w:rPr>
                <w:rFonts w:ascii="Times New Roman" w:hAnsi="Times New Roman"/>
                <w:i/>
                <w:sz w:val="16"/>
                <w:szCs w:val="16"/>
              </w:rPr>
            </w:pPr>
            <w:r w:rsidRPr="00A3214F">
              <w:rPr>
                <w:rFonts w:ascii="Times New Roman" w:hAnsi="Times New Roman"/>
                <w:i/>
                <w:sz w:val="16"/>
                <w:szCs w:val="16"/>
              </w:rPr>
              <w:t xml:space="preserve">Starpposma vērtības noteikšanas aprēķins: </w:t>
            </w:r>
          </w:p>
          <w:p w14:paraId="36C35837" w14:textId="77777777" w:rsidR="00B21A91" w:rsidRPr="007C5718" w:rsidRDefault="00D946F2" w:rsidP="00B21A91">
            <w:pPr>
              <w:spacing w:after="0" w:line="240" w:lineRule="auto"/>
              <w:jc w:val="both"/>
              <w:rPr>
                <w:rFonts w:ascii="Times New Roman" w:hAnsi="Times New Roman"/>
                <w:sz w:val="16"/>
                <w:szCs w:val="16"/>
              </w:rPr>
            </w:pPr>
            <w:r w:rsidRPr="00A3214F">
              <w:rPr>
                <w:rFonts w:ascii="Times New Roman" w:hAnsi="Times New Roman"/>
                <w:sz w:val="16"/>
                <w:szCs w:val="16"/>
              </w:rPr>
              <w:t xml:space="preserve">Starpposma vērtība noteikta, ņemot vērā 2007.-2013.g. plānošanas perioda pieredzi, kurā starpposma rezultāti 2010.gadā prioritātē "Policentriska attīstība” vidēji atbilda 27,9% no kopējā finansējuma. Ņemot vērā to, ka SAM īstenošanu paredzēts uzsākt 2015.gada beigās, starpposma rezultāta vērtība noteikta </w:t>
            </w:r>
            <w:r w:rsidR="006E4439" w:rsidRPr="00A3214F">
              <w:rPr>
                <w:rFonts w:ascii="Times New Roman" w:hAnsi="Times New Roman"/>
                <w:sz w:val="16"/>
                <w:szCs w:val="16"/>
              </w:rPr>
              <w:t>2</w:t>
            </w:r>
            <w:r w:rsidR="006E4439">
              <w:rPr>
                <w:rFonts w:ascii="Times New Roman" w:hAnsi="Times New Roman"/>
                <w:sz w:val="16"/>
                <w:szCs w:val="16"/>
              </w:rPr>
              <w:t>1,</w:t>
            </w:r>
            <w:r w:rsidR="00DD400C">
              <w:rPr>
                <w:rFonts w:ascii="Times New Roman" w:hAnsi="Times New Roman"/>
                <w:sz w:val="16"/>
                <w:szCs w:val="16"/>
              </w:rPr>
              <w:t>2</w:t>
            </w:r>
            <w:r w:rsidRPr="00A3214F">
              <w:rPr>
                <w:rFonts w:ascii="Times New Roman" w:hAnsi="Times New Roman"/>
                <w:sz w:val="16"/>
                <w:szCs w:val="16"/>
              </w:rPr>
              <w:t>% apmērā no SAM paredzētā kopējā finansējuma.</w:t>
            </w:r>
          </w:p>
          <w:p w14:paraId="7F1C1536" w14:textId="77777777" w:rsidR="00B21A91" w:rsidRPr="00A3214F" w:rsidRDefault="00B21A91" w:rsidP="00A3214F">
            <w:pPr>
              <w:spacing w:after="0" w:line="240" w:lineRule="auto"/>
              <w:jc w:val="both"/>
              <w:rPr>
                <w:rFonts w:ascii="Times New Roman" w:hAnsi="Times New Roman"/>
                <w:i/>
                <w:sz w:val="16"/>
                <w:szCs w:val="16"/>
              </w:rPr>
            </w:pPr>
          </w:p>
        </w:tc>
      </w:tr>
    </w:tbl>
    <w:p w14:paraId="4606CB09" w14:textId="2E40C950" w:rsidR="00FA549B" w:rsidRDefault="00FA549B"/>
    <w:sectPr w:rsidR="00FA549B" w:rsidSect="00D946F2">
      <w:pgSz w:w="16838" w:h="11906" w:orient="landscape"/>
      <w:pgMar w:top="568" w:right="1440" w:bottom="42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8DFAA" w14:textId="77777777" w:rsidR="008141D0" w:rsidRDefault="008141D0" w:rsidP="00D946F2">
      <w:pPr>
        <w:spacing w:after="0" w:line="240" w:lineRule="auto"/>
      </w:pPr>
      <w:r>
        <w:separator/>
      </w:r>
    </w:p>
  </w:endnote>
  <w:endnote w:type="continuationSeparator" w:id="0">
    <w:p w14:paraId="792BDC38" w14:textId="77777777" w:rsidR="008141D0" w:rsidRDefault="008141D0" w:rsidP="00D94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2B60C" w14:textId="77777777" w:rsidR="008141D0" w:rsidRDefault="008141D0" w:rsidP="00D946F2">
      <w:pPr>
        <w:spacing w:after="0" w:line="240" w:lineRule="auto"/>
      </w:pPr>
      <w:r>
        <w:separator/>
      </w:r>
    </w:p>
  </w:footnote>
  <w:footnote w:type="continuationSeparator" w:id="0">
    <w:p w14:paraId="2DB5764D" w14:textId="77777777" w:rsidR="008141D0" w:rsidRDefault="008141D0" w:rsidP="00D946F2">
      <w:pPr>
        <w:spacing w:after="0" w:line="240" w:lineRule="auto"/>
      </w:pPr>
      <w:r>
        <w:continuationSeparator/>
      </w:r>
    </w:p>
  </w:footnote>
  <w:footnote w:id="1">
    <w:p w14:paraId="3CD88909" w14:textId="7408663B" w:rsidR="00E87F47" w:rsidRPr="00BB3B2F" w:rsidRDefault="00E87F47" w:rsidP="00BB3B2F">
      <w:pPr>
        <w:pStyle w:val="FootnoteText"/>
        <w:jc w:val="both"/>
        <w:rPr>
          <w:rFonts w:ascii="Times New Roman" w:hAnsi="Times New Roman"/>
          <w:sz w:val="18"/>
          <w:szCs w:val="18"/>
        </w:rPr>
      </w:pPr>
      <w:r w:rsidRPr="00BB3B2F">
        <w:rPr>
          <w:rStyle w:val="FootnoteReference"/>
          <w:rFonts w:ascii="Times New Roman" w:hAnsi="Times New Roman"/>
          <w:sz w:val="18"/>
          <w:szCs w:val="18"/>
        </w:rPr>
        <w:footnoteRef/>
      </w:r>
      <w:r w:rsidRPr="00BB3B2F">
        <w:rPr>
          <w:rFonts w:ascii="Times New Roman" w:hAnsi="Times New Roman"/>
          <w:sz w:val="18"/>
          <w:szCs w:val="18"/>
        </w:rPr>
        <w:t xml:space="preserve"> Finanšu rādītāju mērvienība </w:t>
      </w:r>
      <w:r w:rsidR="001D3F3C">
        <w:rPr>
          <w:rFonts w:ascii="Times New Roman" w:hAnsi="Times New Roman"/>
          <w:sz w:val="18"/>
          <w:szCs w:val="18"/>
        </w:rPr>
        <w:t>–</w:t>
      </w:r>
      <w:r w:rsidRPr="00BB3B2F">
        <w:rPr>
          <w:rFonts w:ascii="Times New Roman" w:hAnsi="Times New Roman"/>
          <w:sz w:val="18"/>
          <w:szCs w:val="18"/>
        </w:rPr>
        <w:t xml:space="preserve"> </w:t>
      </w:r>
      <w:r w:rsidR="001D3F3C">
        <w:rPr>
          <w:rFonts w:ascii="Times New Roman" w:hAnsi="Times New Roman"/>
          <w:sz w:val="18"/>
          <w:szCs w:val="18"/>
        </w:rPr>
        <w:t xml:space="preserve">Starpposma vērtība 2018.gadam ir </w:t>
      </w:r>
      <w:r w:rsidRPr="00BB3B2F">
        <w:rPr>
          <w:rFonts w:ascii="Times New Roman" w:hAnsi="Times New Roman"/>
          <w:sz w:val="18"/>
          <w:szCs w:val="18"/>
        </w:rPr>
        <w:t>attiecināmie izdevumi EUR  sertificējošās iestādes uzskaites sistēmā līdz 30.06.2019. sertificētie izdevumi, kas finansējuma saņēmējiem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2">
    <w:p w14:paraId="5A0DF629" w14:textId="77777777" w:rsidR="00E87F47" w:rsidRPr="00BB3B2F" w:rsidRDefault="00E87F47" w:rsidP="00BB3B2F">
      <w:pPr>
        <w:jc w:val="both"/>
        <w:rPr>
          <w:rFonts w:ascii="Times New Roman" w:hAnsi="Times New Roman"/>
          <w:color w:val="1F497D"/>
          <w:sz w:val="18"/>
          <w:szCs w:val="18"/>
        </w:rPr>
      </w:pPr>
      <w:r>
        <w:rPr>
          <w:rStyle w:val="FootnoteReference"/>
        </w:rPr>
        <w:footnoteRef/>
      </w:r>
      <w:r>
        <w:t xml:space="preserve"> </w:t>
      </w:r>
      <w:r w:rsidRPr="00BB3B2F">
        <w:rPr>
          <w:rFonts w:ascii="Times New Roman" w:hAnsi="Times New Roman"/>
          <w:sz w:val="18"/>
          <w:szCs w:val="18"/>
        </w:rPr>
        <w:t xml:space="preserve">Rādītāja definīcija noteikta Eiropas Komisijas vadlīniju “Guidance document on Monitoring and Evaluation” 1.pielikumā; pieejamas </w:t>
      </w:r>
      <w:r w:rsidRPr="00BB3B2F">
        <w:rPr>
          <w:rFonts w:ascii="Times New Roman" w:hAnsi="Times New Roman"/>
          <w:color w:val="1F497D"/>
          <w:sz w:val="18"/>
          <w:szCs w:val="18"/>
        </w:rPr>
        <w:t> </w:t>
      </w:r>
      <w:hyperlink r:id="rId1" w:history="1">
        <w:r w:rsidRPr="00BB3B2F">
          <w:rPr>
            <w:rStyle w:val="Hyperlink"/>
            <w:rFonts w:ascii="Times New Roman" w:hAnsi="Times New Roman"/>
            <w:sz w:val="18"/>
            <w:szCs w:val="18"/>
          </w:rPr>
          <w:t>http://ec.europa.eu/regional_policy/sources/docoffic/2014/working/wd_2014_en.pdf</w:t>
        </w:r>
      </w:hyperlink>
      <w:r w:rsidRPr="00BB3B2F">
        <w:rPr>
          <w:rFonts w:ascii="Times New Roman" w:hAnsi="Times New Roman"/>
          <w:color w:val="1F497D"/>
          <w:sz w:val="18"/>
          <w:szCs w:val="18"/>
        </w:rPr>
        <w:t xml:space="preserve"> </w:t>
      </w:r>
    </w:p>
    <w:p w14:paraId="64A95F34" w14:textId="77777777" w:rsidR="00E87F47" w:rsidRDefault="00E87F4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F21CA"/>
    <w:multiLevelType w:val="hybridMultilevel"/>
    <w:tmpl w:val="227EB7E0"/>
    <w:lvl w:ilvl="0" w:tplc="DE260682">
      <w:start w:val="1"/>
      <w:numFmt w:val="decimal"/>
      <w:lvlText w:val="%1)"/>
      <w:lvlJc w:val="left"/>
      <w:pPr>
        <w:ind w:left="346" w:hanging="360"/>
      </w:pPr>
      <w:rPr>
        <w:rFonts w:hint="default"/>
      </w:rPr>
    </w:lvl>
    <w:lvl w:ilvl="1" w:tplc="04260019" w:tentative="1">
      <w:start w:val="1"/>
      <w:numFmt w:val="lowerLetter"/>
      <w:lvlText w:val="%2."/>
      <w:lvlJc w:val="left"/>
      <w:pPr>
        <w:ind w:left="1066" w:hanging="360"/>
      </w:pPr>
    </w:lvl>
    <w:lvl w:ilvl="2" w:tplc="0426001B" w:tentative="1">
      <w:start w:val="1"/>
      <w:numFmt w:val="lowerRoman"/>
      <w:lvlText w:val="%3."/>
      <w:lvlJc w:val="right"/>
      <w:pPr>
        <w:ind w:left="1786" w:hanging="180"/>
      </w:pPr>
    </w:lvl>
    <w:lvl w:ilvl="3" w:tplc="0426000F" w:tentative="1">
      <w:start w:val="1"/>
      <w:numFmt w:val="decimal"/>
      <w:lvlText w:val="%4."/>
      <w:lvlJc w:val="left"/>
      <w:pPr>
        <w:ind w:left="2506" w:hanging="360"/>
      </w:pPr>
    </w:lvl>
    <w:lvl w:ilvl="4" w:tplc="04260019" w:tentative="1">
      <w:start w:val="1"/>
      <w:numFmt w:val="lowerLetter"/>
      <w:lvlText w:val="%5."/>
      <w:lvlJc w:val="left"/>
      <w:pPr>
        <w:ind w:left="3226" w:hanging="360"/>
      </w:pPr>
    </w:lvl>
    <w:lvl w:ilvl="5" w:tplc="0426001B" w:tentative="1">
      <w:start w:val="1"/>
      <w:numFmt w:val="lowerRoman"/>
      <w:lvlText w:val="%6."/>
      <w:lvlJc w:val="right"/>
      <w:pPr>
        <w:ind w:left="3946" w:hanging="180"/>
      </w:pPr>
    </w:lvl>
    <w:lvl w:ilvl="6" w:tplc="0426000F" w:tentative="1">
      <w:start w:val="1"/>
      <w:numFmt w:val="decimal"/>
      <w:lvlText w:val="%7."/>
      <w:lvlJc w:val="left"/>
      <w:pPr>
        <w:ind w:left="4666" w:hanging="360"/>
      </w:pPr>
    </w:lvl>
    <w:lvl w:ilvl="7" w:tplc="04260019" w:tentative="1">
      <w:start w:val="1"/>
      <w:numFmt w:val="lowerLetter"/>
      <w:lvlText w:val="%8."/>
      <w:lvlJc w:val="left"/>
      <w:pPr>
        <w:ind w:left="5386" w:hanging="360"/>
      </w:pPr>
    </w:lvl>
    <w:lvl w:ilvl="8" w:tplc="0426001B" w:tentative="1">
      <w:start w:val="1"/>
      <w:numFmt w:val="lowerRoman"/>
      <w:lvlText w:val="%9."/>
      <w:lvlJc w:val="right"/>
      <w:pPr>
        <w:ind w:left="6106" w:hanging="180"/>
      </w:pPr>
    </w:lvl>
  </w:abstractNum>
  <w:abstractNum w:abstractNumId="1" w15:restartNumberingAfterBreak="0">
    <w:nsid w:val="5A971888"/>
    <w:multiLevelType w:val="hybridMultilevel"/>
    <w:tmpl w:val="AA18C7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772968499">
    <w:abstractNumId w:val="1"/>
  </w:num>
  <w:num w:numId="2" w16cid:durableId="142620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6F2"/>
    <w:rsid w:val="00032A16"/>
    <w:rsid w:val="0007737A"/>
    <w:rsid w:val="000843AC"/>
    <w:rsid w:val="0008636F"/>
    <w:rsid w:val="000A025A"/>
    <w:rsid w:val="001068DF"/>
    <w:rsid w:val="00107BD8"/>
    <w:rsid w:val="00122B4B"/>
    <w:rsid w:val="00132171"/>
    <w:rsid w:val="00147C1F"/>
    <w:rsid w:val="00152154"/>
    <w:rsid w:val="001755AE"/>
    <w:rsid w:val="001B477E"/>
    <w:rsid w:val="001B5BB4"/>
    <w:rsid w:val="001D3F3C"/>
    <w:rsid w:val="00225851"/>
    <w:rsid w:val="002472EB"/>
    <w:rsid w:val="00254BB2"/>
    <w:rsid w:val="00267F4C"/>
    <w:rsid w:val="002940F6"/>
    <w:rsid w:val="00301C87"/>
    <w:rsid w:val="003258C7"/>
    <w:rsid w:val="00337C2C"/>
    <w:rsid w:val="00341E4A"/>
    <w:rsid w:val="0037237E"/>
    <w:rsid w:val="00385816"/>
    <w:rsid w:val="003B4818"/>
    <w:rsid w:val="003D1623"/>
    <w:rsid w:val="003E4459"/>
    <w:rsid w:val="003F7C94"/>
    <w:rsid w:val="004061F8"/>
    <w:rsid w:val="0041562E"/>
    <w:rsid w:val="00416652"/>
    <w:rsid w:val="0044353D"/>
    <w:rsid w:val="00455040"/>
    <w:rsid w:val="0048252A"/>
    <w:rsid w:val="00482DB1"/>
    <w:rsid w:val="00490209"/>
    <w:rsid w:val="00494A51"/>
    <w:rsid w:val="004C67EA"/>
    <w:rsid w:val="00534AE5"/>
    <w:rsid w:val="0058118F"/>
    <w:rsid w:val="005B5F15"/>
    <w:rsid w:val="00624068"/>
    <w:rsid w:val="00626250"/>
    <w:rsid w:val="00631834"/>
    <w:rsid w:val="00641140"/>
    <w:rsid w:val="00643EFC"/>
    <w:rsid w:val="00655FD3"/>
    <w:rsid w:val="006A38F8"/>
    <w:rsid w:val="006E4439"/>
    <w:rsid w:val="006F34DA"/>
    <w:rsid w:val="00734598"/>
    <w:rsid w:val="0075092B"/>
    <w:rsid w:val="00750B73"/>
    <w:rsid w:val="0075460B"/>
    <w:rsid w:val="00757FBD"/>
    <w:rsid w:val="007737DC"/>
    <w:rsid w:val="007760CC"/>
    <w:rsid w:val="007B59C9"/>
    <w:rsid w:val="007C5718"/>
    <w:rsid w:val="007C6C8F"/>
    <w:rsid w:val="008003E4"/>
    <w:rsid w:val="008141D0"/>
    <w:rsid w:val="0082320F"/>
    <w:rsid w:val="0083144F"/>
    <w:rsid w:val="00896595"/>
    <w:rsid w:val="009625A9"/>
    <w:rsid w:val="00977CB3"/>
    <w:rsid w:val="009927C9"/>
    <w:rsid w:val="009A1EC5"/>
    <w:rsid w:val="009A4549"/>
    <w:rsid w:val="009F6D76"/>
    <w:rsid w:val="00A3214F"/>
    <w:rsid w:val="00A52A15"/>
    <w:rsid w:val="00A55EA3"/>
    <w:rsid w:val="00AB78A4"/>
    <w:rsid w:val="00AD27D4"/>
    <w:rsid w:val="00AF41DE"/>
    <w:rsid w:val="00B00AC6"/>
    <w:rsid w:val="00B07B6C"/>
    <w:rsid w:val="00B100E6"/>
    <w:rsid w:val="00B21A91"/>
    <w:rsid w:val="00B24F7F"/>
    <w:rsid w:val="00B32718"/>
    <w:rsid w:val="00B52813"/>
    <w:rsid w:val="00B828E5"/>
    <w:rsid w:val="00BA7067"/>
    <w:rsid w:val="00BB3B2F"/>
    <w:rsid w:val="00BC3708"/>
    <w:rsid w:val="00C3692E"/>
    <w:rsid w:val="00C42019"/>
    <w:rsid w:val="00C7578E"/>
    <w:rsid w:val="00C80443"/>
    <w:rsid w:val="00C9016C"/>
    <w:rsid w:val="00CA2013"/>
    <w:rsid w:val="00CA5257"/>
    <w:rsid w:val="00CE74E9"/>
    <w:rsid w:val="00D10324"/>
    <w:rsid w:val="00D34FB6"/>
    <w:rsid w:val="00D6371F"/>
    <w:rsid w:val="00D83202"/>
    <w:rsid w:val="00D946F2"/>
    <w:rsid w:val="00D97FB7"/>
    <w:rsid w:val="00DA03FA"/>
    <w:rsid w:val="00DA4744"/>
    <w:rsid w:val="00DC3643"/>
    <w:rsid w:val="00DD09EE"/>
    <w:rsid w:val="00DD400C"/>
    <w:rsid w:val="00E05E7E"/>
    <w:rsid w:val="00E24F75"/>
    <w:rsid w:val="00E413DF"/>
    <w:rsid w:val="00E5799A"/>
    <w:rsid w:val="00E6175E"/>
    <w:rsid w:val="00E87F47"/>
    <w:rsid w:val="00EA253C"/>
    <w:rsid w:val="00EC6CE0"/>
    <w:rsid w:val="00F51737"/>
    <w:rsid w:val="00F52471"/>
    <w:rsid w:val="00F65893"/>
    <w:rsid w:val="00FA549B"/>
    <w:rsid w:val="00FD4080"/>
    <w:rsid w:val="00FE56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941F7"/>
  <w15:docId w15:val="{E881BF5E-56D5-4F33-AECD-87FBA96D0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6F2"/>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946F2"/>
    <w:pPr>
      <w:spacing w:after="0" w:line="240" w:lineRule="auto"/>
    </w:pPr>
    <w:rPr>
      <w:sz w:val="20"/>
      <w:szCs w:val="20"/>
    </w:rPr>
  </w:style>
  <w:style w:type="character" w:customStyle="1" w:styleId="FootnoteTextChar">
    <w:name w:val="Footnote Text Char"/>
    <w:link w:val="FootnoteText"/>
    <w:uiPriority w:val="99"/>
    <w:semiHidden/>
    <w:rsid w:val="00D946F2"/>
    <w:rPr>
      <w:rFonts w:ascii="Calibri" w:eastAsia="Calibri" w:hAnsi="Calibri" w:cs="Times New Roman"/>
      <w:sz w:val="20"/>
      <w:szCs w:val="20"/>
    </w:rPr>
  </w:style>
  <w:style w:type="character" w:styleId="FootnoteReference">
    <w:name w:val="footnote reference"/>
    <w:uiPriority w:val="99"/>
    <w:semiHidden/>
    <w:unhideWhenUsed/>
    <w:rsid w:val="00D946F2"/>
    <w:rPr>
      <w:vertAlign w:val="superscript"/>
    </w:rPr>
  </w:style>
  <w:style w:type="table" w:customStyle="1" w:styleId="TableGrid1">
    <w:name w:val="Table Grid1"/>
    <w:basedOn w:val="TableNormal"/>
    <w:next w:val="TableGrid"/>
    <w:uiPriority w:val="59"/>
    <w:rsid w:val="00D946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46F2"/>
    <w:pPr>
      <w:ind w:left="720"/>
      <w:contextualSpacing/>
    </w:pPr>
  </w:style>
  <w:style w:type="table" w:styleId="TableGrid">
    <w:name w:val="Table Grid"/>
    <w:basedOn w:val="TableNormal"/>
    <w:uiPriority w:val="39"/>
    <w:rsid w:val="00D946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4C67EA"/>
    <w:rPr>
      <w:sz w:val="16"/>
      <w:szCs w:val="16"/>
    </w:rPr>
  </w:style>
  <w:style w:type="paragraph" w:styleId="CommentText">
    <w:name w:val="annotation text"/>
    <w:basedOn w:val="Normal"/>
    <w:link w:val="CommentTextChar"/>
    <w:uiPriority w:val="99"/>
    <w:unhideWhenUsed/>
    <w:rsid w:val="004C67EA"/>
    <w:pPr>
      <w:spacing w:line="240" w:lineRule="auto"/>
    </w:pPr>
    <w:rPr>
      <w:sz w:val="20"/>
      <w:szCs w:val="20"/>
    </w:rPr>
  </w:style>
  <w:style w:type="character" w:customStyle="1" w:styleId="CommentTextChar">
    <w:name w:val="Comment Text Char"/>
    <w:link w:val="CommentText"/>
    <w:uiPriority w:val="99"/>
    <w:rsid w:val="004C67E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C67EA"/>
    <w:rPr>
      <w:b/>
      <w:bCs/>
    </w:rPr>
  </w:style>
  <w:style w:type="character" w:customStyle="1" w:styleId="CommentSubjectChar">
    <w:name w:val="Comment Subject Char"/>
    <w:link w:val="CommentSubject"/>
    <w:uiPriority w:val="99"/>
    <w:semiHidden/>
    <w:rsid w:val="004C67E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4C67E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C67EA"/>
    <w:rPr>
      <w:rFonts w:ascii="Segoe UI" w:eastAsia="Calibri" w:hAnsi="Segoe UI" w:cs="Segoe UI"/>
      <w:sz w:val="18"/>
      <w:szCs w:val="18"/>
    </w:rPr>
  </w:style>
  <w:style w:type="character" w:styleId="Hyperlink">
    <w:name w:val="Hyperlink"/>
    <w:basedOn w:val="DefaultParagraphFont"/>
    <w:uiPriority w:val="99"/>
    <w:unhideWhenUsed/>
    <w:rsid w:val="00E87F47"/>
    <w:rPr>
      <w:color w:val="0563C1"/>
      <w:u w:val="single"/>
    </w:rPr>
  </w:style>
  <w:style w:type="character" w:customStyle="1" w:styleId="UnresolvedMention1">
    <w:name w:val="Unresolved Mention1"/>
    <w:basedOn w:val="DefaultParagraphFont"/>
    <w:uiPriority w:val="99"/>
    <w:semiHidden/>
    <w:unhideWhenUsed/>
    <w:rsid w:val="00BB3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15376">
      <w:bodyDiv w:val="1"/>
      <w:marLeft w:val="0"/>
      <w:marRight w:val="0"/>
      <w:marTop w:val="0"/>
      <w:marBottom w:val="0"/>
      <w:divBdr>
        <w:top w:val="none" w:sz="0" w:space="0" w:color="auto"/>
        <w:left w:val="none" w:sz="0" w:space="0" w:color="auto"/>
        <w:bottom w:val="none" w:sz="0" w:space="0" w:color="auto"/>
        <w:right w:val="none" w:sz="0" w:space="0" w:color="auto"/>
      </w:divBdr>
    </w:div>
    <w:div w:id="309483556">
      <w:bodyDiv w:val="1"/>
      <w:marLeft w:val="0"/>
      <w:marRight w:val="0"/>
      <w:marTop w:val="0"/>
      <w:marBottom w:val="0"/>
      <w:divBdr>
        <w:top w:val="none" w:sz="0" w:space="0" w:color="auto"/>
        <w:left w:val="none" w:sz="0" w:space="0" w:color="auto"/>
        <w:bottom w:val="none" w:sz="0" w:space="0" w:color="auto"/>
        <w:right w:val="none" w:sz="0" w:space="0" w:color="auto"/>
      </w:divBdr>
    </w:div>
    <w:div w:id="350879969">
      <w:bodyDiv w:val="1"/>
      <w:marLeft w:val="0"/>
      <w:marRight w:val="0"/>
      <w:marTop w:val="0"/>
      <w:marBottom w:val="0"/>
      <w:divBdr>
        <w:top w:val="none" w:sz="0" w:space="0" w:color="auto"/>
        <w:left w:val="none" w:sz="0" w:space="0" w:color="auto"/>
        <w:bottom w:val="none" w:sz="0" w:space="0" w:color="auto"/>
        <w:right w:val="none" w:sz="0" w:space="0" w:color="auto"/>
      </w:divBdr>
    </w:div>
    <w:div w:id="194533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offic/2014/working/wd_2014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2" ma:contentTypeDescription="Izveidot jaunu dokumentu." ma:contentTypeScope="" ma:versionID="9db49f7226a40200c6aa8d2bf843d7e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6538c12be2ebbf0fd81231cc7918bc7d"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2211D-33EA-424B-8768-ECCE44C74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7B12A3-427C-49BD-95DF-4874380D95FC}">
  <ds:schemaRefs>
    <ds:schemaRef ds:uri="http://schemas.microsoft.com/sharepoint/v3/contenttype/forms"/>
  </ds:schemaRefs>
</ds:datastoreItem>
</file>

<file path=customXml/itemProps3.xml><?xml version="1.0" encoding="utf-8"?>
<ds:datastoreItem xmlns:ds="http://schemas.openxmlformats.org/officeDocument/2006/customXml" ds:itemID="{0B1689FF-A2B5-4D30-B1E1-EFB7B97635E4}">
  <ds:schemaRefs>
    <ds:schemaRef ds:uri="http://purl.org/dc/terms/"/>
    <ds:schemaRef ds:uri="http://schemas.microsoft.com/office/2006/metadata/propertie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6909942E-A8A2-4596-BB18-3AE72FEB8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3125</Words>
  <Characters>1782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Alise Eglīte</dc:creator>
  <cp:lastModifiedBy>Jolanta Baldunčika</cp:lastModifiedBy>
  <cp:revision>19</cp:revision>
  <cp:lastPrinted>2018-11-14T08:34:00Z</cp:lastPrinted>
  <dcterms:created xsi:type="dcterms:W3CDTF">2022-04-06T13:26:00Z</dcterms:created>
  <dcterms:modified xsi:type="dcterms:W3CDTF">2022-05-25T13:33:00Z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