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DFEE" w14:textId="6943069E" w:rsidR="00D45D98" w:rsidRPr="00DE29CC" w:rsidRDefault="00D45D98" w:rsidP="00FB4DDD">
      <w:pPr>
        <w:keepNext/>
        <w:spacing w:line="240" w:lineRule="auto"/>
        <w:ind w:firstLine="720"/>
        <w:jc w:val="center"/>
        <w:rPr>
          <w:rFonts w:ascii="Times New Roman" w:eastAsiaTheme="minorHAnsi" w:hAnsi="Times New Roman"/>
          <w:b/>
          <w:bCs/>
          <w:sz w:val="18"/>
          <w:szCs w:val="18"/>
        </w:rPr>
      </w:pPr>
      <w:r w:rsidRPr="00DE29CC">
        <w:rPr>
          <w:rFonts w:ascii="Times New Roman" w:eastAsiaTheme="minorHAnsi" w:hAnsi="Times New Roman"/>
          <w:b/>
          <w:bCs/>
          <w:sz w:val="18"/>
          <w:szCs w:val="18"/>
        </w:rPr>
        <w:t xml:space="preserve">Tabula </w:t>
      </w:r>
      <w:r w:rsidRPr="00DE29CC">
        <w:rPr>
          <w:rFonts w:ascii="Times New Roman" w:eastAsiaTheme="minorHAnsi" w:hAnsi="Times New Roman"/>
          <w:b/>
          <w:bCs/>
          <w:sz w:val="18"/>
          <w:szCs w:val="18"/>
        </w:rPr>
        <w:fldChar w:fldCharType="begin"/>
      </w:r>
      <w:r w:rsidRPr="00DE29CC">
        <w:rPr>
          <w:rFonts w:ascii="Times New Roman" w:eastAsiaTheme="minorHAnsi" w:hAnsi="Times New Roman"/>
          <w:b/>
          <w:bCs/>
          <w:sz w:val="18"/>
          <w:szCs w:val="18"/>
        </w:rPr>
        <w:instrText xml:space="preserve"> SEQ Tabula \* ARABIC </w:instrText>
      </w:r>
      <w:r w:rsidRPr="00DE29CC">
        <w:rPr>
          <w:rFonts w:ascii="Times New Roman" w:eastAsiaTheme="minorHAnsi" w:hAnsi="Times New Roman"/>
          <w:b/>
          <w:bCs/>
          <w:sz w:val="18"/>
          <w:szCs w:val="18"/>
        </w:rPr>
        <w:fldChar w:fldCharType="separate"/>
      </w:r>
      <w:r w:rsidR="00EE23AF">
        <w:rPr>
          <w:rFonts w:ascii="Times New Roman" w:eastAsiaTheme="minorHAnsi" w:hAnsi="Times New Roman"/>
          <w:b/>
          <w:bCs/>
          <w:noProof/>
          <w:sz w:val="18"/>
          <w:szCs w:val="18"/>
        </w:rPr>
        <w:t>1</w:t>
      </w:r>
      <w:r w:rsidRPr="00DE29CC">
        <w:rPr>
          <w:rFonts w:ascii="Times New Roman" w:eastAsiaTheme="minorHAnsi" w:hAnsi="Times New Roman"/>
          <w:b/>
          <w:bCs/>
          <w:sz w:val="18"/>
          <w:szCs w:val="18"/>
        </w:rPr>
        <w:fldChar w:fldCharType="end"/>
      </w:r>
      <w:r w:rsidRPr="00DE29CC">
        <w:rPr>
          <w:rFonts w:ascii="Times New Roman" w:eastAsiaTheme="minorHAnsi" w:hAnsi="Times New Roman"/>
          <w:b/>
          <w:bCs/>
          <w:sz w:val="18"/>
          <w:szCs w:val="18"/>
        </w:rPr>
        <w:t xml:space="preserve"> Rādītāju pase investīciju prioritātes specifiskajiem mērķiem</w:t>
      </w:r>
    </w:p>
    <w:tbl>
      <w:tblPr>
        <w:tblStyle w:val="TableGrid1"/>
        <w:tblW w:w="5000" w:type="pct"/>
        <w:tblLook w:val="04A0" w:firstRow="1" w:lastRow="0" w:firstColumn="1" w:lastColumn="0" w:noHBand="0" w:noVBand="1"/>
      </w:tblPr>
      <w:tblGrid>
        <w:gridCol w:w="1496"/>
        <w:gridCol w:w="1760"/>
        <w:gridCol w:w="1841"/>
        <w:gridCol w:w="4254"/>
        <w:gridCol w:w="4597"/>
      </w:tblGrid>
      <w:tr w:rsidR="005F4853" w:rsidRPr="00DE29CC" w14:paraId="1291C20A" w14:textId="77777777" w:rsidTr="158B39DF">
        <w:tc>
          <w:tcPr>
            <w:tcW w:w="536" w:type="pct"/>
          </w:tcPr>
          <w:p w14:paraId="1FD956E6" w14:textId="77777777" w:rsidR="005F4853" w:rsidRPr="00DE29CC" w:rsidRDefault="005F4853" w:rsidP="009D47D3">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Prioritārais virziens</w:t>
            </w:r>
          </w:p>
        </w:tc>
        <w:tc>
          <w:tcPr>
            <w:tcW w:w="631" w:type="pct"/>
          </w:tcPr>
          <w:p w14:paraId="6FE77A30" w14:textId="1D8E5D05" w:rsidR="005F4853" w:rsidRPr="00DE29CC" w:rsidRDefault="00D820FB" w:rsidP="009D47D3">
            <w:pPr>
              <w:spacing w:after="0" w:line="240" w:lineRule="auto"/>
              <w:jc w:val="center"/>
              <w:rPr>
                <w:rFonts w:ascii="Times New Roman" w:eastAsiaTheme="minorHAnsi" w:hAnsi="Times New Roman"/>
                <w:b/>
                <w:sz w:val="18"/>
                <w:szCs w:val="18"/>
              </w:rPr>
            </w:pPr>
            <w:r>
              <w:rPr>
                <w:rFonts w:ascii="Times New Roman" w:eastAsiaTheme="minorHAnsi" w:hAnsi="Times New Roman"/>
                <w:b/>
                <w:sz w:val="18"/>
                <w:szCs w:val="18"/>
              </w:rPr>
              <w:t>Ieguldījumu</w:t>
            </w:r>
            <w:r w:rsidR="005F4853" w:rsidRPr="00DE29CC">
              <w:rPr>
                <w:rFonts w:ascii="Times New Roman" w:eastAsiaTheme="minorHAnsi" w:hAnsi="Times New Roman"/>
                <w:b/>
                <w:sz w:val="18"/>
                <w:szCs w:val="18"/>
              </w:rPr>
              <w:t xml:space="preserve"> prioritātes nosaukums</w:t>
            </w:r>
          </w:p>
        </w:tc>
        <w:tc>
          <w:tcPr>
            <w:tcW w:w="660" w:type="pct"/>
          </w:tcPr>
          <w:p w14:paraId="1E477A5A" w14:textId="77777777" w:rsidR="005F4853" w:rsidRPr="00DE29CC" w:rsidRDefault="005F4853" w:rsidP="009D47D3">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Specifiskie atbalsta mērķi (SAM)</w:t>
            </w:r>
          </w:p>
        </w:tc>
        <w:tc>
          <w:tcPr>
            <w:tcW w:w="1525" w:type="pct"/>
          </w:tcPr>
          <w:p w14:paraId="372D8C5D" w14:textId="77777777" w:rsidR="005F4853" w:rsidRPr="00DE29CC" w:rsidRDefault="005F4853" w:rsidP="009D47D3">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Rezultāta rādītāji</w:t>
            </w:r>
          </w:p>
        </w:tc>
        <w:tc>
          <w:tcPr>
            <w:tcW w:w="1648" w:type="pct"/>
          </w:tcPr>
          <w:p w14:paraId="696E9211" w14:textId="77777777" w:rsidR="005F4853" w:rsidRPr="00DE29CC" w:rsidRDefault="005F4853" w:rsidP="009D47D3">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Iznākuma rādītāji (IR)</w:t>
            </w:r>
          </w:p>
        </w:tc>
      </w:tr>
      <w:tr w:rsidR="005F4853" w:rsidRPr="00DE29CC" w14:paraId="7D6CB6A0" w14:textId="77777777" w:rsidTr="005D4F6A">
        <w:trPr>
          <w:trHeight w:val="1281"/>
        </w:trPr>
        <w:tc>
          <w:tcPr>
            <w:tcW w:w="536" w:type="pct"/>
          </w:tcPr>
          <w:p w14:paraId="7CCDB2CD" w14:textId="38BF276A" w:rsidR="005F4853" w:rsidRPr="00DE29CC" w:rsidRDefault="00D820FB" w:rsidP="003C3043">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 Pasākumi Covid-19 pandēmijas seku mazināšanai (ERAF)</w:t>
            </w:r>
          </w:p>
        </w:tc>
        <w:tc>
          <w:tcPr>
            <w:tcW w:w="631" w:type="pct"/>
          </w:tcPr>
          <w:p w14:paraId="7A515303" w14:textId="50303632" w:rsidR="005F4853" w:rsidRPr="00DE29CC" w:rsidRDefault="00D820FB" w:rsidP="00D820FB">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13.1.</w:t>
            </w:r>
            <w:r>
              <w:rPr>
                <w:rFonts w:ascii="Times New Roman" w:eastAsiaTheme="minorHAnsi" w:hAnsi="Times New Roman"/>
                <w:sz w:val="18"/>
                <w:szCs w:val="18"/>
              </w:rPr>
              <w:t xml:space="preserve"> </w:t>
            </w:r>
            <w:r w:rsidRPr="00D820FB">
              <w:rPr>
                <w:rFonts w:ascii="Times New Roman" w:eastAsiaTheme="minorHAnsi" w:hAnsi="Times New Roman"/>
                <w:sz w:val="18"/>
                <w:szCs w:val="18"/>
              </w:rPr>
              <w:t xml:space="preserve">Palīdzēt veicināt ar Covid-19 pandēmiju un tās sociālajām sekām saistītās krīzes seku pārvarēšanu un sagatavoties zaļai, digitālai un noturīgai ekonomikas atveseļošanai </w:t>
            </w:r>
            <w:r w:rsidRPr="00D820FB">
              <w:rPr>
                <w:rFonts w:ascii="Times New Roman" w:eastAsiaTheme="minorHAnsi" w:hAnsi="Times New Roman"/>
                <w:bCs/>
                <w:sz w:val="18"/>
                <w:szCs w:val="18"/>
              </w:rPr>
              <w:t>(ERAF</w:t>
            </w:r>
            <w:r w:rsidRPr="00D820FB">
              <w:rPr>
                <w:rFonts w:ascii="Times New Roman" w:eastAsiaTheme="minorHAnsi" w:hAnsi="Times New Roman"/>
                <w:sz w:val="18"/>
                <w:szCs w:val="18"/>
              </w:rPr>
              <w:t>)</w:t>
            </w:r>
            <w:r w:rsidR="005F4853" w:rsidRPr="00DE29CC">
              <w:rPr>
                <w:rFonts w:ascii="Times New Roman" w:eastAsiaTheme="minorHAnsi" w:hAnsi="Times New Roman"/>
                <w:sz w:val="18"/>
                <w:szCs w:val="18"/>
              </w:rPr>
              <w:t xml:space="preserve"> </w:t>
            </w:r>
          </w:p>
        </w:tc>
        <w:tc>
          <w:tcPr>
            <w:tcW w:w="660" w:type="pct"/>
          </w:tcPr>
          <w:p w14:paraId="6684DFB2" w14:textId="06A5A1BA" w:rsidR="00D820FB" w:rsidRPr="00D820FB" w:rsidRDefault="00D820FB" w:rsidP="00D820FB">
            <w:pPr>
              <w:spacing w:after="0" w:line="240" w:lineRule="auto"/>
              <w:jc w:val="both"/>
              <w:rPr>
                <w:rFonts w:ascii="Times New Roman" w:eastAsiaTheme="minorHAnsi" w:hAnsi="Times New Roman"/>
                <w:b/>
                <w:bCs/>
                <w:sz w:val="18"/>
                <w:szCs w:val="18"/>
              </w:rPr>
            </w:pPr>
            <w:r w:rsidRPr="00D820FB">
              <w:rPr>
                <w:rFonts w:ascii="Times New Roman" w:eastAsiaTheme="minorHAnsi" w:hAnsi="Times New Roman"/>
                <w:b/>
                <w:bCs/>
                <w:sz w:val="18"/>
                <w:szCs w:val="18"/>
              </w:rPr>
              <w:t>13.1.</w:t>
            </w:r>
            <w:r w:rsidR="00E02FFA">
              <w:rPr>
                <w:rFonts w:ascii="Times New Roman" w:eastAsiaTheme="minorHAnsi" w:hAnsi="Times New Roman"/>
                <w:b/>
                <w:bCs/>
                <w:sz w:val="18"/>
                <w:szCs w:val="18"/>
              </w:rPr>
              <w:t>3</w:t>
            </w:r>
            <w:r w:rsidRPr="00D820FB">
              <w:rPr>
                <w:rFonts w:ascii="Times New Roman" w:eastAsiaTheme="minorHAnsi" w:hAnsi="Times New Roman"/>
                <w:b/>
                <w:bCs/>
                <w:sz w:val="18"/>
                <w:szCs w:val="18"/>
              </w:rPr>
              <w:t>.</w:t>
            </w:r>
            <w:r w:rsidR="0043699F">
              <w:rPr>
                <w:rFonts w:ascii="Times New Roman" w:eastAsiaTheme="minorHAnsi" w:hAnsi="Times New Roman"/>
                <w:b/>
                <w:bCs/>
                <w:sz w:val="18"/>
                <w:szCs w:val="18"/>
              </w:rPr>
              <w:t xml:space="preserve"> </w:t>
            </w:r>
            <w:r w:rsidRPr="00D820FB">
              <w:rPr>
                <w:rFonts w:ascii="Times New Roman" w:eastAsiaTheme="minorHAnsi" w:hAnsi="Times New Roman"/>
                <w:b/>
                <w:bCs/>
                <w:sz w:val="18"/>
                <w:szCs w:val="18"/>
              </w:rPr>
              <w:t>SAM</w:t>
            </w:r>
            <w:r w:rsidRPr="00D820FB">
              <w:rPr>
                <w:rFonts w:ascii="Times New Roman" w:eastAsiaTheme="minorHAnsi" w:hAnsi="Times New Roman"/>
                <w:sz w:val="18"/>
                <w:szCs w:val="18"/>
              </w:rPr>
              <w:t xml:space="preserve">: </w:t>
            </w:r>
            <w:r w:rsidR="00E02FFA">
              <w:rPr>
                <w:rFonts w:ascii="Times New Roman" w:eastAsiaTheme="minorHAnsi" w:hAnsi="Times New Roman"/>
                <w:sz w:val="18"/>
                <w:szCs w:val="18"/>
              </w:rPr>
              <w:t>a</w:t>
            </w:r>
            <w:r w:rsidR="00E02FFA" w:rsidRPr="00E02FFA">
              <w:rPr>
                <w:rFonts w:ascii="Times New Roman" w:eastAsiaTheme="minorHAnsi" w:hAnsi="Times New Roman"/>
                <w:b/>
                <w:sz w:val="18"/>
                <w:szCs w:val="18"/>
              </w:rPr>
              <w:t>tveseļošanas pasākumi vides un reģionālās attīstības jomā</w:t>
            </w:r>
          </w:p>
          <w:p w14:paraId="1CEA93B3" w14:textId="204A8960" w:rsidR="005F4853" w:rsidRPr="00DE29CC" w:rsidRDefault="005F4853" w:rsidP="003C3043">
            <w:pPr>
              <w:spacing w:after="0" w:line="240" w:lineRule="auto"/>
              <w:jc w:val="both"/>
              <w:rPr>
                <w:rFonts w:ascii="Times New Roman" w:eastAsiaTheme="minorHAnsi" w:hAnsi="Times New Roman"/>
                <w:sz w:val="18"/>
                <w:szCs w:val="18"/>
              </w:rPr>
            </w:pPr>
          </w:p>
        </w:tc>
        <w:tc>
          <w:tcPr>
            <w:tcW w:w="1525" w:type="pct"/>
          </w:tcPr>
          <w:p w14:paraId="6E310C5F" w14:textId="44EDC5BE" w:rsidR="005F4853" w:rsidRPr="00767682" w:rsidRDefault="005F4853" w:rsidP="003C3043">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Nosaukums un mērvienība</w:t>
            </w:r>
            <w:r w:rsidRPr="00767682">
              <w:rPr>
                <w:rFonts w:ascii="Times New Roman" w:eastAsiaTheme="minorHAnsi" w:hAnsi="Times New Roman"/>
                <w:sz w:val="18"/>
                <w:szCs w:val="18"/>
              </w:rPr>
              <w:t>:</w:t>
            </w:r>
            <w:r w:rsidRPr="00767682">
              <w:rPr>
                <w:rFonts w:ascii="Times New Roman" w:hAnsi="Times New Roman"/>
                <w:sz w:val="18"/>
                <w:szCs w:val="18"/>
              </w:rPr>
              <w:t xml:space="preserve"> </w:t>
            </w:r>
          </w:p>
          <w:p w14:paraId="6AB48A40" w14:textId="165ACBED" w:rsidR="005F4853" w:rsidRPr="00767682" w:rsidRDefault="00C47EAA" w:rsidP="003C3043">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r.13.1.3.a “Vidējais siltumenerģijas patēriņš apkurei”, kWh/m</w:t>
            </w:r>
            <w:r w:rsidRPr="00767682">
              <w:rPr>
                <w:rFonts w:ascii="Times New Roman" w:eastAsiaTheme="minorHAnsi" w:hAnsi="Times New Roman"/>
                <w:sz w:val="18"/>
                <w:szCs w:val="18"/>
                <w:vertAlign w:val="superscript"/>
              </w:rPr>
              <w:t>2</w:t>
            </w:r>
            <w:r w:rsidRPr="00767682">
              <w:rPr>
                <w:rFonts w:ascii="Times New Roman" w:eastAsiaTheme="minorHAnsi" w:hAnsi="Times New Roman"/>
                <w:sz w:val="18"/>
                <w:szCs w:val="18"/>
              </w:rPr>
              <w:t>/gadā</w:t>
            </w:r>
          </w:p>
          <w:p w14:paraId="3137F1B3" w14:textId="77777777" w:rsidR="00C47EAA" w:rsidRPr="00767682" w:rsidRDefault="00C47EAA" w:rsidP="003C3043">
            <w:pPr>
              <w:spacing w:after="0" w:line="240" w:lineRule="auto"/>
              <w:jc w:val="both"/>
              <w:rPr>
                <w:rFonts w:ascii="Times New Roman" w:eastAsiaTheme="minorHAnsi" w:hAnsi="Times New Roman"/>
                <w:i/>
                <w:sz w:val="18"/>
                <w:szCs w:val="18"/>
              </w:rPr>
            </w:pPr>
          </w:p>
          <w:p w14:paraId="2B28AF43" w14:textId="344E0C3B" w:rsidR="005F4853" w:rsidRPr="00767682" w:rsidRDefault="005F4853" w:rsidP="003C3043">
            <w:pPr>
              <w:spacing w:after="0" w:line="240" w:lineRule="auto"/>
              <w:jc w:val="both"/>
              <w:rPr>
                <w:rFonts w:ascii="Times New Roman" w:hAnsi="Times New Roman"/>
                <w:sz w:val="18"/>
                <w:szCs w:val="18"/>
              </w:rPr>
            </w:pPr>
            <w:r w:rsidRPr="00767682">
              <w:rPr>
                <w:rFonts w:ascii="Times New Roman" w:eastAsiaTheme="minorEastAsia" w:hAnsi="Times New Roman"/>
                <w:i/>
                <w:iCs/>
                <w:sz w:val="18"/>
                <w:szCs w:val="18"/>
              </w:rPr>
              <w:t>Definīcija:</w:t>
            </w:r>
            <w:r w:rsidRPr="00767682">
              <w:rPr>
                <w:rFonts w:ascii="Times New Roman" w:hAnsi="Times New Roman"/>
                <w:sz w:val="18"/>
                <w:szCs w:val="18"/>
              </w:rPr>
              <w:t xml:space="preserve"> </w:t>
            </w:r>
          </w:p>
          <w:p w14:paraId="1646AD0D" w14:textId="481DAD02" w:rsidR="02E1BB71" w:rsidRPr="00767682" w:rsidRDefault="02E1BB71" w:rsidP="00BC6D0A">
            <w:pPr>
              <w:spacing w:after="0" w:line="240" w:lineRule="auto"/>
              <w:jc w:val="both"/>
              <w:rPr>
                <w:sz w:val="18"/>
                <w:szCs w:val="18"/>
              </w:rPr>
            </w:pPr>
            <w:r w:rsidRPr="00767682">
              <w:rPr>
                <w:rFonts w:ascii="Times New Roman" w:eastAsia="Times New Roman" w:hAnsi="Times New Roman"/>
                <w:sz w:val="18"/>
                <w:szCs w:val="18"/>
              </w:rPr>
              <w:t>Kopējais rādītājs Vidējais siltumenerģijas patēriņš apkurei, kWh/m</w:t>
            </w:r>
            <w:r w:rsidRPr="00767682">
              <w:rPr>
                <w:rFonts w:ascii="Times New Roman" w:eastAsia="Times New Roman" w:hAnsi="Times New Roman"/>
                <w:sz w:val="18"/>
                <w:szCs w:val="18"/>
                <w:vertAlign w:val="superscript"/>
              </w:rPr>
              <w:t>2</w:t>
            </w:r>
            <w:r w:rsidRPr="00767682">
              <w:rPr>
                <w:rFonts w:ascii="Times New Roman" w:eastAsia="Times New Roman" w:hAnsi="Times New Roman"/>
                <w:sz w:val="18"/>
                <w:szCs w:val="18"/>
              </w:rPr>
              <w:t>/gadā</w:t>
            </w:r>
          </w:p>
          <w:p w14:paraId="5696786C" w14:textId="77777777" w:rsidR="005F4853" w:rsidRPr="00767682" w:rsidRDefault="005F4853" w:rsidP="003C3043">
            <w:pPr>
              <w:spacing w:after="0" w:line="240" w:lineRule="auto"/>
              <w:jc w:val="both"/>
              <w:rPr>
                <w:rFonts w:ascii="Times New Roman" w:eastAsiaTheme="minorHAnsi" w:hAnsi="Times New Roman"/>
                <w:i/>
                <w:sz w:val="18"/>
                <w:szCs w:val="18"/>
              </w:rPr>
            </w:pPr>
          </w:p>
          <w:p w14:paraId="55DC8BD2" w14:textId="77777777" w:rsidR="005F4853" w:rsidRPr="00767682" w:rsidRDefault="005F4853" w:rsidP="003C3043">
            <w:pPr>
              <w:spacing w:after="0" w:line="240" w:lineRule="auto"/>
              <w:jc w:val="both"/>
              <w:rPr>
                <w:rFonts w:ascii="Times New Roman" w:eastAsiaTheme="minorHAnsi" w:hAnsi="Times New Roman"/>
                <w:sz w:val="18"/>
                <w:szCs w:val="18"/>
              </w:rPr>
            </w:pPr>
            <w:r w:rsidRPr="00767682">
              <w:rPr>
                <w:rFonts w:ascii="Times New Roman" w:eastAsiaTheme="minorEastAsia" w:hAnsi="Times New Roman"/>
                <w:i/>
                <w:iCs/>
                <w:sz w:val="18"/>
                <w:szCs w:val="18"/>
              </w:rPr>
              <w:t>Bāzes vērtība un tās noteikšanas gads</w:t>
            </w:r>
            <w:r w:rsidRPr="00767682">
              <w:rPr>
                <w:rFonts w:ascii="Times New Roman" w:eastAsiaTheme="minorEastAsia" w:hAnsi="Times New Roman"/>
                <w:sz w:val="18"/>
                <w:szCs w:val="18"/>
              </w:rPr>
              <w:t>:</w:t>
            </w:r>
          </w:p>
          <w:p w14:paraId="023EF839" w14:textId="22E0D7F5" w:rsidR="005F4853" w:rsidRPr="00767682" w:rsidRDefault="00392FF5" w:rsidP="00BC6D0A">
            <w:pPr>
              <w:spacing w:after="0" w:line="240" w:lineRule="auto"/>
              <w:jc w:val="both"/>
              <w:rPr>
                <w:sz w:val="18"/>
                <w:szCs w:val="18"/>
              </w:rPr>
            </w:pPr>
            <w:r>
              <w:rPr>
                <w:rFonts w:ascii="Times New Roman" w:eastAsia="Times New Roman" w:hAnsi="Times New Roman"/>
                <w:sz w:val="18"/>
                <w:szCs w:val="18"/>
              </w:rPr>
              <w:t xml:space="preserve"> 150</w:t>
            </w:r>
            <w:r w:rsidR="13DD74AB" w:rsidRPr="00767682">
              <w:rPr>
                <w:rFonts w:ascii="Times New Roman" w:eastAsia="Times New Roman" w:hAnsi="Times New Roman"/>
                <w:sz w:val="18"/>
                <w:szCs w:val="18"/>
              </w:rPr>
              <w:t xml:space="preserve"> (</w:t>
            </w:r>
            <w:r w:rsidR="00DC1E07">
              <w:rPr>
                <w:rFonts w:ascii="Times New Roman" w:eastAsia="Times New Roman" w:hAnsi="Times New Roman"/>
                <w:sz w:val="18"/>
                <w:szCs w:val="18"/>
              </w:rPr>
              <w:t xml:space="preserve">2012 </w:t>
            </w:r>
            <w:r w:rsidR="13DD74AB" w:rsidRPr="00767682">
              <w:rPr>
                <w:rFonts w:ascii="Times New Roman" w:eastAsia="Times New Roman" w:hAnsi="Times New Roman"/>
                <w:sz w:val="18"/>
                <w:szCs w:val="18"/>
              </w:rPr>
              <w:t>.g.)</w:t>
            </w:r>
          </w:p>
          <w:p w14:paraId="2E60AD7D" w14:textId="6ABFCD1F" w:rsidR="3167B124" w:rsidRPr="00767682" w:rsidRDefault="3167B124" w:rsidP="3167B124">
            <w:pPr>
              <w:spacing w:after="0" w:line="240" w:lineRule="auto"/>
              <w:jc w:val="both"/>
            </w:pPr>
          </w:p>
          <w:p w14:paraId="5FB94F91" w14:textId="471A3CAA" w:rsidR="005F4853" w:rsidRPr="00767682" w:rsidRDefault="005F4853" w:rsidP="3167B124">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Datu avots</w:t>
            </w:r>
            <w:r w:rsidRPr="00767682">
              <w:rPr>
                <w:rFonts w:ascii="Times New Roman" w:eastAsiaTheme="minorEastAsia" w:hAnsi="Times New Roman"/>
                <w:sz w:val="18"/>
                <w:szCs w:val="18"/>
              </w:rPr>
              <w:t>:</w:t>
            </w:r>
            <w:r w:rsidRPr="00767682">
              <w:rPr>
                <w:rFonts w:ascii="Times New Roman" w:hAnsi="Times New Roman"/>
                <w:sz w:val="18"/>
                <w:szCs w:val="18"/>
              </w:rPr>
              <w:t xml:space="preserve"> </w:t>
            </w:r>
          </w:p>
          <w:p w14:paraId="7000B1DD" w14:textId="05BB83F0" w:rsidR="504D281A" w:rsidRPr="00767682" w:rsidRDefault="504D281A" w:rsidP="00BC6D0A">
            <w:pPr>
              <w:spacing w:after="0" w:line="240" w:lineRule="auto"/>
              <w:jc w:val="both"/>
              <w:rPr>
                <w:sz w:val="18"/>
                <w:szCs w:val="18"/>
              </w:rPr>
            </w:pPr>
            <w:r w:rsidRPr="00767682">
              <w:rPr>
                <w:rFonts w:ascii="Times New Roman" w:eastAsia="Times New Roman" w:hAnsi="Times New Roman"/>
                <w:sz w:val="18"/>
                <w:szCs w:val="18"/>
              </w:rPr>
              <w:t>Ekonomikas ministrija (CSP</w:t>
            </w:r>
            <w:r w:rsidR="00658C6E" w:rsidRPr="00767682">
              <w:rPr>
                <w:rFonts w:ascii="Times New Roman" w:eastAsia="Times New Roman" w:hAnsi="Times New Roman"/>
                <w:sz w:val="18"/>
                <w:szCs w:val="18"/>
              </w:rPr>
              <w:t xml:space="preserve"> datu bāze</w:t>
            </w:r>
            <w:r w:rsidRPr="00767682">
              <w:rPr>
                <w:rFonts w:ascii="Times New Roman" w:eastAsia="Times New Roman" w:hAnsi="Times New Roman"/>
                <w:sz w:val="18"/>
                <w:szCs w:val="18"/>
              </w:rPr>
              <w:t>)</w:t>
            </w:r>
          </w:p>
          <w:p w14:paraId="54962E48" w14:textId="77777777" w:rsidR="005F4853" w:rsidRPr="00767682" w:rsidRDefault="005F4853" w:rsidP="003C3043">
            <w:pPr>
              <w:spacing w:after="0" w:line="240" w:lineRule="auto"/>
              <w:jc w:val="both"/>
              <w:rPr>
                <w:rFonts w:ascii="Times New Roman" w:eastAsiaTheme="minorHAnsi" w:hAnsi="Times New Roman"/>
                <w:sz w:val="18"/>
                <w:szCs w:val="18"/>
              </w:rPr>
            </w:pPr>
          </w:p>
          <w:p w14:paraId="632E6961" w14:textId="5E35FED1" w:rsidR="005F4853" w:rsidRPr="00767682" w:rsidRDefault="005F4853" w:rsidP="3167B124">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Apkopošanas biežums un ieguves metodoloģija:</w:t>
            </w:r>
            <w:r w:rsidRPr="00767682">
              <w:rPr>
                <w:rFonts w:ascii="Times New Roman" w:hAnsi="Times New Roman"/>
                <w:sz w:val="18"/>
                <w:szCs w:val="18"/>
              </w:rPr>
              <w:t xml:space="preserve"> </w:t>
            </w:r>
          </w:p>
          <w:p w14:paraId="046A8A65" w14:textId="5C52BEF3" w:rsidR="656CA5B6" w:rsidRPr="00767682" w:rsidRDefault="656CA5B6" w:rsidP="3167B124">
            <w:pPr>
              <w:spacing w:after="0" w:line="240" w:lineRule="auto"/>
              <w:jc w:val="both"/>
              <w:rPr>
                <w:rFonts w:ascii="Times New Roman" w:hAnsi="Times New Roman"/>
                <w:sz w:val="18"/>
                <w:szCs w:val="18"/>
              </w:rPr>
            </w:pPr>
            <w:r w:rsidRPr="00767682">
              <w:rPr>
                <w:rFonts w:ascii="Times New Roman" w:hAnsi="Times New Roman"/>
                <w:sz w:val="18"/>
                <w:szCs w:val="18"/>
              </w:rPr>
              <w:t>Reizi gadā</w:t>
            </w:r>
          </w:p>
          <w:p w14:paraId="068DAA2C" w14:textId="77777777" w:rsidR="005F4853" w:rsidRPr="00767682" w:rsidRDefault="005F4853" w:rsidP="003C3043">
            <w:pPr>
              <w:spacing w:after="0" w:line="240" w:lineRule="auto"/>
              <w:jc w:val="both"/>
              <w:rPr>
                <w:rFonts w:ascii="Times New Roman" w:eastAsiaTheme="minorHAnsi" w:hAnsi="Times New Roman"/>
                <w:sz w:val="18"/>
                <w:szCs w:val="18"/>
              </w:rPr>
            </w:pPr>
          </w:p>
          <w:p w14:paraId="57C0F55D" w14:textId="77777777" w:rsidR="00C015EB" w:rsidRPr="00767682" w:rsidRDefault="64BA5F44" w:rsidP="158B39DF">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Mērķis 2023</w:t>
            </w:r>
            <w:r w:rsidR="716DDE10" w:rsidRPr="00767682">
              <w:rPr>
                <w:rFonts w:ascii="Times New Roman" w:eastAsiaTheme="minorEastAsia" w:hAnsi="Times New Roman"/>
                <w:sz w:val="18"/>
                <w:szCs w:val="18"/>
              </w:rPr>
              <w:t>:</w:t>
            </w:r>
          </w:p>
          <w:p w14:paraId="03C61E19" w14:textId="26C994C4" w:rsidR="005F4853" w:rsidRPr="00767682" w:rsidRDefault="72F11439" w:rsidP="158B39DF">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12</w:t>
            </w:r>
            <w:r w:rsidR="00E91C28">
              <w:rPr>
                <w:rFonts w:ascii="Times New Roman" w:eastAsiaTheme="minorEastAsia" w:hAnsi="Times New Roman"/>
                <w:sz w:val="18"/>
                <w:szCs w:val="18"/>
              </w:rPr>
              <w:t>0</w:t>
            </w:r>
          </w:p>
          <w:p w14:paraId="627D5CD4" w14:textId="44EAE228" w:rsidR="005F4853" w:rsidRPr="00767682" w:rsidRDefault="00FD7030" w:rsidP="00E4039D">
            <w:pPr>
              <w:pStyle w:val="ListParagraph"/>
              <w:numPr>
                <w:ilvl w:val="0"/>
                <w:numId w:val="4"/>
              </w:numPr>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Apjoms, kas sasniedzams p</w:t>
            </w:r>
            <w:r w:rsidR="00C042EA" w:rsidRPr="00767682">
              <w:rPr>
                <w:rFonts w:ascii="Times New Roman" w:eastAsiaTheme="minorHAnsi" w:hAnsi="Times New Roman"/>
                <w:i/>
                <w:sz w:val="18"/>
                <w:szCs w:val="18"/>
              </w:rPr>
              <w:t xml:space="preserve">ar EK 2021.gada </w:t>
            </w:r>
            <w:r w:rsidRPr="00767682">
              <w:rPr>
                <w:rFonts w:ascii="Times New Roman" w:eastAsiaTheme="minorHAnsi" w:hAnsi="Times New Roman"/>
                <w:i/>
                <w:sz w:val="18"/>
                <w:szCs w:val="18"/>
              </w:rPr>
              <w:t>piešķīrumu</w:t>
            </w:r>
            <w:r w:rsidR="001246FD" w:rsidRPr="00767682">
              <w:rPr>
                <w:rFonts w:ascii="Times New Roman" w:eastAsiaTheme="minorHAnsi" w:hAnsi="Times New Roman"/>
                <w:i/>
                <w:sz w:val="18"/>
                <w:szCs w:val="18"/>
              </w:rPr>
              <w:t>:</w:t>
            </w:r>
          </w:p>
          <w:p w14:paraId="0DA5AAC6" w14:textId="002E48D4" w:rsidR="00556201" w:rsidRPr="00767682" w:rsidRDefault="00101E14" w:rsidP="00F92A65">
            <w:pPr>
              <w:spacing w:after="0" w:line="240" w:lineRule="auto"/>
              <w:ind w:left="750"/>
              <w:jc w:val="both"/>
              <w:rPr>
                <w:rFonts w:ascii="Times New Roman" w:eastAsiaTheme="minorEastAsia" w:hAnsi="Times New Roman"/>
                <w:sz w:val="18"/>
                <w:szCs w:val="18"/>
              </w:rPr>
            </w:pPr>
            <w:r>
              <w:rPr>
                <w:rFonts w:ascii="Times New Roman" w:eastAsiaTheme="minorEastAsia" w:hAnsi="Times New Roman"/>
                <w:sz w:val="18"/>
                <w:szCs w:val="18"/>
              </w:rPr>
              <w:t>120</w:t>
            </w:r>
          </w:p>
          <w:p w14:paraId="7E24F4AE" w14:textId="77777777" w:rsidR="00E4039D" w:rsidRPr="00767682" w:rsidRDefault="00E4039D" w:rsidP="003C3043">
            <w:pPr>
              <w:spacing w:after="0" w:line="240" w:lineRule="auto"/>
              <w:jc w:val="both"/>
              <w:rPr>
                <w:rFonts w:ascii="Times New Roman" w:eastAsiaTheme="minorHAnsi" w:hAnsi="Times New Roman"/>
                <w:sz w:val="18"/>
                <w:szCs w:val="18"/>
              </w:rPr>
            </w:pPr>
          </w:p>
          <w:p w14:paraId="6FEEFDC2" w14:textId="612EEDD6" w:rsidR="001246FD" w:rsidRPr="00767682" w:rsidRDefault="00FD7030" w:rsidP="00E4039D">
            <w:pPr>
              <w:pStyle w:val="ListParagraph"/>
              <w:numPr>
                <w:ilvl w:val="0"/>
                <w:numId w:val="4"/>
              </w:numPr>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Apjoms, kas sasniedzams p</w:t>
            </w:r>
            <w:r w:rsidR="001246FD" w:rsidRPr="00767682">
              <w:rPr>
                <w:rFonts w:ascii="Times New Roman" w:eastAsiaTheme="minorHAnsi" w:hAnsi="Times New Roman"/>
                <w:i/>
                <w:sz w:val="18"/>
                <w:szCs w:val="18"/>
              </w:rPr>
              <w:t xml:space="preserve">ar EK 2022.gada </w:t>
            </w:r>
            <w:r w:rsidRPr="00767682">
              <w:rPr>
                <w:rFonts w:ascii="Times New Roman" w:eastAsiaTheme="minorHAnsi" w:hAnsi="Times New Roman"/>
                <w:i/>
                <w:sz w:val="18"/>
                <w:szCs w:val="18"/>
              </w:rPr>
              <w:t>piešķīrumu</w:t>
            </w:r>
            <w:r w:rsidR="001246FD" w:rsidRPr="00767682">
              <w:rPr>
                <w:rFonts w:ascii="Times New Roman" w:eastAsiaTheme="minorHAnsi" w:hAnsi="Times New Roman"/>
                <w:i/>
                <w:sz w:val="18"/>
                <w:szCs w:val="18"/>
              </w:rPr>
              <w:t>:</w:t>
            </w:r>
          </w:p>
          <w:p w14:paraId="1F352432" w14:textId="1E5CF6FA" w:rsidR="00556201" w:rsidRPr="00767682" w:rsidRDefault="640B33D6" w:rsidP="00F92A65">
            <w:pPr>
              <w:spacing w:after="0" w:line="240" w:lineRule="auto"/>
              <w:ind w:left="750"/>
              <w:jc w:val="both"/>
              <w:rPr>
                <w:rFonts w:ascii="Times New Roman" w:eastAsiaTheme="minorEastAsia" w:hAnsi="Times New Roman"/>
                <w:sz w:val="18"/>
                <w:szCs w:val="18"/>
                <w:vertAlign w:val="superscript"/>
              </w:rPr>
            </w:pPr>
            <w:r w:rsidRPr="00767682">
              <w:rPr>
                <w:rFonts w:ascii="Times New Roman" w:eastAsiaTheme="minorEastAsia" w:hAnsi="Times New Roman"/>
                <w:sz w:val="18"/>
                <w:szCs w:val="18"/>
              </w:rPr>
              <w:t>12</w:t>
            </w:r>
            <w:r w:rsidR="00E91C28">
              <w:rPr>
                <w:rFonts w:ascii="Times New Roman" w:eastAsiaTheme="minorEastAsia" w:hAnsi="Times New Roman"/>
                <w:sz w:val="18"/>
                <w:szCs w:val="18"/>
              </w:rPr>
              <w:t>0</w:t>
            </w:r>
            <w:r w:rsidR="00556201" w:rsidRPr="00767682">
              <w:rPr>
                <w:rFonts w:ascii="Times New Roman" w:eastAsiaTheme="minorEastAsia" w:hAnsi="Times New Roman"/>
                <w:sz w:val="18"/>
                <w:szCs w:val="18"/>
                <w:vertAlign w:val="superscript"/>
              </w:rPr>
              <w:footnoteReference w:id="2"/>
            </w:r>
          </w:p>
          <w:p w14:paraId="635C888A" w14:textId="77777777" w:rsidR="001246FD" w:rsidRPr="00767682" w:rsidRDefault="001246FD" w:rsidP="003C3043">
            <w:pPr>
              <w:spacing w:after="0" w:line="240" w:lineRule="auto"/>
              <w:jc w:val="both"/>
              <w:rPr>
                <w:rFonts w:ascii="Times New Roman" w:eastAsiaTheme="minorHAnsi" w:hAnsi="Times New Roman"/>
                <w:sz w:val="18"/>
                <w:szCs w:val="18"/>
              </w:rPr>
            </w:pPr>
          </w:p>
          <w:p w14:paraId="14DCC9E7" w14:textId="77777777" w:rsidR="005F4853" w:rsidRPr="00767682" w:rsidRDefault="005F4853" w:rsidP="3167B124">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Mērķa vērtības noteikšanas principi/metodoloģija</w:t>
            </w:r>
            <w:r w:rsidRPr="00767682">
              <w:rPr>
                <w:rFonts w:ascii="Times New Roman" w:eastAsiaTheme="minorEastAsia" w:hAnsi="Times New Roman"/>
                <w:sz w:val="18"/>
                <w:szCs w:val="18"/>
              </w:rPr>
              <w:t xml:space="preserve">: </w:t>
            </w:r>
          </w:p>
          <w:p w14:paraId="3949CC07" w14:textId="01350BDB" w:rsidR="1283BBB8" w:rsidRPr="00767682" w:rsidRDefault="1283BBB8" w:rsidP="005D4F6A">
            <w:pPr>
              <w:spacing w:after="120" w:line="240" w:lineRule="atLeast"/>
              <w:jc w:val="both"/>
              <w:rPr>
                <w:rFonts w:ascii="Times New Roman" w:eastAsia="Times New Roman" w:hAnsi="Times New Roman"/>
                <w:sz w:val="18"/>
                <w:szCs w:val="18"/>
              </w:rPr>
            </w:pPr>
            <w:r w:rsidRPr="00767682">
              <w:rPr>
                <w:rFonts w:ascii="Times New Roman" w:eastAsia="Times New Roman" w:hAnsi="Times New Roman"/>
                <w:sz w:val="18"/>
                <w:szCs w:val="18"/>
              </w:rPr>
              <w:t>Atbilstoši EM metodikai</w:t>
            </w:r>
          </w:p>
          <w:p w14:paraId="14D58A4A" w14:textId="40CB9C3F" w:rsidR="1283BBB8" w:rsidRPr="00767682" w:rsidRDefault="1283BBB8" w:rsidP="00BC6D0A">
            <w:pPr>
              <w:jc w:val="both"/>
              <w:rPr>
                <w:rFonts w:ascii="Times New Roman" w:eastAsia="Times New Roman" w:hAnsi="Times New Roman"/>
                <w:sz w:val="18"/>
                <w:szCs w:val="18"/>
              </w:rPr>
            </w:pPr>
            <w:r w:rsidRPr="00767682">
              <w:rPr>
                <w:rFonts w:ascii="Times New Roman" w:eastAsia="Times New Roman" w:hAnsi="Times New Roman"/>
                <w:sz w:val="18"/>
                <w:szCs w:val="18"/>
              </w:rPr>
              <w:t xml:space="preserve">Saskaņā ar Ekonomikas ministrijas noteiktajiem politikas mērķiem (stratēģijā </w:t>
            </w:r>
            <w:r w:rsidR="00357201" w:rsidRPr="00767682">
              <w:rPr>
                <w:rFonts w:ascii="Times New Roman" w:eastAsia="Times New Roman" w:hAnsi="Times New Roman"/>
                <w:sz w:val="18"/>
                <w:szCs w:val="18"/>
              </w:rPr>
              <w:t>“</w:t>
            </w:r>
            <w:r w:rsidRPr="00767682">
              <w:rPr>
                <w:rFonts w:ascii="Times New Roman" w:eastAsia="Times New Roman" w:hAnsi="Times New Roman"/>
                <w:sz w:val="18"/>
                <w:szCs w:val="18"/>
              </w:rPr>
              <w:t>Latvijas Enerģētikas ilgtermiņa stratēģija 2030 – konkurētspējīga enerģētika sabiedrībai" paredzēto mērķi  līdz 2030.gadam vidējo siltumenerģijas patēriņu apkurei samazināt par 50% pret pašreizējo rādītāju, kas ar klimata korekciju ir aptuveni 200 kWh/m</w:t>
            </w:r>
            <w:r w:rsidRPr="00767682">
              <w:rPr>
                <w:rFonts w:ascii="Times New Roman" w:eastAsia="Times New Roman" w:hAnsi="Times New Roman"/>
                <w:sz w:val="18"/>
                <w:szCs w:val="18"/>
                <w:vertAlign w:val="superscript"/>
              </w:rPr>
              <w:t>2</w:t>
            </w:r>
            <w:r w:rsidRPr="00767682">
              <w:rPr>
                <w:rFonts w:ascii="Times New Roman" w:eastAsia="Times New Roman" w:hAnsi="Times New Roman"/>
                <w:sz w:val="18"/>
                <w:szCs w:val="18"/>
              </w:rPr>
              <w:t xml:space="preserve"> gadā).</w:t>
            </w:r>
          </w:p>
          <w:p w14:paraId="470D47D3" w14:textId="5A7E1DC1" w:rsidR="1283BBB8" w:rsidRDefault="1283BBB8" w:rsidP="00BC6D0A">
            <w:pPr>
              <w:spacing w:after="0" w:line="240" w:lineRule="auto"/>
              <w:jc w:val="both"/>
              <w:rPr>
                <w:rFonts w:ascii="Times New Roman" w:eastAsia="Times New Roman" w:hAnsi="Times New Roman"/>
                <w:i/>
                <w:iCs/>
                <w:sz w:val="18"/>
                <w:szCs w:val="18"/>
              </w:rPr>
            </w:pPr>
            <w:r w:rsidRPr="00767682">
              <w:rPr>
                <w:rFonts w:ascii="Times New Roman" w:eastAsia="Times New Roman" w:hAnsi="Times New Roman"/>
                <w:i/>
                <w:iCs/>
                <w:sz w:val="18"/>
                <w:szCs w:val="18"/>
              </w:rPr>
              <w:t xml:space="preserve">Rādītājs tiek aprēķināts ņemot vērā CSP koriģētos datus par enerģijas patēriņu mājsaimniecībās un publicētos </w:t>
            </w:r>
            <w:r w:rsidRPr="00767682">
              <w:rPr>
                <w:rFonts w:ascii="Times New Roman" w:eastAsia="Times New Roman" w:hAnsi="Times New Roman"/>
                <w:i/>
                <w:iCs/>
                <w:sz w:val="18"/>
                <w:szCs w:val="18"/>
              </w:rPr>
              <w:lastRenderedPageBreak/>
              <w:t>datus par dzīvojamo fondu pēc 2011.gada tautas skaitīšanas. Klimata korekcijas aprēķinam 2010-2012 tika ņemts vērā grādu dienu skaits (pie bāzes 18°C) no www.degreedays.net un ilgtermiņa vidējās grādu dienas (4264,776) no Eurostat.</w:t>
            </w:r>
          </w:p>
          <w:p w14:paraId="33486B80" w14:textId="77777777" w:rsidR="006C7577" w:rsidRPr="00767682" w:rsidRDefault="006C7577" w:rsidP="00BC6D0A">
            <w:pPr>
              <w:spacing w:after="0" w:line="240" w:lineRule="auto"/>
              <w:jc w:val="both"/>
              <w:rPr>
                <w:sz w:val="18"/>
                <w:szCs w:val="18"/>
              </w:rPr>
            </w:pPr>
          </w:p>
          <w:p w14:paraId="5C6C2CA3" w14:textId="669B4EF4" w:rsidR="00C47EAA" w:rsidRPr="00767682" w:rsidRDefault="00C47EAA" w:rsidP="00FD7030">
            <w:pPr>
              <w:spacing w:after="0" w:line="240" w:lineRule="auto"/>
              <w:jc w:val="both"/>
              <w:rPr>
                <w:rFonts w:ascii="Times New Roman" w:hAnsi="Times New Roman"/>
                <w:i/>
                <w:sz w:val="18"/>
                <w:szCs w:val="18"/>
              </w:rPr>
            </w:pPr>
          </w:p>
          <w:p w14:paraId="24350289" w14:textId="17C1B45F" w:rsidR="00C47EAA" w:rsidRPr="00767682" w:rsidRDefault="00C47EAA" w:rsidP="00FD7030">
            <w:pPr>
              <w:spacing w:after="0" w:line="240" w:lineRule="auto"/>
              <w:jc w:val="both"/>
              <w:rPr>
                <w:rFonts w:ascii="Times New Roman" w:hAnsi="Times New Roman"/>
                <w:i/>
                <w:sz w:val="18"/>
                <w:szCs w:val="18"/>
              </w:rPr>
            </w:pPr>
            <w:r w:rsidRPr="00767682">
              <w:rPr>
                <w:rFonts w:ascii="Times New Roman" w:hAnsi="Times New Roman"/>
                <w:i/>
                <w:sz w:val="18"/>
                <w:szCs w:val="18"/>
              </w:rPr>
              <w:t>***</w:t>
            </w:r>
          </w:p>
          <w:p w14:paraId="1D572D5F" w14:textId="77777777" w:rsidR="00C47EAA" w:rsidRPr="00767682" w:rsidRDefault="00C47EAA" w:rsidP="00C47EAA">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Nosaukums un mērvienība</w:t>
            </w:r>
            <w:r w:rsidRPr="00767682">
              <w:rPr>
                <w:rFonts w:ascii="Times New Roman" w:eastAsiaTheme="minorHAnsi" w:hAnsi="Times New Roman"/>
                <w:sz w:val="18"/>
                <w:szCs w:val="18"/>
              </w:rPr>
              <w:t>:</w:t>
            </w:r>
            <w:r w:rsidRPr="00767682">
              <w:rPr>
                <w:rFonts w:ascii="Times New Roman" w:hAnsi="Times New Roman"/>
                <w:sz w:val="18"/>
                <w:szCs w:val="18"/>
              </w:rPr>
              <w:t xml:space="preserve"> </w:t>
            </w:r>
          </w:p>
          <w:p w14:paraId="34746A42" w14:textId="13DFA3C4" w:rsidR="00C47EAA" w:rsidRPr="00767682" w:rsidRDefault="00C47EAA" w:rsidP="00C47EAA">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 xml:space="preserve">r.13.1.3.c </w:t>
            </w:r>
            <w:r w:rsidR="00BE10A8" w:rsidRPr="00767682">
              <w:rPr>
                <w:rFonts w:ascii="Times New Roman" w:eastAsiaTheme="minorHAnsi" w:hAnsi="Times New Roman"/>
                <w:sz w:val="18"/>
                <w:szCs w:val="18"/>
              </w:rPr>
              <w:t>Strādājošo skaits (privātā sektorā) uzņēmumos, kuru ražošanas vai pakalpojuma sniegšanas vieta ir nacionālas un reģionālas nozīmes attīstības centru teritorija un to funkcionālās teritorijas</w:t>
            </w:r>
            <w:r w:rsidRPr="00767682">
              <w:rPr>
                <w:rFonts w:ascii="Times New Roman" w:eastAsiaTheme="minorHAnsi" w:hAnsi="Times New Roman"/>
                <w:sz w:val="18"/>
                <w:szCs w:val="18"/>
              </w:rPr>
              <w:t xml:space="preserve">, </w:t>
            </w:r>
            <w:r w:rsidR="00BE10A8" w:rsidRPr="00767682">
              <w:rPr>
                <w:rFonts w:ascii="Times New Roman" w:eastAsiaTheme="minorHAnsi" w:hAnsi="Times New Roman"/>
                <w:sz w:val="18"/>
                <w:szCs w:val="18"/>
              </w:rPr>
              <w:t>strādājošo skaits</w:t>
            </w:r>
          </w:p>
          <w:p w14:paraId="711D2A29" w14:textId="77777777" w:rsidR="00C47EAA" w:rsidRPr="00767682" w:rsidRDefault="00C47EAA" w:rsidP="00C47EAA">
            <w:pPr>
              <w:spacing w:after="0" w:line="240" w:lineRule="auto"/>
              <w:jc w:val="both"/>
              <w:rPr>
                <w:rFonts w:ascii="Times New Roman" w:eastAsiaTheme="minorHAnsi" w:hAnsi="Times New Roman"/>
                <w:i/>
                <w:sz w:val="18"/>
                <w:szCs w:val="18"/>
              </w:rPr>
            </w:pPr>
          </w:p>
          <w:p w14:paraId="06E74BFA" w14:textId="376B0647" w:rsidR="00C47EAA" w:rsidRPr="00767682" w:rsidRDefault="00C47EAA" w:rsidP="00C47EAA">
            <w:pPr>
              <w:spacing w:after="0" w:line="240" w:lineRule="auto"/>
              <w:jc w:val="both"/>
              <w:rPr>
                <w:rFonts w:ascii="Times New Roman" w:hAnsi="Times New Roman"/>
                <w:sz w:val="18"/>
                <w:szCs w:val="18"/>
              </w:rPr>
            </w:pPr>
            <w:r w:rsidRPr="00767682">
              <w:rPr>
                <w:rFonts w:ascii="Times New Roman" w:eastAsiaTheme="minorHAnsi" w:hAnsi="Times New Roman"/>
                <w:i/>
                <w:sz w:val="18"/>
                <w:szCs w:val="18"/>
              </w:rPr>
              <w:t>Definīcija:</w:t>
            </w:r>
            <w:r w:rsidRPr="00767682">
              <w:rPr>
                <w:rFonts w:ascii="Times New Roman" w:hAnsi="Times New Roman"/>
                <w:sz w:val="18"/>
                <w:szCs w:val="18"/>
              </w:rPr>
              <w:t xml:space="preserve"> </w:t>
            </w:r>
          </w:p>
          <w:p w14:paraId="1FDCA2CB" w14:textId="1EB9290C" w:rsidR="00B143E3" w:rsidRPr="00767682" w:rsidRDefault="00B143E3" w:rsidP="00C47EAA">
            <w:pPr>
              <w:spacing w:after="0" w:line="240" w:lineRule="auto"/>
              <w:jc w:val="both"/>
              <w:rPr>
                <w:rFonts w:ascii="Times New Roman" w:hAnsi="Times New Roman"/>
                <w:sz w:val="18"/>
                <w:szCs w:val="18"/>
              </w:rPr>
            </w:pPr>
            <w:r w:rsidRPr="00767682">
              <w:rPr>
                <w:rFonts w:ascii="Times New Roman" w:hAnsi="Times New Roman"/>
                <w:sz w:val="18"/>
                <w:szCs w:val="18"/>
              </w:rPr>
              <w:t>Strādājošo skaits pamatdarbā pēc faktiskās darbavietas uzņēmumos (privātajā sektorā), kuru ražošanas vai pakalpojuma sniegšanas vieta ir nacionālas un reģionālas nozīmes attīstības centru un to funkcionālās teritorijas.</w:t>
            </w:r>
          </w:p>
          <w:p w14:paraId="725A6AA4" w14:textId="77777777" w:rsidR="00C47EAA" w:rsidRPr="00767682" w:rsidRDefault="00C47EAA" w:rsidP="00C47EAA">
            <w:pPr>
              <w:spacing w:after="0" w:line="240" w:lineRule="auto"/>
              <w:jc w:val="both"/>
              <w:rPr>
                <w:rFonts w:ascii="Times New Roman" w:eastAsiaTheme="minorHAnsi" w:hAnsi="Times New Roman"/>
                <w:i/>
                <w:sz w:val="18"/>
                <w:szCs w:val="18"/>
              </w:rPr>
            </w:pPr>
          </w:p>
          <w:p w14:paraId="48822E67" w14:textId="77777777" w:rsidR="00767682" w:rsidRPr="00767682" w:rsidRDefault="00C47EAA" w:rsidP="00C47EAA">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Bāzes vērtība un tās noteikšanas gads</w:t>
            </w:r>
            <w:r w:rsidRPr="00767682">
              <w:rPr>
                <w:rFonts w:ascii="Times New Roman" w:eastAsiaTheme="minorHAnsi" w:hAnsi="Times New Roman"/>
                <w:sz w:val="18"/>
                <w:szCs w:val="18"/>
              </w:rPr>
              <w:t>:</w:t>
            </w:r>
          </w:p>
          <w:p w14:paraId="11BA17F5" w14:textId="40EC68ED" w:rsidR="00C47EAA" w:rsidRPr="00767682" w:rsidRDefault="00EE089D" w:rsidP="00C47EAA">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429</w:t>
            </w:r>
            <w:r w:rsidR="0035669E" w:rsidRPr="00767682">
              <w:rPr>
                <w:rFonts w:ascii="Times New Roman" w:eastAsiaTheme="minorHAnsi" w:hAnsi="Times New Roman"/>
                <w:sz w:val="18"/>
                <w:szCs w:val="18"/>
              </w:rPr>
              <w:t> </w:t>
            </w:r>
            <w:r w:rsidR="00B143E3" w:rsidRPr="00767682">
              <w:rPr>
                <w:rFonts w:ascii="Times New Roman" w:eastAsiaTheme="minorHAnsi" w:hAnsi="Times New Roman"/>
                <w:sz w:val="18"/>
                <w:szCs w:val="18"/>
              </w:rPr>
              <w:t>9</w:t>
            </w:r>
            <w:r w:rsidR="0035669E" w:rsidRPr="00767682">
              <w:rPr>
                <w:rFonts w:ascii="Times New Roman" w:eastAsiaTheme="minorHAnsi" w:hAnsi="Times New Roman"/>
                <w:sz w:val="18"/>
                <w:szCs w:val="18"/>
              </w:rPr>
              <w:t>00</w:t>
            </w:r>
            <w:r w:rsidR="00B143E3" w:rsidRPr="00767682">
              <w:rPr>
                <w:rFonts w:ascii="Times New Roman" w:eastAsiaTheme="minorHAnsi" w:hAnsi="Times New Roman"/>
                <w:sz w:val="18"/>
                <w:szCs w:val="18"/>
              </w:rPr>
              <w:t xml:space="preserve"> </w:t>
            </w:r>
            <w:r w:rsidRPr="00767682">
              <w:rPr>
                <w:rFonts w:ascii="Times New Roman" w:eastAsiaTheme="minorHAnsi" w:hAnsi="Times New Roman"/>
                <w:sz w:val="18"/>
                <w:szCs w:val="18"/>
              </w:rPr>
              <w:t>(2011</w:t>
            </w:r>
            <w:r w:rsidR="00B143E3" w:rsidRPr="00767682">
              <w:rPr>
                <w:rFonts w:ascii="Times New Roman" w:eastAsiaTheme="minorHAnsi" w:hAnsi="Times New Roman"/>
                <w:sz w:val="18"/>
                <w:szCs w:val="18"/>
              </w:rPr>
              <w:t>.g.</w:t>
            </w:r>
            <w:r w:rsidRPr="00767682">
              <w:rPr>
                <w:rFonts w:ascii="Times New Roman" w:eastAsiaTheme="minorHAnsi" w:hAnsi="Times New Roman"/>
                <w:sz w:val="18"/>
                <w:szCs w:val="18"/>
              </w:rPr>
              <w:t>)</w:t>
            </w:r>
          </w:p>
          <w:p w14:paraId="2B35C794" w14:textId="77777777" w:rsidR="00C47EAA" w:rsidRPr="00767682" w:rsidRDefault="00C47EAA" w:rsidP="00C47EAA">
            <w:pPr>
              <w:spacing w:after="0" w:line="240" w:lineRule="auto"/>
              <w:jc w:val="both"/>
              <w:rPr>
                <w:rFonts w:ascii="Times New Roman" w:eastAsiaTheme="minorHAnsi" w:hAnsi="Times New Roman"/>
                <w:sz w:val="18"/>
                <w:szCs w:val="18"/>
              </w:rPr>
            </w:pPr>
          </w:p>
          <w:p w14:paraId="49364DBC" w14:textId="3DF3DE9D" w:rsidR="00C47EAA" w:rsidRPr="00767682" w:rsidRDefault="00C47EAA" w:rsidP="00C47EAA">
            <w:pPr>
              <w:spacing w:after="0" w:line="240" w:lineRule="auto"/>
              <w:jc w:val="both"/>
              <w:rPr>
                <w:rFonts w:ascii="Times New Roman" w:hAnsi="Times New Roman"/>
                <w:sz w:val="18"/>
                <w:szCs w:val="18"/>
              </w:rPr>
            </w:pPr>
            <w:r w:rsidRPr="00767682">
              <w:rPr>
                <w:rFonts w:ascii="Times New Roman" w:eastAsiaTheme="minorHAnsi" w:hAnsi="Times New Roman"/>
                <w:i/>
                <w:sz w:val="18"/>
                <w:szCs w:val="18"/>
              </w:rPr>
              <w:t>Datu avots</w:t>
            </w:r>
            <w:r w:rsidRPr="00767682">
              <w:rPr>
                <w:rFonts w:ascii="Times New Roman" w:eastAsiaTheme="minorHAnsi" w:hAnsi="Times New Roman"/>
                <w:sz w:val="18"/>
                <w:szCs w:val="18"/>
              </w:rPr>
              <w:t>:</w:t>
            </w:r>
            <w:r w:rsidRPr="00767682">
              <w:rPr>
                <w:rFonts w:ascii="Times New Roman" w:hAnsi="Times New Roman"/>
                <w:sz w:val="18"/>
                <w:szCs w:val="18"/>
              </w:rPr>
              <w:t xml:space="preserve"> </w:t>
            </w:r>
          </w:p>
          <w:p w14:paraId="2DEDBD98" w14:textId="148F335C" w:rsidR="004654E7" w:rsidRPr="00767682" w:rsidRDefault="004654E7" w:rsidP="004654E7">
            <w:pPr>
              <w:spacing w:after="0" w:line="240" w:lineRule="auto"/>
              <w:jc w:val="both"/>
              <w:rPr>
                <w:rFonts w:ascii="Times New Roman" w:eastAsiaTheme="minorHAnsi" w:hAnsi="Times New Roman"/>
                <w:sz w:val="18"/>
                <w:szCs w:val="18"/>
              </w:rPr>
            </w:pPr>
            <w:r w:rsidRPr="00767682">
              <w:rPr>
                <w:rFonts w:ascii="Times New Roman" w:hAnsi="Times New Roman"/>
                <w:sz w:val="16"/>
                <w:szCs w:val="16"/>
              </w:rPr>
              <w:t xml:space="preserve">CSP </w:t>
            </w:r>
            <w:r w:rsidRPr="00767682">
              <w:rPr>
                <w:rFonts w:ascii="Times New Roman" w:eastAsiaTheme="minorHAnsi" w:hAnsi="Times New Roman"/>
                <w:sz w:val="18"/>
                <w:szCs w:val="18"/>
              </w:rPr>
              <w:t>(speciāli gatavotā, nepublicētā informācija).</w:t>
            </w:r>
          </w:p>
          <w:p w14:paraId="4350FE63" w14:textId="77777777" w:rsidR="00C47EAA" w:rsidRPr="00767682" w:rsidRDefault="00C47EAA" w:rsidP="00C47EAA">
            <w:pPr>
              <w:spacing w:after="0" w:line="240" w:lineRule="auto"/>
              <w:jc w:val="both"/>
              <w:rPr>
                <w:rFonts w:ascii="Times New Roman" w:eastAsiaTheme="minorHAnsi" w:hAnsi="Times New Roman"/>
                <w:sz w:val="18"/>
                <w:szCs w:val="18"/>
              </w:rPr>
            </w:pPr>
          </w:p>
          <w:p w14:paraId="153BF4AF" w14:textId="653DB2E8" w:rsidR="00C47EAA" w:rsidRPr="00767682" w:rsidRDefault="00C47EAA" w:rsidP="00C47EAA">
            <w:pPr>
              <w:spacing w:after="0" w:line="240" w:lineRule="auto"/>
              <w:jc w:val="both"/>
              <w:rPr>
                <w:rFonts w:ascii="Times New Roman" w:hAnsi="Times New Roman"/>
                <w:sz w:val="18"/>
                <w:szCs w:val="18"/>
              </w:rPr>
            </w:pPr>
            <w:r w:rsidRPr="00767682">
              <w:rPr>
                <w:rFonts w:ascii="Times New Roman" w:eastAsiaTheme="minorEastAsia" w:hAnsi="Times New Roman"/>
                <w:i/>
                <w:iCs/>
                <w:sz w:val="18"/>
                <w:szCs w:val="18"/>
              </w:rPr>
              <w:t>Apkopošanas biežums un ieguves metodoloģija:</w:t>
            </w:r>
            <w:r w:rsidRPr="00767682">
              <w:rPr>
                <w:rFonts w:ascii="Times New Roman" w:hAnsi="Times New Roman"/>
                <w:sz w:val="18"/>
                <w:szCs w:val="18"/>
              </w:rPr>
              <w:t xml:space="preserve"> </w:t>
            </w:r>
          </w:p>
          <w:p w14:paraId="51D51368" w14:textId="59C0F1D9" w:rsidR="00BB20E9" w:rsidRPr="00767682" w:rsidRDefault="00BB20E9" w:rsidP="00C47EAA">
            <w:pPr>
              <w:spacing w:after="0" w:line="240" w:lineRule="auto"/>
              <w:jc w:val="both"/>
              <w:rPr>
                <w:rFonts w:ascii="Times New Roman" w:eastAsiaTheme="minorHAnsi" w:hAnsi="Times New Roman"/>
                <w:sz w:val="18"/>
                <w:szCs w:val="18"/>
              </w:rPr>
            </w:pPr>
            <w:r w:rsidRPr="00767682">
              <w:rPr>
                <w:rFonts w:ascii="Times New Roman" w:hAnsi="Times New Roman"/>
                <w:sz w:val="18"/>
                <w:szCs w:val="18"/>
              </w:rPr>
              <w:t>Reizi gadā.</w:t>
            </w:r>
          </w:p>
          <w:p w14:paraId="38269373" w14:textId="77777777" w:rsidR="00C47EAA" w:rsidRPr="00767682" w:rsidRDefault="00C47EAA" w:rsidP="00C47EAA">
            <w:pPr>
              <w:spacing w:after="0" w:line="240" w:lineRule="auto"/>
              <w:jc w:val="both"/>
              <w:rPr>
                <w:rFonts w:ascii="Times New Roman" w:eastAsiaTheme="minorHAnsi" w:hAnsi="Times New Roman"/>
                <w:sz w:val="18"/>
                <w:szCs w:val="18"/>
              </w:rPr>
            </w:pPr>
          </w:p>
          <w:p w14:paraId="52D7E855" w14:textId="77777777" w:rsidR="00767682" w:rsidRPr="00767682" w:rsidRDefault="00C47EAA" w:rsidP="00767682">
            <w:pPr>
              <w:tabs>
                <w:tab w:val="left" w:pos="2058"/>
              </w:tabs>
              <w:spacing w:after="0"/>
              <w:rPr>
                <w:rFonts w:ascii="Times New Roman" w:eastAsiaTheme="minorHAnsi" w:hAnsi="Times New Roman"/>
                <w:sz w:val="18"/>
                <w:szCs w:val="18"/>
              </w:rPr>
            </w:pPr>
            <w:r w:rsidRPr="00767682">
              <w:rPr>
                <w:rFonts w:ascii="Times New Roman" w:eastAsiaTheme="minorHAnsi" w:hAnsi="Times New Roman"/>
                <w:i/>
                <w:sz w:val="18"/>
                <w:szCs w:val="18"/>
              </w:rPr>
              <w:t>Mērķis 2023</w:t>
            </w:r>
            <w:r w:rsidRPr="00767682">
              <w:rPr>
                <w:rFonts w:ascii="Times New Roman" w:eastAsiaTheme="minorHAnsi" w:hAnsi="Times New Roman"/>
                <w:sz w:val="18"/>
                <w:szCs w:val="18"/>
              </w:rPr>
              <w:t>:</w:t>
            </w:r>
          </w:p>
          <w:p w14:paraId="3AF36D42" w14:textId="67DAE033" w:rsidR="00C47EAA" w:rsidRPr="00767682" w:rsidRDefault="00EE089D" w:rsidP="00767682">
            <w:pPr>
              <w:tabs>
                <w:tab w:val="left" w:pos="2058"/>
              </w:tabs>
              <w:spacing w:after="0"/>
              <w:rPr>
                <w:rFonts w:ascii="Times New Roman" w:hAnsi="Times New Roman"/>
                <w:sz w:val="20"/>
                <w:szCs w:val="20"/>
              </w:rPr>
            </w:pPr>
            <w:r w:rsidRPr="00767682">
              <w:rPr>
                <w:rFonts w:ascii="Times New Roman" w:eastAsiaTheme="minorHAnsi" w:hAnsi="Times New Roman"/>
                <w:sz w:val="18"/>
                <w:szCs w:val="18"/>
              </w:rPr>
              <w:t>446 595 – 475 395</w:t>
            </w:r>
          </w:p>
          <w:p w14:paraId="01912B10" w14:textId="77777777" w:rsidR="00767682" w:rsidRPr="00767682" w:rsidRDefault="00C47EAA" w:rsidP="00C47EAA">
            <w:pPr>
              <w:pStyle w:val="ListParagraph"/>
              <w:numPr>
                <w:ilvl w:val="0"/>
                <w:numId w:val="9"/>
              </w:numPr>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Apjoms, kas sasniedzams par EK 2021.gada piešķīrumu:</w:t>
            </w:r>
          </w:p>
          <w:p w14:paraId="27B34595" w14:textId="0832025C" w:rsidR="00C47EAA" w:rsidRPr="00767682" w:rsidRDefault="00BB20E9" w:rsidP="00767682">
            <w:pPr>
              <w:pStyle w:val="ListParagraph"/>
              <w:spacing w:after="0" w:line="240" w:lineRule="auto"/>
              <w:jc w:val="both"/>
              <w:rPr>
                <w:rFonts w:ascii="Times New Roman" w:eastAsiaTheme="minorHAnsi" w:hAnsi="Times New Roman"/>
                <w:i/>
                <w:sz w:val="18"/>
                <w:szCs w:val="18"/>
              </w:rPr>
            </w:pPr>
            <w:r w:rsidRPr="00767682">
              <w:rPr>
                <w:rFonts w:ascii="Times New Roman" w:eastAsiaTheme="minorHAnsi" w:hAnsi="Times New Roman"/>
                <w:sz w:val="18"/>
                <w:szCs w:val="18"/>
              </w:rPr>
              <w:t>446 595 – 475 395</w:t>
            </w:r>
          </w:p>
          <w:p w14:paraId="4F5F8985" w14:textId="77777777" w:rsidR="00767682" w:rsidRPr="00767682" w:rsidRDefault="00C47EAA" w:rsidP="00C47EAA">
            <w:pPr>
              <w:pStyle w:val="ListParagraph"/>
              <w:numPr>
                <w:ilvl w:val="0"/>
                <w:numId w:val="9"/>
              </w:numPr>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Apjoms, kas sasniedzams par EK 2022.gada piešķīrumu:</w:t>
            </w:r>
          </w:p>
          <w:p w14:paraId="1C34270C" w14:textId="2A851ABD" w:rsidR="00C47EAA" w:rsidRPr="00767682" w:rsidRDefault="00BB20E9" w:rsidP="00767682">
            <w:pPr>
              <w:pStyle w:val="ListParagraph"/>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0</w:t>
            </w:r>
          </w:p>
          <w:p w14:paraId="5952B403" w14:textId="77777777" w:rsidR="00C47EAA" w:rsidRPr="00767682" w:rsidRDefault="00C47EAA" w:rsidP="00C47EAA">
            <w:pPr>
              <w:spacing w:after="0" w:line="240" w:lineRule="auto"/>
              <w:jc w:val="both"/>
              <w:rPr>
                <w:rFonts w:ascii="Times New Roman" w:eastAsiaTheme="minorHAnsi" w:hAnsi="Times New Roman"/>
                <w:sz w:val="18"/>
                <w:szCs w:val="18"/>
              </w:rPr>
            </w:pPr>
          </w:p>
          <w:p w14:paraId="54D0AF21" w14:textId="45FE6F70" w:rsidR="00C47EAA" w:rsidRPr="00767682" w:rsidRDefault="00C47EAA" w:rsidP="00C47EAA">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Mērķa vērtības noteikšanas principi/metodoloģija</w:t>
            </w:r>
            <w:r w:rsidRPr="00767682">
              <w:rPr>
                <w:rFonts w:ascii="Times New Roman" w:eastAsiaTheme="minorHAnsi" w:hAnsi="Times New Roman"/>
                <w:sz w:val="18"/>
                <w:szCs w:val="18"/>
              </w:rPr>
              <w:t xml:space="preserve">: </w:t>
            </w:r>
          </w:p>
          <w:p w14:paraId="77D45748" w14:textId="77777777" w:rsidR="00BB20E9" w:rsidRPr="00767682" w:rsidRDefault="00BB20E9" w:rsidP="00BB20E9">
            <w:pPr>
              <w:pStyle w:val="ListParagraph"/>
              <w:numPr>
                <w:ilvl w:val="0"/>
                <w:numId w:val="13"/>
              </w:numPr>
              <w:spacing w:after="0" w:line="240" w:lineRule="auto"/>
              <w:ind w:left="205" w:hanging="219"/>
              <w:jc w:val="both"/>
              <w:rPr>
                <w:rFonts w:ascii="Times New Roman" w:hAnsi="Times New Roman"/>
                <w:sz w:val="18"/>
                <w:szCs w:val="18"/>
              </w:rPr>
            </w:pPr>
            <w:r w:rsidRPr="00767682">
              <w:rPr>
                <w:rFonts w:ascii="Times New Roman" w:hAnsi="Times New Roman"/>
                <w:sz w:val="18"/>
                <w:szCs w:val="18"/>
              </w:rPr>
              <w:t>Strādājošo skaits noteikts uzņēmumos, kuru ražošanas vai pakalpojuma sniegšanas vieta ir nacionālas un reģionālas nozīmes attīstības centru un to funkcionālās teritorijas;</w:t>
            </w:r>
          </w:p>
          <w:p w14:paraId="282562F6" w14:textId="77777777" w:rsidR="00BB20E9" w:rsidRPr="00767682" w:rsidRDefault="00BB20E9" w:rsidP="00BB20E9">
            <w:pPr>
              <w:pStyle w:val="ListParagraph"/>
              <w:numPr>
                <w:ilvl w:val="0"/>
                <w:numId w:val="13"/>
              </w:numPr>
              <w:spacing w:after="0" w:line="240" w:lineRule="auto"/>
              <w:ind w:left="205" w:hanging="219"/>
              <w:jc w:val="both"/>
              <w:rPr>
                <w:rFonts w:ascii="Times New Roman" w:hAnsi="Times New Roman"/>
                <w:sz w:val="18"/>
                <w:szCs w:val="18"/>
              </w:rPr>
            </w:pPr>
            <w:r w:rsidRPr="00767682">
              <w:rPr>
                <w:rFonts w:ascii="Times New Roman" w:hAnsi="Times New Roman"/>
                <w:sz w:val="18"/>
                <w:szCs w:val="18"/>
              </w:rPr>
              <w:lastRenderedPageBreak/>
              <w:t>Bāzes vērtība noteikta saskaņā ar CSP rādītāju Nr.jvsg071.„Strādājošo skaits pamatdarbā pēc faktiskās darbavietas republikas pilsētās, novados un reģionos”</w:t>
            </w:r>
          </w:p>
          <w:p w14:paraId="3D52504F" w14:textId="7C16456F" w:rsidR="00BB20E9" w:rsidRDefault="00BB20E9" w:rsidP="00BB20E9">
            <w:pPr>
              <w:pStyle w:val="ListParagraph"/>
              <w:numPr>
                <w:ilvl w:val="0"/>
                <w:numId w:val="13"/>
              </w:numPr>
              <w:spacing w:after="0" w:line="240" w:lineRule="auto"/>
              <w:ind w:left="205" w:hanging="219"/>
              <w:jc w:val="both"/>
              <w:rPr>
                <w:rFonts w:ascii="Times New Roman" w:hAnsi="Times New Roman"/>
                <w:sz w:val="18"/>
                <w:szCs w:val="18"/>
              </w:rPr>
            </w:pPr>
            <w:r w:rsidRPr="00767682">
              <w:rPr>
                <w:rFonts w:ascii="Times New Roman" w:hAnsi="Times New Roman"/>
                <w:sz w:val="18"/>
                <w:szCs w:val="18"/>
              </w:rPr>
              <w:t xml:space="preserve">Mērķa vērtība noteikta, balstoties uz Ekonomikas ministrijas 2012.gada „Informatīvo ziņojumu par darba tirgus vidēja un ilgtermiņa prognozēm”, ekstrapolējot nodarbināto iedzīvotāju skaita vājas izaugsmes scenārija prognozi uz 2023.gadu un specifisko atbalsta mērķu ietekmes aprēķinu, pieņemot, ka vidēji vienas darbavietas radīšanai nepieciešamas investīcijas 41 000 </w:t>
            </w:r>
            <w:r w:rsidRPr="00767682">
              <w:rPr>
                <w:rFonts w:ascii="Times New Roman" w:hAnsi="Times New Roman"/>
                <w:i/>
                <w:sz w:val="18"/>
                <w:szCs w:val="18"/>
              </w:rPr>
              <w:t>euro</w:t>
            </w:r>
            <w:r w:rsidRPr="00767682">
              <w:rPr>
                <w:rFonts w:ascii="Times New Roman" w:hAnsi="Times New Roman"/>
                <w:sz w:val="18"/>
                <w:szCs w:val="18"/>
              </w:rPr>
              <w:t xml:space="preserve"> apmērā.</w:t>
            </w:r>
          </w:p>
          <w:p w14:paraId="7D72A6EF" w14:textId="73BD582C" w:rsidR="00320BD2" w:rsidRPr="00320BD2" w:rsidRDefault="00320BD2" w:rsidP="00320BD2">
            <w:pPr>
              <w:pStyle w:val="ListParagraph"/>
              <w:numPr>
                <w:ilvl w:val="0"/>
                <w:numId w:val="13"/>
              </w:numPr>
              <w:spacing w:after="0" w:line="240" w:lineRule="auto"/>
              <w:ind w:left="205" w:hanging="219"/>
              <w:jc w:val="both"/>
              <w:rPr>
                <w:rFonts w:ascii="Times New Roman" w:hAnsi="Times New Roman"/>
                <w:sz w:val="16"/>
                <w:szCs w:val="16"/>
              </w:rPr>
            </w:pPr>
            <w:r w:rsidRPr="00320BD2">
              <w:rPr>
                <w:rFonts w:ascii="Times New Roman" w:hAnsi="Times New Roman"/>
                <w:sz w:val="16"/>
                <w:szCs w:val="16"/>
              </w:rPr>
              <w:t>Tā kā</w:t>
            </w:r>
            <w:r>
              <w:rPr>
                <w:rFonts w:ascii="Times New Roman" w:hAnsi="Times New Roman"/>
                <w:sz w:val="16"/>
                <w:szCs w:val="16"/>
              </w:rPr>
              <w:t xml:space="preserve"> 13.1.3. specifiskā atbalsta mērķa finansējums</w:t>
            </w:r>
            <w:r w:rsidRPr="00320BD2">
              <w:rPr>
                <w:rFonts w:ascii="Times New Roman" w:hAnsi="Times New Roman"/>
                <w:sz w:val="16"/>
                <w:szCs w:val="16"/>
              </w:rPr>
              <w:t xml:space="preserve"> </w:t>
            </w:r>
            <w:r>
              <w:rPr>
                <w:rFonts w:ascii="Times New Roman" w:hAnsi="Times New Roman"/>
                <w:sz w:val="16"/>
                <w:szCs w:val="16"/>
              </w:rPr>
              <w:t>(</w:t>
            </w:r>
            <w:r w:rsidR="00101E14">
              <w:rPr>
                <w:rFonts w:ascii="Times New Roman" w:hAnsi="Times New Roman"/>
                <w:sz w:val="16"/>
                <w:szCs w:val="16"/>
              </w:rPr>
              <w:t>REACT</w:t>
            </w:r>
            <w:r w:rsidRPr="00320BD2">
              <w:rPr>
                <w:rFonts w:ascii="Times New Roman" w:hAnsi="Times New Roman"/>
                <w:sz w:val="16"/>
                <w:szCs w:val="16"/>
              </w:rPr>
              <w:t>-EU</w:t>
            </w:r>
            <w:r>
              <w:rPr>
                <w:rFonts w:ascii="Times New Roman" w:hAnsi="Times New Roman"/>
                <w:sz w:val="16"/>
                <w:szCs w:val="16"/>
              </w:rPr>
              <w:t>)</w:t>
            </w:r>
            <w:r w:rsidRPr="00320BD2">
              <w:rPr>
                <w:rFonts w:ascii="Times New Roman" w:hAnsi="Times New Roman"/>
                <w:sz w:val="16"/>
                <w:szCs w:val="16"/>
              </w:rPr>
              <w:t xml:space="preserve"> tiek plānots kā papildu finansējums 5.6.2. </w:t>
            </w:r>
            <w:r>
              <w:rPr>
                <w:rFonts w:ascii="Times New Roman" w:hAnsi="Times New Roman"/>
                <w:sz w:val="16"/>
                <w:szCs w:val="16"/>
              </w:rPr>
              <w:t>specifiskā atbalsta mērķa</w:t>
            </w:r>
            <w:r w:rsidRPr="00320BD2">
              <w:rPr>
                <w:rFonts w:ascii="Times New Roman" w:hAnsi="Times New Roman"/>
                <w:sz w:val="16"/>
                <w:szCs w:val="16"/>
              </w:rPr>
              <w:t xml:space="preserve"> ceturtajai atlases kārtai un uz 5.6.2. </w:t>
            </w:r>
            <w:r>
              <w:rPr>
                <w:rFonts w:ascii="Times New Roman" w:hAnsi="Times New Roman"/>
                <w:sz w:val="16"/>
                <w:szCs w:val="16"/>
              </w:rPr>
              <w:t>specifiskā atbalsta mērķa</w:t>
            </w:r>
            <w:r w:rsidRPr="00320BD2">
              <w:rPr>
                <w:rFonts w:ascii="Times New Roman" w:hAnsi="Times New Roman"/>
                <w:sz w:val="16"/>
                <w:szCs w:val="16"/>
              </w:rPr>
              <w:t xml:space="preserve"> ceturto atlases kārtu ir nosacījums, ka rādītāju atdeve pret ieguldīto ERAF var būt 1:1 (MK noteikumu Nr. 645 11. punkts), tiek pieņemts, ka par pusi no 24 165 500 </w:t>
            </w:r>
            <w:r w:rsidRPr="00320BD2">
              <w:rPr>
                <w:rFonts w:ascii="Times New Roman" w:hAnsi="Times New Roman"/>
                <w:i/>
                <w:sz w:val="16"/>
                <w:szCs w:val="16"/>
              </w:rPr>
              <w:t>euro</w:t>
            </w:r>
            <w:r w:rsidRPr="00320BD2">
              <w:rPr>
                <w:rFonts w:ascii="Times New Roman" w:hAnsi="Times New Roman"/>
                <w:sz w:val="16"/>
                <w:szCs w:val="16"/>
              </w:rPr>
              <w:t xml:space="preserve"> (12 082 750/41 000) tiek radītas 295 jaunas darba vietas un par otru pusi 12 082 750 </w:t>
            </w:r>
            <w:r w:rsidRPr="00320BD2">
              <w:rPr>
                <w:rFonts w:ascii="Times New Roman" w:hAnsi="Times New Roman"/>
                <w:i/>
                <w:sz w:val="16"/>
                <w:szCs w:val="16"/>
              </w:rPr>
              <w:t>euro</w:t>
            </w:r>
            <w:r w:rsidRPr="00320BD2">
              <w:rPr>
                <w:rFonts w:ascii="Times New Roman" w:hAnsi="Times New Roman"/>
                <w:sz w:val="16"/>
                <w:szCs w:val="16"/>
              </w:rPr>
              <w:t xml:space="preserve"> tiek veikti komersantu nefinanšu ieguldījumi.</w:t>
            </w:r>
          </w:p>
          <w:p w14:paraId="12C30A79" w14:textId="062E84EF" w:rsidR="008F0234" w:rsidRDefault="00BB20E9" w:rsidP="00735571">
            <w:pPr>
              <w:spacing w:after="0" w:line="240" w:lineRule="auto"/>
              <w:ind w:left="-14"/>
              <w:jc w:val="both"/>
              <w:rPr>
                <w:rFonts w:ascii="Times New Roman" w:hAnsi="Times New Roman"/>
                <w:sz w:val="18"/>
                <w:szCs w:val="18"/>
              </w:rPr>
            </w:pPr>
            <w:r w:rsidRPr="00767682">
              <w:rPr>
                <w:rFonts w:ascii="Times New Roman" w:hAnsi="Times New Roman"/>
                <w:sz w:val="18"/>
                <w:szCs w:val="18"/>
              </w:rPr>
              <w:t xml:space="preserve">Vispārējās ekonomiskās izaugsmes ietekme – 23,3 tūkst. strādājošo, 3.3.1.specifiskā atbalsta mērķa ietekme – 1,5 tūkst. strādājošo, 5.6.2.specifiskā atbalsta mērķa ietekme – 5,8 tūkst. strādājošo, bet 13.1.3. specifiskā atbalsta mērķa </w:t>
            </w:r>
            <w:r w:rsidRPr="00320BD2">
              <w:rPr>
                <w:rFonts w:ascii="Times New Roman" w:hAnsi="Times New Roman"/>
                <w:sz w:val="18"/>
                <w:szCs w:val="18"/>
              </w:rPr>
              <w:t xml:space="preserve">ietekme </w:t>
            </w:r>
            <w:r w:rsidR="00320BD2" w:rsidRPr="00320BD2">
              <w:rPr>
                <w:rFonts w:ascii="Times New Roman" w:hAnsi="Times New Roman"/>
                <w:sz w:val="16"/>
                <w:szCs w:val="16"/>
              </w:rPr>
              <w:t xml:space="preserve">ir </w:t>
            </w:r>
            <w:r w:rsidR="00101E14">
              <w:rPr>
                <w:rFonts w:ascii="Times New Roman" w:hAnsi="Times New Roman"/>
                <w:sz w:val="16"/>
                <w:szCs w:val="16"/>
              </w:rPr>
              <w:t xml:space="preserve">vismaz </w:t>
            </w:r>
            <w:r w:rsidR="00320BD2" w:rsidRPr="00320BD2">
              <w:rPr>
                <w:rFonts w:ascii="Times New Roman" w:hAnsi="Times New Roman"/>
                <w:sz w:val="16"/>
                <w:szCs w:val="16"/>
              </w:rPr>
              <w:t>295 strādājošie, kas vienlaikus var būt robežās no 0,3 - 0,6 tūkst. strādājošo, ja rādītāju atdeve pret ieguldīto ERAF finansējumus būs lielāka kā 1:1</w:t>
            </w:r>
            <w:r w:rsidR="00101E14">
              <w:rPr>
                <w:rFonts w:ascii="Times New Roman" w:hAnsi="Times New Roman"/>
                <w:sz w:val="16"/>
                <w:szCs w:val="16"/>
              </w:rPr>
              <w:t xml:space="preserve"> (ja projekta ietvaros jaunas darba vietas tiks radītas lielākā proporcijā nekā nefinanšu investīcijas)</w:t>
            </w:r>
            <w:r w:rsidR="00320BD2" w:rsidRPr="00320BD2">
              <w:rPr>
                <w:rFonts w:ascii="Times New Roman" w:hAnsi="Times New Roman"/>
                <w:sz w:val="16"/>
                <w:szCs w:val="16"/>
              </w:rPr>
              <w:t>.</w:t>
            </w:r>
          </w:p>
          <w:p w14:paraId="7E5F103F" w14:textId="5BEC4940" w:rsidR="007932AD" w:rsidRPr="00767682" w:rsidRDefault="007932AD" w:rsidP="00735571">
            <w:pPr>
              <w:spacing w:after="0" w:line="240" w:lineRule="auto"/>
              <w:ind w:left="-14"/>
              <w:jc w:val="both"/>
              <w:rPr>
                <w:rFonts w:eastAsiaTheme="minorHAnsi"/>
              </w:rPr>
            </w:pPr>
          </w:p>
        </w:tc>
        <w:tc>
          <w:tcPr>
            <w:tcW w:w="1648" w:type="pct"/>
          </w:tcPr>
          <w:p w14:paraId="7718132D" w14:textId="21331B7F" w:rsidR="005F4853" w:rsidRPr="00767682" w:rsidRDefault="00C26DED" w:rsidP="008678B4">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lastRenderedPageBreak/>
              <w:t>N</w:t>
            </w:r>
            <w:r w:rsidR="005F4853" w:rsidRPr="00767682">
              <w:rPr>
                <w:rFonts w:ascii="Times New Roman" w:eastAsiaTheme="minorHAnsi" w:hAnsi="Times New Roman"/>
                <w:i/>
                <w:sz w:val="18"/>
                <w:szCs w:val="18"/>
              </w:rPr>
              <w:t>osaukums un mērvienība</w:t>
            </w:r>
            <w:r w:rsidR="005F4853" w:rsidRPr="00767682">
              <w:rPr>
                <w:rFonts w:ascii="Times New Roman" w:eastAsiaTheme="minorHAnsi" w:hAnsi="Times New Roman"/>
                <w:sz w:val="18"/>
                <w:szCs w:val="18"/>
              </w:rPr>
              <w:t xml:space="preserve">: </w:t>
            </w:r>
          </w:p>
          <w:p w14:paraId="1DAA8A1A" w14:textId="2695D5FE" w:rsidR="005F4853" w:rsidRPr="00767682" w:rsidRDefault="008D547F" w:rsidP="008678B4">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i.13.1.3.a (CO32) “Primārās enerģijas gada patēriņa samazinājums sabiedriskajās ēkās”, kWh/gadā</w:t>
            </w:r>
          </w:p>
          <w:p w14:paraId="5D3F2F16" w14:textId="77777777" w:rsidR="008D547F" w:rsidRPr="00767682" w:rsidRDefault="008D547F" w:rsidP="008678B4">
            <w:pPr>
              <w:spacing w:after="0" w:line="240" w:lineRule="auto"/>
              <w:jc w:val="both"/>
              <w:rPr>
                <w:rFonts w:ascii="Times New Roman" w:eastAsiaTheme="minorHAnsi" w:hAnsi="Times New Roman"/>
                <w:sz w:val="18"/>
                <w:szCs w:val="18"/>
              </w:rPr>
            </w:pPr>
          </w:p>
          <w:p w14:paraId="13F3AED8" w14:textId="35ACEB56" w:rsidR="005F4853" w:rsidRPr="00767682" w:rsidRDefault="005F4853" w:rsidP="3167B124">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Definīcija</w:t>
            </w:r>
            <w:r w:rsidRPr="00767682">
              <w:t>:</w:t>
            </w:r>
          </w:p>
          <w:p w14:paraId="23202D0F" w14:textId="782396EE" w:rsidR="2D456E03" w:rsidRPr="00767682" w:rsidRDefault="2D456E03" w:rsidP="77E96E6C">
            <w:pPr>
              <w:spacing w:after="0" w:line="240" w:lineRule="auto"/>
              <w:jc w:val="both"/>
              <w:rPr>
                <w:rFonts w:ascii="Times New Roman" w:eastAsia="Times New Roman" w:hAnsi="Times New Roman"/>
                <w:sz w:val="18"/>
                <w:szCs w:val="18"/>
              </w:rPr>
            </w:pPr>
            <w:r w:rsidRPr="00767682">
              <w:rPr>
                <w:rFonts w:ascii="Times New Roman" w:eastAsia="Times New Roman" w:hAnsi="Times New Roman"/>
                <w:sz w:val="18"/>
                <w:szCs w:val="18"/>
              </w:rPr>
              <w:t>Kopējais rādītājs</w:t>
            </w:r>
            <w:r w:rsidRPr="00767682">
              <w:rPr>
                <w:rFonts w:ascii="Times New Roman" w:eastAsia="Times New Roman" w:hAnsi="Times New Roman"/>
                <w:sz w:val="18"/>
                <w:szCs w:val="18"/>
                <w:vertAlign w:val="superscript"/>
              </w:rPr>
              <w:footnoteReference w:id="3"/>
            </w:r>
          </w:p>
          <w:p w14:paraId="346681E9" w14:textId="45CD0527" w:rsidR="005F4853" w:rsidRPr="00767682" w:rsidRDefault="005F4853" w:rsidP="008678B4">
            <w:pPr>
              <w:spacing w:after="0" w:line="240" w:lineRule="auto"/>
              <w:jc w:val="both"/>
              <w:rPr>
                <w:rFonts w:ascii="Times New Roman" w:eastAsiaTheme="minorHAnsi" w:hAnsi="Times New Roman"/>
                <w:sz w:val="18"/>
                <w:szCs w:val="18"/>
              </w:rPr>
            </w:pPr>
          </w:p>
          <w:p w14:paraId="5B9285AF" w14:textId="654B8ADF" w:rsidR="005F4853" w:rsidRPr="00767682" w:rsidRDefault="005F4853" w:rsidP="3167B124">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Datu avots</w:t>
            </w:r>
            <w:r w:rsidRPr="00767682">
              <w:rPr>
                <w:rFonts w:ascii="Times New Roman" w:eastAsiaTheme="minorEastAsia" w:hAnsi="Times New Roman"/>
                <w:sz w:val="18"/>
                <w:szCs w:val="18"/>
              </w:rPr>
              <w:t xml:space="preserve">: </w:t>
            </w:r>
          </w:p>
          <w:p w14:paraId="4F0CB19C" w14:textId="539CCBCB" w:rsidR="7F9056B4" w:rsidRPr="00767682" w:rsidRDefault="7F9056B4" w:rsidP="3167B124">
            <w:pPr>
              <w:spacing w:after="0" w:line="240" w:lineRule="auto"/>
              <w:jc w:val="both"/>
            </w:pPr>
            <w:r w:rsidRPr="00767682">
              <w:rPr>
                <w:rFonts w:ascii="Times New Roman" w:eastAsiaTheme="minorEastAsia" w:hAnsi="Times New Roman"/>
                <w:sz w:val="18"/>
                <w:szCs w:val="18"/>
              </w:rPr>
              <w:t>Projektu dati</w:t>
            </w:r>
          </w:p>
          <w:p w14:paraId="1F1F73B3" w14:textId="77777777" w:rsidR="005F4853" w:rsidRPr="00767682" w:rsidRDefault="005F4853" w:rsidP="008678B4">
            <w:pPr>
              <w:spacing w:after="0" w:line="240" w:lineRule="auto"/>
              <w:jc w:val="both"/>
              <w:rPr>
                <w:rFonts w:ascii="Times New Roman" w:eastAsiaTheme="minorHAnsi" w:hAnsi="Times New Roman"/>
                <w:sz w:val="18"/>
                <w:szCs w:val="18"/>
              </w:rPr>
            </w:pPr>
          </w:p>
          <w:p w14:paraId="14A66DCD" w14:textId="1E1B87D2" w:rsidR="005F4853" w:rsidRPr="00767682" w:rsidRDefault="005F4853" w:rsidP="3167B124">
            <w:pPr>
              <w:spacing w:after="0" w:line="240" w:lineRule="auto"/>
              <w:jc w:val="both"/>
              <w:rPr>
                <w:rFonts w:ascii="Times New Roman" w:eastAsiaTheme="minorEastAsia" w:hAnsi="Times New Roman"/>
                <w:i/>
                <w:iCs/>
                <w:sz w:val="18"/>
                <w:szCs w:val="18"/>
              </w:rPr>
            </w:pPr>
            <w:r w:rsidRPr="00767682">
              <w:rPr>
                <w:rFonts w:ascii="Times New Roman" w:eastAsiaTheme="minorEastAsia" w:hAnsi="Times New Roman"/>
                <w:i/>
                <w:iCs/>
                <w:sz w:val="18"/>
                <w:szCs w:val="18"/>
              </w:rPr>
              <w:t xml:space="preserve">Apkopošanas biežums un ieguves metodoloģija: </w:t>
            </w:r>
          </w:p>
          <w:p w14:paraId="3F0A747B" w14:textId="5D4BBF0D" w:rsidR="781DE462" w:rsidRPr="00767682" w:rsidRDefault="781DE462" w:rsidP="00BC6D0A">
            <w:pPr>
              <w:spacing w:after="0" w:line="240" w:lineRule="auto"/>
              <w:jc w:val="both"/>
            </w:pPr>
            <w:r w:rsidRPr="00767682">
              <w:rPr>
                <w:rFonts w:ascii="Times New Roman" w:eastAsia="Times New Roman" w:hAnsi="Times New Roman"/>
                <w:sz w:val="18"/>
                <w:szCs w:val="18"/>
              </w:rPr>
              <w:t>Reizi gadā, apkopojot informāciju par atbalstītajiem projektiem no projektu atskaitēm</w:t>
            </w:r>
            <w:r w:rsidR="099B2C59" w:rsidRPr="00767682">
              <w:rPr>
                <w:rFonts w:ascii="Times New Roman" w:eastAsia="Times New Roman" w:hAnsi="Times New Roman"/>
                <w:sz w:val="18"/>
                <w:szCs w:val="18"/>
              </w:rPr>
              <w:t xml:space="preserve"> </w:t>
            </w:r>
            <w:r w:rsidRPr="00767682">
              <w:rPr>
                <w:rFonts w:ascii="Times New Roman" w:eastAsia="Times New Roman" w:hAnsi="Times New Roman"/>
                <w:sz w:val="18"/>
                <w:szCs w:val="18"/>
              </w:rPr>
              <w:t>/ VIS sistēmas</w:t>
            </w:r>
          </w:p>
          <w:p w14:paraId="4FCF07CC" w14:textId="5DB6FE3B" w:rsidR="005F4853" w:rsidRPr="00767682" w:rsidRDefault="005F4853" w:rsidP="008678B4">
            <w:pPr>
              <w:spacing w:after="0" w:line="240" w:lineRule="auto"/>
              <w:jc w:val="both"/>
              <w:rPr>
                <w:rFonts w:ascii="Times New Roman" w:eastAsiaTheme="minorHAnsi" w:hAnsi="Times New Roman"/>
                <w:sz w:val="18"/>
                <w:szCs w:val="18"/>
              </w:rPr>
            </w:pPr>
          </w:p>
          <w:p w14:paraId="776DB429" w14:textId="77777777" w:rsidR="00C015EB" w:rsidRPr="00767682" w:rsidRDefault="64BA5F44" w:rsidP="158B39DF">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 xml:space="preserve">Mērķis </w:t>
            </w:r>
            <w:r w:rsidR="716DDE10" w:rsidRPr="00767682">
              <w:rPr>
                <w:rFonts w:ascii="Times New Roman" w:eastAsiaTheme="minorEastAsia" w:hAnsi="Times New Roman"/>
                <w:i/>
                <w:iCs/>
                <w:sz w:val="18"/>
                <w:szCs w:val="18"/>
              </w:rPr>
              <w:t>2023</w:t>
            </w:r>
            <w:r w:rsidR="716DDE10" w:rsidRPr="00767682">
              <w:rPr>
                <w:rFonts w:ascii="Times New Roman" w:eastAsiaTheme="minorEastAsia" w:hAnsi="Times New Roman"/>
                <w:sz w:val="18"/>
                <w:szCs w:val="18"/>
              </w:rPr>
              <w:t>:</w:t>
            </w:r>
          </w:p>
          <w:p w14:paraId="16B3140E" w14:textId="1C9186A2" w:rsidR="005F4853" w:rsidRPr="00767682" w:rsidRDefault="00A77621" w:rsidP="158B39DF">
            <w:pPr>
              <w:spacing w:after="0" w:line="240" w:lineRule="auto"/>
              <w:jc w:val="both"/>
              <w:rPr>
                <w:rFonts w:ascii="Times New Roman" w:eastAsiaTheme="minorEastAsia" w:hAnsi="Times New Roman"/>
                <w:sz w:val="18"/>
                <w:szCs w:val="18"/>
              </w:rPr>
            </w:pPr>
            <w:r w:rsidRPr="002D2D61">
              <w:rPr>
                <w:rFonts w:ascii="Times New Roman" w:eastAsiaTheme="minorEastAsia" w:hAnsi="Times New Roman"/>
                <w:sz w:val="18"/>
                <w:szCs w:val="18"/>
              </w:rPr>
              <w:t>4 702 062</w:t>
            </w:r>
            <w:r w:rsidR="50E06EDA" w:rsidRPr="00767682">
              <w:rPr>
                <w:rFonts w:ascii="Times New Roman" w:eastAsiaTheme="minorEastAsia" w:hAnsi="Times New Roman"/>
                <w:sz w:val="18"/>
                <w:szCs w:val="18"/>
              </w:rPr>
              <w:t xml:space="preserve"> kWh/gadā</w:t>
            </w:r>
          </w:p>
          <w:p w14:paraId="21B92FEF" w14:textId="6D6C56AD" w:rsidR="001246FD" w:rsidRPr="00767682" w:rsidRDefault="00FD7030" w:rsidP="00E4039D">
            <w:pPr>
              <w:pStyle w:val="ListParagraph"/>
              <w:numPr>
                <w:ilvl w:val="0"/>
                <w:numId w:val="5"/>
              </w:numPr>
              <w:spacing w:after="0" w:line="240" w:lineRule="auto"/>
              <w:jc w:val="both"/>
              <w:rPr>
                <w:rFonts w:ascii="Times New Roman" w:eastAsiaTheme="minorEastAsia" w:hAnsi="Times New Roman"/>
                <w:i/>
                <w:sz w:val="18"/>
                <w:szCs w:val="18"/>
              </w:rPr>
            </w:pPr>
            <w:r w:rsidRPr="00767682">
              <w:rPr>
                <w:rFonts w:ascii="Times New Roman" w:eastAsiaTheme="minorEastAsia" w:hAnsi="Times New Roman"/>
                <w:i/>
                <w:sz w:val="18"/>
                <w:szCs w:val="18"/>
              </w:rPr>
              <w:t>Apjoms, kas sasniedzams p</w:t>
            </w:r>
            <w:r w:rsidR="001246FD" w:rsidRPr="00767682">
              <w:rPr>
                <w:rFonts w:ascii="Times New Roman" w:eastAsiaTheme="minorEastAsia" w:hAnsi="Times New Roman"/>
                <w:i/>
                <w:sz w:val="18"/>
                <w:szCs w:val="18"/>
              </w:rPr>
              <w:t xml:space="preserve">ar EK 2021.gada </w:t>
            </w:r>
            <w:r w:rsidRPr="00767682">
              <w:rPr>
                <w:rFonts w:ascii="Times New Roman" w:eastAsiaTheme="minorEastAsia" w:hAnsi="Times New Roman"/>
                <w:i/>
                <w:sz w:val="18"/>
                <w:szCs w:val="18"/>
              </w:rPr>
              <w:t>piešķīrumu</w:t>
            </w:r>
            <w:r w:rsidR="001246FD" w:rsidRPr="00767682">
              <w:rPr>
                <w:rFonts w:ascii="Times New Roman" w:eastAsiaTheme="minorEastAsia" w:hAnsi="Times New Roman"/>
                <w:i/>
                <w:sz w:val="18"/>
                <w:szCs w:val="18"/>
              </w:rPr>
              <w:t>:</w:t>
            </w:r>
          </w:p>
          <w:p w14:paraId="58709C9F" w14:textId="15E6B704" w:rsidR="001246FD" w:rsidRPr="00767682" w:rsidRDefault="00A77621" w:rsidP="00F92A65">
            <w:pPr>
              <w:spacing w:after="0" w:line="240" w:lineRule="auto"/>
              <w:ind w:left="742"/>
              <w:jc w:val="both"/>
              <w:rPr>
                <w:rFonts w:ascii="Times New Roman" w:eastAsiaTheme="minorEastAsia" w:hAnsi="Times New Roman"/>
                <w:sz w:val="18"/>
                <w:szCs w:val="18"/>
              </w:rPr>
            </w:pPr>
            <w:r w:rsidRPr="002D2D61">
              <w:rPr>
                <w:rFonts w:ascii="Times New Roman" w:eastAsiaTheme="minorEastAsia" w:hAnsi="Times New Roman"/>
                <w:sz w:val="18"/>
                <w:szCs w:val="18"/>
              </w:rPr>
              <w:t>3 741 639</w:t>
            </w:r>
            <w:r w:rsidR="62884990" w:rsidRPr="00767682">
              <w:rPr>
                <w:rFonts w:ascii="Times New Roman" w:eastAsiaTheme="minorEastAsia" w:hAnsi="Times New Roman"/>
                <w:sz w:val="18"/>
                <w:szCs w:val="18"/>
              </w:rPr>
              <w:t xml:space="preserve"> kWh/gadā</w:t>
            </w:r>
          </w:p>
          <w:p w14:paraId="16A6427C" w14:textId="77777777" w:rsidR="00E4039D" w:rsidRPr="00767682" w:rsidRDefault="00E4039D" w:rsidP="001246FD">
            <w:pPr>
              <w:spacing w:after="0" w:line="240" w:lineRule="auto"/>
              <w:jc w:val="both"/>
              <w:rPr>
                <w:rFonts w:ascii="Times New Roman" w:eastAsiaTheme="minorHAnsi" w:hAnsi="Times New Roman"/>
                <w:sz w:val="18"/>
                <w:szCs w:val="18"/>
              </w:rPr>
            </w:pPr>
          </w:p>
          <w:p w14:paraId="73356476" w14:textId="4F3C000D" w:rsidR="001246FD" w:rsidRPr="00767682" w:rsidRDefault="00FD7030" w:rsidP="00E4039D">
            <w:pPr>
              <w:pStyle w:val="ListParagraph"/>
              <w:numPr>
                <w:ilvl w:val="0"/>
                <w:numId w:val="5"/>
              </w:numPr>
              <w:spacing w:after="0" w:line="240" w:lineRule="auto"/>
              <w:jc w:val="both"/>
              <w:rPr>
                <w:rFonts w:ascii="Times New Roman" w:eastAsiaTheme="minorEastAsia" w:hAnsi="Times New Roman"/>
                <w:i/>
                <w:sz w:val="18"/>
                <w:szCs w:val="18"/>
              </w:rPr>
            </w:pPr>
            <w:r w:rsidRPr="00767682">
              <w:rPr>
                <w:rFonts w:ascii="Times New Roman" w:eastAsiaTheme="minorEastAsia" w:hAnsi="Times New Roman"/>
                <w:i/>
                <w:sz w:val="18"/>
                <w:szCs w:val="18"/>
              </w:rPr>
              <w:t>Apjoms, kas sasniedzams p</w:t>
            </w:r>
            <w:r w:rsidR="001246FD" w:rsidRPr="00767682">
              <w:rPr>
                <w:rFonts w:ascii="Times New Roman" w:eastAsiaTheme="minorEastAsia" w:hAnsi="Times New Roman"/>
                <w:i/>
                <w:sz w:val="18"/>
                <w:szCs w:val="18"/>
              </w:rPr>
              <w:t xml:space="preserve">ar EK 2022.gada </w:t>
            </w:r>
            <w:r w:rsidRPr="00767682">
              <w:rPr>
                <w:rFonts w:ascii="Times New Roman" w:eastAsiaTheme="minorEastAsia" w:hAnsi="Times New Roman"/>
                <w:i/>
                <w:sz w:val="18"/>
                <w:szCs w:val="18"/>
              </w:rPr>
              <w:t>piešķīrumu</w:t>
            </w:r>
            <w:r w:rsidR="001246FD" w:rsidRPr="00767682">
              <w:rPr>
                <w:rFonts w:ascii="Times New Roman" w:eastAsiaTheme="minorEastAsia" w:hAnsi="Times New Roman"/>
                <w:i/>
                <w:sz w:val="18"/>
                <w:szCs w:val="18"/>
              </w:rPr>
              <w:t>:</w:t>
            </w:r>
          </w:p>
          <w:p w14:paraId="4BD2AA94" w14:textId="7AC9CD65" w:rsidR="001246FD" w:rsidRPr="00767682" w:rsidRDefault="00A77621" w:rsidP="00F92A65">
            <w:pPr>
              <w:spacing w:after="0" w:line="240" w:lineRule="auto"/>
              <w:ind w:left="742"/>
              <w:jc w:val="both"/>
              <w:rPr>
                <w:rFonts w:ascii="Times New Roman" w:eastAsiaTheme="minorEastAsia" w:hAnsi="Times New Roman"/>
                <w:sz w:val="18"/>
                <w:szCs w:val="18"/>
              </w:rPr>
            </w:pPr>
            <w:r w:rsidRPr="002D2D61">
              <w:rPr>
                <w:rFonts w:ascii="Times New Roman" w:eastAsiaTheme="minorEastAsia" w:hAnsi="Times New Roman"/>
                <w:sz w:val="18"/>
                <w:szCs w:val="18"/>
              </w:rPr>
              <w:t>960 423</w:t>
            </w:r>
            <w:r w:rsidR="419661C9" w:rsidRPr="00767682">
              <w:rPr>
                <w:rFonts w:ascii="Times New Roman" w:eastAsiaTheme="minorEastAsia" w:hAnsi="Times New Roman"/>
                <w:sz w:val="18"/>
                <w:szCs w:val="18"/>
              </w:rPr>
              <w:t xml:space="preserve"> kWh/gadā</w:t>
            </w:r>
          </w:p>
          <w:p w14:paraId="6F15161B" w14:textId="77777777" w:rsidR="005F4853" w:rsidRPr="00767682" w:rsidRDefault="005F4853" w:rsidP="008678B4">
            <w:pPr>
              <w:spacing w:after="0" w:line="240" w:lineRule="auto"/>
              <w:jc w:val="both"/>
              <w:rPr>
                <w:rFonts w:ascii="Times New Roman" w:eastAsiaTheme="minorHAnsi" w:hAnsi="Times New Roman"/>
                <w:sz w:val="18"/>
                <w:szCs w:val="18"/>
              </w:rPr>
            </w:pPr>
          </w:p>
          <w:p w14:paraId="768A8EE4" w14:textId="7DE86712" w:rsidR="005F4853" w:rsidRPr="00767682" w:rsidRDefault="005F4853" w:rsidP="77E96E6C">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Mērķa vērtības noteikšanas principi/metodoloģija</w:t>
            </w:r>
            <w:r w:rsidRPr="00767682">
              <w:rPr>
                <w:rFonts w:ascii="Times New Roman" w:eastAsiaTheme="minorEastAsia" w:hAnsi="Times New Roman"/>
                <w:sz w:val="18"/>
                <w:szCs w:val="18"/>
              </w:rPr>
              <w:t xml:space="preserve">: </w:t>
            </w:r>
          </w:p>
          <w:p w14:paraId="38AAAED2" w14:textId="62B25462" w:rsidR="66ABDA31" w:rsidRPr="00767682" w:rsidRDefault="28D3A283"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Kopējā mērķa vērtība noteikta</w:t>
            </w:r>
            <w:r w:rsidR="003820B8" w:rsidRPr="00767682">
              <w:rPr>
                <w:rFonts w:ascii="Times New Roman" w:eastAsiaTheme="minorEastAsia" w:hAnsi="Times New Roman"/>
                <w:sz w:val="18"/>
                <w:szCs w:val="18"/>
              </w:rPr>
              <w:t>,</w:t>
            </w:r>
            <w:r w:rsidR="2EA19531" w:rsidRPr="00767682">
              <w:rPr>
                <w:rFonts w:ascii="Times New Roman" w:eastAsiaTheme="minorEastAsia" w:hAnsi="Times New Roman"/>
                <w:sz w:val="18"/>
                <w:szCs w:val="18"/>
              </w:rPr>
              <w:t xml:space="preserve"> ievērojot</w:t>
            </w:r>
            <w:r w:rsidR="5ED8BD77" w:rsidRPr="00767682">
              <w:rPr>
                <w:rFonts w:ascii="Times New Roman" w:eastAsiaTheme="minorEastAsia" w:hAnsi="Times New Roman"/>
                <w:sz w:val="18"/>
                <w:szCs w:val="18"/>
              </w:rPr>
              <w:t>:</w:t>
            </w:r>
          </w:p>
          <w:p w14:paraId="70512779" w14:textId="336A3050" w:rsidR="66ABDA31" w:rsidRPr="00767682" w:rsidRDefault="2EA19531"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1) maksimālo finansējuma ieguldījumu uz vienu</w:t>
            </w:r>
            <w:r w:rsidR="20361EC2" w:rsidRPr="00767682">
              <w:rPr>
                <w:rFonts w:ascii="Times New Roman" w:eastAsiaTheme="minorEastAsia" w:hAnsi="Times New Roman"/>
                <w:sz w:val="18"/>
                <w:szCs w:val="18"/>
              </w:rPr>
              <w:t xml:space="preserve"> ietaupīto</w:t>
            </w:r>
            <w:r w:rsidRPr="00767682">
              <w:rPr>
                <w:rFonts w:ascii="Times New Roman" w:eastAsiaTheme="minorEastAsia" w:hAnsi="Times New Roman"/>
                <w:sz w:val="18"/>
                <w:szCs w:val="18"/>
              </w:rPr>
              <w:t xml:space="preserve"> primārās enerģijas kilovatstundu – 4 </w:t>
            </w:r>
            <w:r w:rsidR="099BB19F" w:rsidRPr="00767682">
              <w:rPr>
                <w:rFonts w:ascii="Times New Roman" w:eastAsiaTheme="minorEastAsia" w:hAnsi="Times New Roman"/>
                <w:i/>
                <w:iCs/>
                <w:sz w:val="18"/>
                <w:szCs w:val="18"/>
              </w:rPr>
              <w:t>euro</w:t>
            </w:r>
            <w:r w:rsidR="4264A47C" w:rsidRPr="00767682">
              <w:rPr>
                <w:rFonts w:ascii="Times New Roman" w:eastAsiaTheme="minorEastAsia" w:hAnsi="Times New Roman"/>
                <w:i/>
                <w:iCs/>
                <w:sz w:val="18"/>
                <w:szCs w:val="18"/>
              </w:rPr>
              <w:t>;</w:t>
            </w:r>
          </w:p>
          <w:p w14:paraId="1FAFD7BF" w14:textId="2AD98CFC" w:rsidR="66ABDA31" w:rsidRPr="00767682" w:rsidRDefault="09DA463A" w:rsidP="158B39DF">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2) pašvaldību ēku energoefek</w:t>
            </w:r>
            <w:r w:rsidR="5DACA314" w:rsidRPr="00767682">
              <w:rPr>
                <w:rFonts w:ascii="Times New Roman" w:eastAsiaTheme="minorEastAsia" w:hAnsi="Times New Roman"/>
                <w:sz w:val="18"/>
                <w:szCs w:val="18"/>
              </w:rPr>
              <w:t>t</w:t>
            </w:r>
            <w:r w:rsidR="23B4AA25" w:rsidRPr="00767682">
              <w:rPr>
                <w:rFonts w:ascii="Times New Roman" w:eastAsiaTheme="minorEastAsia" w:hAnsi="Times New Roman"/>
                <w:sz w:val="18"/>
                <w:szCs w:val="18"/>
              </w:rPr>
              <w:t>ivitātes projektiem plānoto finansējumu</w:t>
            </w:r>
            <w:r w:rsidR="6F1A56DA" w:rsidRPr="00767682">
              <w:rPr>
                <w:rFonts w:ascii="Times New Roman" w:eastAsiaTheme="minorEastAsia" w:hAnsi="Times New Roman"/>
                <w:sz w:val="18"/>
                <w:szCs w:val="18"/>
              </w:rPr>
              <w:t xml:space="preserve"> </w:t>
            </w:r>
            <w:r w:rsidR="23B4AA25" w:rsidRPr="00767682">
              <w:rPr>
                <w:rFonts w:ascii="Times New Roman" w:eastAsiaTheme="minorEastAsia" w:hAnsi="Times New Roman"/>
                <w:sz w:val="18"/>
                <w:szCs w:val="18"/>
              </w:rPr>
              <w:t>(</w:t>
            </w:r>
            <w:r w:rsidR="00A77621" w:rsidRPr="002D2D61">
              <w:rPr>
                <w:rFonts w:ascii="Times New Roman" w:eastAsiaTheme="minorEastAsia" w:hAnsi="Times New Roman"/>
                <w:sz w:val="18"/>
                <w:szCs w:val="18"/>
              </w:rPr>
              <w:t>18 808 246</w:t>
            </w:r>
            <w:r w:rsidR="23B4AA25" w:rsidRPr="00767682">
              <w:rPr>
                <w:rFonts w:ascii="Times New Roman" w:eastAsiaTheme="minorEastAsia" w:hAnsi="Times New Roman"/>
                <w:sz w:val="18"/>
                <w:szCs w:val="18"/>
              </w:rPr>
              <w:t xml:space="preserve"> </w:t>
            </w:r>
            <w:r w:rsidR="23B4AA25" w:rsidRPr="00767682">
              <w:rPr>
                <w:rFonts w:ascii="Times New Roman" w:eastAsiaTheme="minorEastAsia" w:hAnsi="Times New Roman"/>
                <w:i/>
                <w:iCs/>
                <w:sz w:val="18"/>
                <w:szCs w:val="18"/>
              </w:rPr>
              <w:t>euro</w:t>
            </w:r>
            <w:r w:rsidR="23B4AA25" w:rsidRPr="00767682">
              <w:rPr>
                <w:rFonts w:ascii="Times New Roman" w:eastAsiaTheme="minorEastAsia" w:hAnsi="Times New Roman"/>
                <w:sz w:val="18"/>
                <w:szCs w:val="18"/>
              </w:rPr>
              <w:t>)</w:t>
            </w:r>
            <w:r w:rsidR="6F1A56DA" w:rsidRPr="00767682">
              <w:rPr>
                <w:rFonts w:ascii="Times New Roman" w:eastAsiaTheme="minorEastAsia" w:hAnsi="Times New Roman"/>
                <w:sz w:val="18"/>
                <w:szCs w:val="18"/>
              </w:rPr>
              <w:t xml:space="preserve"> ņemot vērā, ka ERAF finansējums 10 milj. </w:t>
            </w:r>
            <w:r w:rsidR="6F1A56DA" w:rsidRPr="00767682">
              <w:rPr>
                <w:rFonts w:ascii="Times New Roman" w:eastAsiaTheme="minorEastAsia" w:hAnsi="Times New Roman"/>
                <w:i/>
                <w:iCs/>
                <w:sz w:val="18"/>
                <w:szCs w:val="18"/>
              </w:rPr>
              <w:t xml:space="preserve">euro </w:t>
            </w:r>
            <w:r w:rsidR="6F1A56DA" w:rsidRPr="00767682">
              <w:rPr>
                <w:rFonts w:ascii="Times New Roman" w:eastAsiaTheme="minorEastAsia" w:hAnsi="Times New Roman"/>
                <w:sz w:val="18"/>
                <w:szCs w:val="18"/>
              </w:rPr>
              <w:t xml:space="preserve">apmērā tiks novirzīts </w:t>
            </w:r>
            <w:r w:rsidR="40AE4019" w:rsidRPr="00767682">
              <w:rPr>
                <w:rFonts w:ascii="Times New Roman" w:eastAsiaTheme="minorEastAsia" w:hAnsi="Times New Roman"/>
                <w:sz w:val="18"/>
                <w:szCs w:val="18"/>
              </w:rPr>
              <w:t xml:space="preserve">pašvaldību </w:t>
            </w:r>
            <w:r w:rsidR="7301A917" w:rsidRPr="00767682">
              <w:rPr>
                <w:rFonts w:ascii="Times New Roman" w:eastAsiaTheme="minorEastAsia" w:hAnsi="Times New Roman"/>
                <w:sz w:val="18"/>
                <w:szCs w:val="18"/>
              </w:rPr>
              <w:t xml:space="preserve">sniegto ūdenssaimniecības pakalpojumu </w:t>
            </w:r>
            <w:r w:rsidR="611636CF" w:rsidRPr="00767682">
              <w:rPr>
                <w:rFonts w:ascii="Times New Roman" w:eastAsiaTheme="minorEastAsia" w:hAnsi="Times New Roman"/>
                <w:sz w:val="18"/>
                <w:szCs w:val="18"/>
              </w:rPr>
              <w:t>tehnoloģisko procesu energoefektivitātes paaugstināšanai</w:t>
            </w:r>
            <w:r w:rsidR="707B166E" w:rsidRPr="00767682">
              <w:rPr>
                <w:rFonts w:ascii="Times New Roman" w:eastAsiaTheme="minorEastAsia" w:hAnsi="Times New Roman"/>
                <w:sz w:val="18"/>
                <w:szCs w:val="18"/>
              </w:rPr>
              <w:t>, kuras rezultātā netiek plānota šī rādītāja sasniegšana</w:t>
            </w:r>
            <w:r w:rsidR="04A3CC52" w:rsidRPr="00767682">
              <w:rPr>
                <w:rFonts w:ascii="Times New Roman" w:eastAsiaTheme="minorEastAsia" w:hAnsi="Times New Roman"/>
                <w:sz w:val="18"/>
                <w:szCs w:val="18"/>
              </w:rPr>
              <w:t xml:space="preserve">, bet investīcijas veicinās </w:t>
            </w:r>
            <w:r w:rsidR="7BDC49DC" w:rsidRPr="00767682">
              <w:rPr>
                <w:rFonts w:ascii="Times New Roman" w:eastAsiaTheme="minorEastAsia" w:hAnsi="Times New Roman"/>
                <w:sz w:val="18"/>
                <w:szCs w:val="18"/>
              </w:rPr>
              <w:t>siltumnīcefekta gāzu emisiju s</w:t>
            </w:r>
            <w:r w:rsidR="04A3CC52" w:rsidRPr="00767682">
              <w:rPr>
                <w:rFonts w:ascii="Times New Roman" w:eastAsiaTheme="minorEastAsia" w:hAnsi="Times New Roman"/>
                <w:sz w:val="18"/>
                <w:szCs w:val="18"/>
              </w:rPr>
              <w:t>amazināšanos</w:t>
            </w:r>
            <w:r w:rsidR="0596B1D4" w:rsidRPr="00767682">
              <w:rPr>
                <w:rFonts w:ascii="Times New Roman" w:eastAsiaTheme="minorEastAsia" w:hAnsi="Times New Roman"/>
                <w:sz w:val="18"/>
                <w:szCs w:val="18"/>
              </w:rPr>
              <w:t>;</w:t>
            </w:r>
          </w:p>
          <w:p w14:paraId="308D8499" w14:textId="77026B99" w:rsidR="277C65DA" w:rsidRPr="00767682" w:rsidRDefault="277C65DA"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 xml:space="preserve">3) </w:t>
            </w:r>
            <w:r w:rsidR="20F34543" w:rsidRPr="00767682">
              <w:rPr>
                <w:rFonts w:ascii="Times New Roman" w:eastAsiaTheme="minorEastAsia" w:hAnsi="Times New Roman"/>
                <w:sz w:val="18"/>
                <w:szCs w:val="18"/>
              </w:rPr>
              <w:t>2021. un 2022. gada finansējuma sadalījuma proporcij</w:t>
            </w:r>
            <w:r w:rsidR="4321C9E4" w:rsidRPr="00767682">
              <w:rPr>
                <w:rFonts w:ascii="Times New Roman" w:eastAsiaTheme="minorEastAsia" w:hAnsi="Times New Roman"/>
                <w:sz w:val="18"/>
                <w:szCs w:val="18"/>
              </w:rPr>
              <w:t xml:space="preserve">u (attiecīgi 22 923 999 </w:t>
            </w:r>
            <w:r w:rsidR="4321C9E4" w:rsidRPr="00767682">
              <w:rPr>
                <w:rFonts w:ascii="Times New Roman" w:eastAsiaTheme="minorEastAsia" w:hAnsi="Times New Roman"/>
                <w:i/>
                <w:iCs/>
                <w:sz w:val="18"/>
                <w:szCs w:val="18"/>
              </w:rPr>
              <w:t>euro</w:t>
            </w:r>
            <w:r w:rsidR="4321C9E4" w:rsidRPr="00767682">
              <w:rPr>
                <w:rFonts w:ascii="Times New Roman" w:eastAsiaTheme="minorEastAsia" w:hAnsi="Times New Roman"/>
                <w:sz w:val="18"/>
                <w:szCs w:val="18"/>
              </w:rPr>
              <w:t xml:space="preserve"> un </w:t>
            </w:r>
            <w:r w:rsidR="00A77621" w:rsidRPr="002D2D61">
              <w:rPr>
                <w:rFonts w:ascii="Times New Roman" w:eastAsiaTheme="minorEastAsia" w:hAnsi="Times New Roman"/>
                <w:sz w:val="18"/>
                <w:szCs w:val="18"/>
              </w:rPr>
              <w:t>5 884 247</w:t>
            </w:r>
            <w:r w:rsidR="4321C9E4" w:rsidRPr="00767682">
              <w:rPr>
                <w:rFonts w:ascii="Times New Roman" w:eastAsiaTheme="minorEastAsia" w:hAnsi="Times New Roman"/>
                <w:sz w:val="18"/>
                <w:szCs w:val="18"/>
              </w:rPr>
              <w:t xml:space="preserve"> </w:t>
            </w:r>
            <w:r w:rsidR="4321C9E4" w:rsidRPr="00767682">
              <w:rPr>
                <w:rFonts w:ascii="Times New Roman" w:eastAsiaTheme="minorEastAsia" w:hAnsi="Times New Roman"/>
                <w:i/>
                <w:iCs/>
                <w:sz w:val="18"/>
                <w:szCs w:val="18"/>
              </w:rPr>
              <w:t>euro</w:t>
            </w:r>
            <w:r w:rsidR="4321C9E4" w:rsidRPr="00767682">
              <w:rPr>
                <w:rFonts w:ascii="Times New Roman" w:eastAsiaTheme="minorEastAsia" w:hAnsi="Times New Roman"/>
                <w:sz w:val="18"/>
                <w:szCs w:val="18"/>
              </w:rPr>
              <w:t>)</w:t>
            </w:r>
            <w:r w:rsidR="20F34543" w:rsidRPr="00767682">
              <w:rPr>
                <w:rFonts w:ascii="Times New Roman" w:eastAsiaTheme="minorEastAsia" w:hAnsi="Times New Roman"/>
                <w:sz w:val="18"/>
                <w:szCs w:val="18"/>
              </w:rPr>
              <w:t>, piemērojot</w:t>
            </w:r>
            <w:r w:rsidR="6CA92904" w:rsidRPr="00767682">
              <w:rPr>
                <w:rFonts w:ascii="Times New Roman" w:eastAsiaTheme="minorEastAsia" w:hAnsi="Times New Roman"/>
                <w:sz w:val="18"/>
                <w:szCs w:val="18"/>
              </w:rPr>
              <w:t xml:space="preserve"> to</w:t>
            </w:r>
            <w:r w:rsidR="20F34543" w:rsidRPr="00767682">
              <w:rPr>
                <w:rFonts w:ascii="Times New Roman" w:eastAsiaTheme="minorEastAsia" w:hAnsi="Times New Roman"/>
                <w:sz w:val="18"/>
                <w:szCs w:val="18"/>
              </w:rPr>
              <w:t xml:space="preserve"> kopējai rādītāja vērtībai</w:t>
            </w:r>
            <w:r w:rsidR="136DDBDC" w:rsidRPr="00767682">
              <w:rPr>
                <w:rFonts w:ascii="Times New Roman" w:eastAsiaTheme="minorEastAsia" w:hAnsi="Times New Roman"/>
                <w:sz w:val="18"/>
                <w:szCs w:val="18"/>
              </w:rPr>
              <w:t>.</w:t>
            </w:r>
          </w:p>
          <w:p w14:paraId="57C72708" w14:textId="77777777" w:rsidR="005F4853" w:rsidRPr="00767682" w:rsidRDefault="005F4853" w:rsidP="005F4853">
            <w:pPr>
              <w:spacing w:after="0" w:line="240" w:lineRule="auto"/>
              <w:jc w:val="both"/>
              <w:rPr>
                <w:rFonts w:ascii="Times New Roman" w:eastAsiaTheme="minorHAnsi" w:hAnsi="Times New Roman"/>
                <w:sz w:val="18"/>
                <w:szCs w:val="18"/>
              </w:rPr>
            </w:pPr>
          </w:p>
          <w:p w14:paraId="51463D6B" w14:textId="32E6B46F" w:rsidR="005F4853" w:rsidRPr="00767682" w:rsidRDefault="41B3C48C" w:rsidP="265D179B">
            <w:pPr>
              <w:spacing w:after="0" w:line="240" w:lineRule="auto"/>
              <w:jc w:val="both"/>
            </w:pPr>
            <w:r w:rsidRPr="00767682">
              <w:rPr>
                <w:rFonts w:ascii="Times New Roman" w:eastAsiaTheme="minorEastAsia" w:hAnsi="Times New Roman"/>
                <w:i/>
                <w:iCs/>
                <w:sz w:val="18"/>
                <w:szCs w:val="18"/>
              </w:rPr>
              <w:t>Iznākuma rādītājam sasniegšanai paredzētais finansējums:</w:t>
            </w:r>
            <w:r w:rsidR="0425AAA8" w:rsidRPr="00767682">
              <w:rPr>
                <w:rFonts w:ascii="Times New Roman" w:eastAsiaTheme="minorEastAsia" w:hAnsi="Times New Roman"/>
                <w:i/>
                <w:iCs/>
                <w:sz w:val="18"/>
                <w:szCs w:val="18"/>
              </w:rPr>
              <w:t xml:space="preserve"> </w:t>
            </w:r>
            <w:r w:rsidR="00A77621" w:rsidRPr="002D2D61">
              <w:rPr>
                <w:rFonts w:ascii="Times New Roman" w:eastAsiaTheme="minorEastAsia" w:hAnsi="Times New Roman"/>
                <w:sz w:val="18"/>
                <w:szCs w:val="18"/>
              </w:rPr>
              <w:t>18 808 246</w:t>
            </w:r>
            <w:r w:rsidR="454D572A" w:rsidRPr="00767682">
              <w:rPr>
                <w:rFonts w:ascii="Times New Roman" w:eastAsiaTheme="minorEastAsia" w:hAnsi="Times New Roman"/>
                <w:sz w:val="18"/>
                <w:szCs w:val="18"/>
              </w:rPr>
              <w:t xml:space="preserve"> </w:t>
            </w:r>
            <w:r w:rsidR="454D572A" w:rsidRPr="00767682">
              <w:rPr>
                <w:rFonts w:ascii="Times New Roman" w:eastAsiaTheme="minorEastAsia" w:hAnsi="Times New Roman"/>
                <w:i/>
                <w:iCs/>
                <w:sz w:val="18"/>
                <w:szCs w:val="18"/>
              </w:rPr>
              <w:t>euro</w:t>
            </w:r>
          </w:p>
          <w:p w14:paraId="4BBDAF61" w14:textId="77777777" w:rsidR="005F4853" w:rsidRPr="00767682" w:rsidRDefault="005F4853" w:rsidP="00B77E93">
            <w:pPr>
              <w:spacing w:after="0" w:line="240" w:lineRule="auto"/>
              <w:jc w:val="both"/>
              <w:rPr>
                <w:rFonts w:ascii="Times New Roman" w:eastAsiaTheme="minorHAnsi" w:hAnsi="Times New Roman"/>
                <w:sz w:val="18"/>
                <w:szCs w:val="18"/>
              </w:rPr>
            </w:pPr>
          </w:p>
          <w:p w14:paraId="19C498B2" w14:textId="77777777" w:rsidR="00FD7030" w:rsidRPr="00767682" w:rsidRDefault="00FD7030" w:rsidP="00FD7030">
            <w:pPr>
              <w:spacing w:after="0" w:line="240" w:lineRule="auto"/>
              <w:jc w:val="both"/>
              <w:rPr>
                <w:rFonts w:ascii="Times New Roman" w:hAnsi="Times New Roman"/>
                <w:i/>
                <w:sz w:val="18"/>
                <w:szCs w:val="18"/>
              </w:rPr>
            </w:pPr>
          </w:p>
          <w:p w14:paraId="2622ABC6" w14:textId="77777777" w:rsidR="00FD7030" w:rsidRPr="00767682" w:rsidRDefault="00FD7030" w:rsidP="77E96E6C">
            <w:pPr>
              <w:spacing w:after="0" w:line="240" w:lineRule="auto"/>
              <w:jc w:val="both"/>
              <w:rPr>
                <w:rFonts w:ascii="Times New Roman" w:hAnsi="Times New Roman"/>
                <w:i/>
                <w:iCs/>
                <w:sz w:val="18"/>
                <w:szCs w:val="18"/>
              </w:rPr>
            </w:pPr>
            <w:r w:rsidRPr="00767682">
              <w:rPr>
                <w:rFonts w:ascii="Times New Roman" w:hAnsi="Times New Roman"/>
                <w:i/>
                <w:iCs/>
                <w:sz w:val="18"/>
                <w:szCs w:val="18"/>
              </w:rPr>
              <w:t>Darbība, kas liek uzskatīt mērķa vērtību par izpildītu:</w:t>
            </w:r>
          </w:p>
          <w:p w14:paraId="153264CF" w14:textId="4D014905" w:rsidR="6062AA22" w:rsidRPr="00767682" w:rsidRDefault="6062AA22" w:rsidP="77E96E6C">
            <w:pPr>
              <w:spacing w:after="0" w:line="240" w:lineRule="auto"/>
              <w:jc w:val="both"/>
              <w:rPr>
                <w:rFonts w:ascii="Times New Roman" w:hAnsi="Times New Roman"/>
                <w:sz w:val="18"/>
                <w:szCs w:val="18"/>
              </w:rPr>
            </w:pPr>
            <w:r w:rsidRPr="00767682">
              <w:rPr>
                <w:rFonts w:ascii="Times New Roman" w:hAnsi="Times New Roman"/>
                <w:sz w:val="18"/>
                <w:szCs w:val="18"/>
              </w:rPr>
              <w:t>Brīdis, kad sadarbības iestāde apstiprina projekta iznākuma rādītāja sasniegšanu</w:t>
            </w:r>
          </w:p>
          <w:p w14:paraId="079D6F5A" w14:textId="77777777" w:rsidR="00FD7030" w:rsidRPr="00767682" w:rsidRDefault="00FD7030" w:rsidP="00B77E93">
            <w:pPr>
              <w:spacing w:after="0" w:line="240" w:lineRule="auto"/>
              <w:jc w:val="both"/>
              <w:rPr>
                <w:rFonts w:ascii="Times New Roman" w:eastAsiaTheme="minorHAnsi" w:hAnsi="Times New Roman"/>
                <w:sz w:val="18"/>
                <w:szCs w:val="18"/>
              </w:rPr>
            </w:pPr>
          </w:p>
          <w:p w14:paraId="5FC2DA63" w14:textId="7057518C" w:rsidR="008D547F" w:rsidRPr="00767682" w:rsidRDefault="008D547F" w:rsidP="00B77E93">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w:t>
            </w:r>
          </w:p>
          <w:p w14:paraId="5140ECAB" w14:textId="77777777" w:rsidR="008D547F" w:rsidRPr="00767682" w:rsidRDefault="008D547F" w:rsidP="008D547F">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Nosaukums un mērvienība</w:t>
            </w:r>
            <w:r w:rsidRPr="00767682">
              <w:rPr>
                <w:rFonts w:ascii="Times New Roman" w:eastAsiaTheme="minorHAnsi" w:hAnsi="Times New Roman"/>
                <w:sz w:val="18"/>
                <w:szCs w:val="18"/>
              </w:rPr>
              <w:t xml:space="preserve">: </w:t>
            </w:r>
          </w:p>
          <w:p w14:paraId="42C43AC1" w14:textId="7B0A6ACF" w:rsidR="008D547F" w:rsidRPr="00767682" w:rsidRDefault="008D547F" w:rsidP="008D547F">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i.13.1.3.b (CO34) “Aprēķinātais siltumnīcefekta gāzu samazinājums gadā”, CO</w:t>
            </w:r>
            <w:r w:rsidRPr="00767682">
              <w:rPr>
                <w:rFonts w:ascii="Times New Roman" w:eastAsiaTheme="minorHAnsi" w:hAnsi="Times New Roman"/>
                <w:sz w:val="18"/>
                <w:szCs w:val="18"/>
                <w:vertAlign w:val="subscript"/>
              </w:rPr>
              <w:t>2</w:t>
            </w:r>
            <w:r w:rsidRPr="00767682">
              <w:rPr>
                <w:rFonts w:ascii="Times New Roman" w:eastAsiaTheme="minorHAnsi" w:hAnsi="Times New Roman"/>
                <w:sz w:val="18"/>
                <w:szCs w:val="18"/>
              </w:rPr>
              <w:t xml:space="preserve"> ekvivalenta tonnas</w:t>
            </w:r>
          </w:p>
          <w:p w14:paraId="7D0EE7C2" w14:textId="77777777" w:rsidR="008D547F" w:rsidRPr="00767682" w:rsidRDefault="008D547F" w:rsidP="008D547F">
            <w:pPr>
              <w:spacing w:after="0" w:line="240" w:lineRule="auto"/>
              <w:jc w:val="both"/>
              <w:rPr>
                <w:rFonts w:ascii="Times New Roman" w:eastAsiaTheme="minorHAnsi" w:hAnsi="Times New Roman"/>
                <w:sz w:val="18"/>
                <w:szCs w:val="18"/>
              </w:rPr>
            </w:pPr>
          </w:p>
          <w:p w14:paraId="3FDE0206" w14:textId="77777777" w:rsidR="008D547F" w:rsidRPr="00767682" w:rsidRDefault="128408A6"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Definīcija</w:t>
            </w:r>
            <w:r w:rsidRPr="00767682">
              <w:t>:</w:t>
            </w:r>
          </w:p>
          <w:p w14:paraId="0AF24FAB" w14:textId="7C10AE99" w:rsidR="095ABF02" w:rsidRPr="00767682" w:rsidRDefault="095ABF02" w:rsidP="265D179B">
            <w:pPr>
              <w:spacing w:after="0" w:line="240" w:lineRule="auto"/>
              <w:jc w:val="both"/>
              <w:rPr>
                <w:rFonts w:ascii="Times New Roman" w:eastAsia="Times New Roman" w:hAnsi="Times New Roman"/>
                <w:sz w:val="18"/>
                <w:szCs w:val="18"/>
              </w:rPr>
            </w:pPr>
            <w:r w:rsidRPr="00767682">
              <w:rPr>
                <w:rFonts w:ascii="Times New Roman" w:eastAsia="Times New Roman" w:hAnsi="Times New Roman"/>
                <w:sz w:val="18"/>
                <w:szCs w:val="18"/>
              </w:rPr>
              <w:t>Kopējais rādītājs</w:t>
            </w:r>
            <w:r w:rsidRPr="00767682">
              <w:rPr>
                <w:rFonts w:ascii="Times New Roman" w:eastAsia="Times New Roman" w:hAnsi="Times New Roman"/>
                <w:sz w:val="18"/>
                <w:szCs w:val="18"/>
                <w:vertAlign w:val="superscript"/>
              </w:rPr>
              <w:footnoteReference w:id="4"/>
            </w:r>
          </w:p>
          <w:p w14:paraId="43008675" w14:textId="77777777" w:rsidR="008D547F" w:rsidRPr="00767682" w:rsidRDefault="008D547F" w:rsidP="008D547F">
            <w:pPr>
              <w:spacing w:after="0" w:line="240" w:lineRule="auto"/>
              <w:jc w:val="both"/>
              <w:rPr>
                <w:rFonts w:ascii="Times New Roman" w:eastAsiaTheme="minorHAnsi" w:hAnsi="Times New Roman"/>
                <w:sz w:val="18"/>
                <w:szCs w:val="18"/>
              </w:rPr>
            </w:pPr>
          </w:p>
          <w:p w14:paraId="06330E06" w14:textId="77777777" w:rsidR="008D547F" w:rsidRPr="00767682" w:rsidRDefault="128408A6"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Datu avots</w:t>
            </w:r>
            <w:r w:rsidRPr="00767682">
              <w:rPr>
                <w:rFonts w:ascii="Times New Roman" w:eastAsiaTheme="minorEastAsia" w:hAnsi="Times New Roman"/>
                <w:sz w:val="18"/>
                <w:szCs w:val="18"/>
              </w:rPr>
              <w:t xml:space="preserve">: </w:t>
            </w:r>
          </w:p>
          <w:p w14:paraId="7A3FF929" w14:textId="2CFE1781" w:rsidR="04FC2CF3" w:rsidRPr="00767682" w:rsidRDefault="04FC2CF3" w:rsidP="00CF4CC8">
            <w:pPr>
              <w:spacing w:after="0" w:line="240" w:lineRule="auto"/>
              <w:jc w:val="both"/>
            </w:pPr>
            <w:r w:rsidRPr="00767682">
              <w:rPr>
                <w:rFonts w:ascii="Times New Roman" w:eastAsia="Times New Roman" w:hAnsi="Times New Roman"/>
                <w:sz w:val="18"/>
                <w:szCs w:val="18"/>
              </w:rPr>
              <w:t>Projektu dati</w:t>
            </w:r>
          </w:p>
          <w:p w14:paraId="6FADB5A6" w14:textId="77777777" w:rsidR="008D547F" w:rsidRPr="00767682" w:rsidRDefault="008D547F" w:rsidP="008D547F">
            <w:pPr>
              <w:spacing w:after="0" w:line="240" w:lineRule="auto"/>
              <w:jc w:val="both"/>
              <w:rPr>
                <w:rFonts w:ascii="Times New Roman" w:eastAsiaTheme="minorHAnsi" w:hAnsi="Times New Roman"/>
                <w:sz w:val="18"/>
                <w:szCs w:val="18"/>
              </w:rPr>
            </w:pPr>
          </w:p>
          <w:p w14:paraId="761E875B" w14:textId="77777777" w:rsidR="008D547F" w:rsidRPr="00767682" w:rsidRDefault="128408A6" w:rsidP="265D179B">
            <w:pPr>
              <w:spacing w:after="0" w:line="240" w:lineRule="auto"/>
              <w:jc w:val="both"/>
              <w:rPr>
                <w:rFonts w:ascii="Times New Roman" w:eastAsiaTheme="minorEastAsia" w:hAnsi="Times New Roman"/>
                <w:i/>
                <w:iCs/>
                <w:sz w:val="18"/>
                <w:szCs w:val="18"/>
              </w:rPr>
            </w:pPr>
            <w:r w:rsidRPr="00767682">
              <w:rPr>
                <w:rFonts w:ascii="Times New Roman" w:eastAsiaTheme="minorEastAsia" w:hAnsi="Times New Roman"/>
                <w:i/>
                <w:iCs/>
                <w:sz w:val="18"/>
                <w:szCs w:val="18"/>
              </w:rPr>
              <w:t xml:space="preserve">Apkopošanas biežums un ieguves metodoloģija: </w:t>
            </w:r>
          </w:p>
          <w:p w14:paraId="2719833B" w14:textId="2E7E6070" w:rsidR="2DBA2D5F" w:rsidRPr="00767682" w:rsidRDefault="2DBA2D5F" w:rsidP="265D179B">
            <w:pPr>
              <w:spacing w:after="0" w:line="240" w:lineRule="auto"/>
              <w:jc w:val="both"/>
            </w:pPr>
            <w:r w:rsidRPr="00767682">
              <w:rPr>
                <w:rFonts w:ascii="Times New Roman" w:eastAsia="Times New Roman" w:hAnsi="Times New Roman"/>
                <w:sz w:val="18"/>
                <w:szCs w:val="18"/>
              </w:rPr>
              <w:t>Reizi gadā, apkopojot informāciju par atbalstītajiem projektiem no projektu atskaitēm / VIS sistēmas</w:t>
            </w:r>
          </w:p>
          <w:p w14:paraId="26A05007" w14:textId="77777777" w:rsidR="008D547F" w:rsidRPr="00767682" w:rsidRDefault="008D547F" w:rsidP="008D547F">
            <w:pPr>
              <w:spacing w:after="0" w:line="240" w:lineRule="auto"/>
              <w:jc w:val="both"/>
              <w:rPr>
                <w:rFonts w:ascii="Times New Roman" w:eastAsiaTheme="minorHAnsi" w:hAnsi="Times New Roman"/>
                <w:sz w:val="18"/>
                <w:szCs w:val="18"/>
              </w:rPr>
            </w:pPr>
          </w:p>
          <w:p w14:paraId="385F5B39" w14:textId="77777777" w:rsidR="003820B8" w:rsidRPr="00767682" w:rsidRDefault="6807D2F9" w:rsidP="158B39DF">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Mērķis 2023</w:t>
            </w:r>
            <w:r w:rsidRPr="00767682">
              <w:rPr>
                <w:rFonts w:ascii="Times New Roman" w:eastAsiaTheme="minorEastAsia" w:hAnsi="Times New Roman"/>
                <w:sz w:val="18"/>
                <w:szCs w:val="18"/>
              </w:rPr>
              <w:t>:</w:t>
            </w:r>
          </w:p>
          <w:p w14:paraId="6F2AE658" w14:textId="69D40CF7" w:rsidR="008D547F" w:rsidRPr="00767682" w:rsidRDefault="00A77621" w:rsidP="158B39DF">
            <w:pPr>
              <w:spacing w:after="0" w:line="240" w:lineRule="auto"/>
              <w:jc w:val="both"/>
              <w:rPr>
                <w:rFonts w:ascii="Times New Roman" w:eastAsiaTheme="minorEastAsia" w:hAnsi="Times New Roman"/>
                <w:sz w:val="18"/>
                <w:szCs w:val="18"/>
              </w:rPr>
            </w:pPr>
            <w:r>
              <w:rPr>
                <w:rFonts w:ascii="Times New Roman" w:eastAsiaTheme="minorEastAsia" w:hAnsi="Times New Roman"/>
                <w:sz w:val="18"/>
                <w:szCs w:val="18"/>
              </w:rPr>
              <w:t>1</w:t>
            </w:r>
            <w:r w:rsidRPr="00792E5E">
              <w:rPr>
                <w:rFonts w:ascii="Times New Roman" w:eastAsiaTheme="minorEastAsia" w:hAnsi="Times New Roman"/>
                <w:sz w:val="18"/>
                <w:szCs w:val="18"/>
              </w:rPr>
              <w:t>818</w:t>
            </w:r>
            <w:r w:rsidRPr="00792E5E" w:rsidDel="00792E5E">
              <w:rPr>
                <w:rFonts w:ascii="Times New Roman" w:eastAsiaTheme="minorEastAsia" w:hAnsi="Times New Roman"/>
                <w:sz w:val="18"/>
                <w:szCs w:val="18"/>
              </w:rPr>
              <w:t xml:space="preserve"> </w:t>
            </w:r>
            <w:r w:rsidR="6D89AD51" w:rsidRPr="00767682">
              <w:rPr>
                <w:rFonts w:ascii="Times New Roman" w:eastAsiaTheme="minorEastAsia" w:hAnsi="Times New Roman"/>
                <w:sz w:val="18"/>
                <w:szCs w:val="18"/>
              </w:rPr>
              <w:t>CO</w:t>
            </w:r>
            <w:r w:rsidR="6D89AD51" w:rsidRPr="00767682">
              <w:rPr>
                <w:rFonts w:ascii="Times New Roman" w:eastAsiaTheme="minorEastAsia" w:hAnsi="Times New Roman"/>
                <w:sz w:val="18"/>
                <w:szCs w:val="18"/>
                <w:vertAlign w:val="subscript"/>
              </w:rPr>
              <w:t>2</w:t>
            </w:r>
            <w:r w:rsidR="6D89AD51" w:rsidRPr="00767682">
              <w:rPr>
                <w:rFonts w:ascii="Times New Roman" w:eastAsiaTheme="minorEastAsia" w:hAnsi="Times New Roman"/>
                <w:sz w:val="18"/>
                <w:szCs w:val="18"/>
              </w:rPr>
              <w:t xml:space="preserve"> ekvivalenta tonnas</w:t>
            </w:r>
            <w:r>
              <w:rPr>
                <w:rFonts w:ascii="Times New Roman" w:eastAsiaTheme="minorEastAsia" w:hAnsi="Times New Roman"/>
                <w:sz w:val="18"/>
                <w:szCs w:val="18"/>
              </w:rPr>
              <w:t>/gadā</w:t>
            </w:r>
          </w:p>
          <w:p w14:paraId="5BD3BAF3" w14:textId="77777777" w:rsidR="008D547F" w:rsidRPr="00767682" w:rsidRDefault="008D547F" w:rsidP="2C8CF05A">
            <w:pPr>
              <w:pStyle w:val="ListParagraph"/>
              <w:numPr>
                <w:ilvl w:val="0"/>
                <w:numId w:val="10"/>
              </w:numPr>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Apjoms, kas sasniedzams par EK 2021.gada piešķīrumu:</w:t>
            </w:r>
          </w:p>
          <w:p w14:paraId="7B7B901E" w14:textId="0E500CC0" w:rsidR="008D547F" w:rsidRPr="00767682" w:rsidRDefault="468BA2E6" w:rsidP="003820B8">
            <w:pPr>
              <w:spacing w:after="0" w:line="240" w:lineRule="auto"/>
              <w:ind w:left="742"/>
              <w:jc w:val="both"/>
              <w:rPr>
                <w:rFonts w:ascii="Times New Roman" w:eastAsiaTheme="minorHAnsi" w:hAnsi="Times New Roman"/>
                <w:sz w:val="18"/>
                <w:szCs w:val="18"/>
              </w:rPr>
            </w:pPr>
            <w:r w:rsidRPr="00767682">
              <w:rPr>
                <w:rFonts w:ascii="Times New Roman" w:eastAsiaTheme="minorEastAsia" w:hAnsi="Times New Roman"/>
                <w:sz w:val="18"/>
                <w:szCs w:val="18"/>
              </w:rPr>
              <w:t>144</w:t>
            </w:r>
            <w:r w:rsidR="00E91C28">
              <w:rPr>
                <w:rFonts w:ascii="Times New Roman" w:eastAsiaTheme="minorEastAsia" w:hAnsi="Times New Roman"/>
                <w:sz w:val="18"/>
                <w:szCs w:val="18"/>
              </w:rPr>
              <w:t>7</w:t>
            </w:r>
            <w:r w:rsidR="1FE88C2F" w:rsidRPr="00767682">
              <w:rPr>
                <w:rFonts w:ascii="Times New Roman" w:eastAsiaTheme="minorEastAsia" w:hAnsi="Times New Roman"/>
                <w:sz w:val="18"/>
                <w:szCs w:val="18"/>
              </w:rPr>
              <w:t xml:space="preserve"> CO</w:t>
            </w:r>
            <w:r w:rsidR="1FE88C2F" w:rsidRPr="00767682">
              <w:rPr>
                <w:rFonts w:ascii="Times New Roman" w:eastAsiaTheme="minorEastAsia" w:hAnsi="Times New Roman"/>
                <w:sz w:val="18"/>
                <w:szCs w:val="18"/>
                <w:vertAlign w:val="subscript"/>
              </w:rPr>
              <w:t>2</w:t>
            </w:r>
            <w:r w:rsidR="1FE88C2F" w:rsidRPr="00767682">
              <w:rPr>
                <w:rFonts w:ascii="Times New Roman" w:eastAsiaTheme="minorEastAsia" w:hAnsi="Times New Roman"/>
                <w:sz w:val="18"/>
                <w:szCs w:val="18"/>
              </w:rPr>
              <w:t xml:space="preserve"> ekvivalenta tonnas</w:t>
            </w:r>
            <w:r w:rsidR="00A77621">
              <w:rPr>
                <w:rFonts w:ascii="Times New Roman" w:eastAsiaTheme="minorEastAsia" w:hAnsi="Times New Roman"/>
                <w:sz w:val="18"/>
                <w:szCs w:val="18"/>
              </w:rPr>
              <w:t>/gadā</w:t>
            </w:r>
          </w:p>
          <w:p w14:paraId="4E54D9BD" w14:textId="77777777" w:rsidR="008D547F" w:rsidRPr="00767682" w:rsidRDefault="008D547F" w:rsidP="008D547F">
            <w:pPr>
              <w:pStyle w:val="ListParagraph"/>
              <w:numPr>
                <w:ilvl w:val="0"/>
                <w:numId w:val="10"/>
              </w:numPr>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Apjoms, kas sasniedzams par EK 2022.gada piešķīrumu:</w:t>
            </w:r>
          </w:p>
          <w:p w14:paraId="283217D4" w14:textId="7D2D9346" w:rsidR="008D547F" w:rsidRPr="00767682" w:rsidRDefault="00A77621" w:rsidP="003820B8">
            <w:pPr>
              <w:spacing w:after="0" w:line="240" w:lineRule="auto"/>
              <w:ind w:left="742"/>
              <w:jc w:val="both"/>
            </w:pPr>
            <w:r w:rsidRPr="00792E5E">
              <w:rPr>
                <w:rFonts w:ascii="Times New Roman" w:eastAsiaTheme="minorEastAsia" w:hAnsi="Times New Roman"/>
                <w:sz w:val="18"/>
                <w:szCs w:val="18"/>
              </w:rPr>
              <w:t>371</w:t>
            </w:r>
            <w:r w:rsidRPr="00792E5E" w:rsidDel="00792E5E">
              <w:rPr>
                <w:rFonts w:ascii="Times New Roman" w:eastAsiaTheme="minorEastAsia" w:hAnsi="Times New Roman"/>
                <w:sz w:val="18"/>
                <w:szCs w:val="18"/>
              </w:rPr>
              <w:t xml:space="preserve"> </w:t>
            </w:r>
            <w:r w:rsidR="33A3CCCA" w:rsidRPr="00767682">
              <w:rPr>
                <w:rFonts w:ascii="Times New Roman" w:eastAsiaTheme="minorEastAsia" w:hAnsi="Times New Roman"/>
                <w:sz w:val="18"/>
                <w:szCs w:val="18"/>
              </w:rPr>
              <w:t>CO</w:t>
            </w:r>
            <w:r w:rsidR="33A3CCCA" w:rsidRPr="00767682">
              <w:rPr>
                <w:rFonts w:ascii="Times New Roman" w:eastAsiaTheme="minorEastAsia" w:hAnsi="Times New Roman"/>
                <w:sz w:val="18"/>
                <w:szCs w:val="18"/>
                <w:vertAlign w:val="subscript"/>
              </w:rPr>
              <w:t>2</w:t>
            </w:r>
            <w:r w:rsidR="33A3CCCA" w:rsidRPr="00767682">
              <w:rPr>
                <w:rFonts w:ascii="Times New Roman" w:eastAsiaTheme="minorEastAsia" w:hAnsi="Times New Roman"/>
                <w:sz w:val="18"/>
                <w:szCs w:val="18"/>
              </w:rPr>
              <w:t xml:space="preserve"> ekvivalenta tonnas</w:t>
            </w:r>
            <w:r>
              <w:rPr>
                <w:rFonts w:ascii="Times New Roman" w:eastAsiaTheme="minorEastAsia" w:hAnsi="Times New Roman"/>
                <w:sz w:val="18"/>
                <w:szCs w:val="18"/>
              </w:rPr>
              <w:t>/gadā</w:t>
            </w:r>
          </w:p>
          <w:p w14:paraId="24C8F6A2" w14:textId="77777777" w:rsidR="008D547F" w:rsidRPr="00767682" w:rsidRDefault="008D547F" w:rsidP="008D547F">
            <w:pPr>
              <w:spacing w:after="0" w:line="240" w:lineRule="auto"/>
              <w:jc w:val="both"/>
              <w:rPr>
                <w:rFonts w:ascii="Times New Roman" w:eastAsiaTheme="minorHAnsi" w:hAnsi="Times New Roman"/>
                <w:sz w:val="18"/>
                <w:szCs w:val="18"/>
              </w:rPr>
            </w:pPr>
          </w:p>
          <w:p w14:paraId="4CAA7DCA" w14:textId="77777777" w:rsidR="008D547F" w:rsidRPr="00767682" w:rsidRDefault="128408A6"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i/>
                <w:iCs/>
                <w:sz w:val="18"/>
                <w:szCs w:val="18"/>
              </w:rPr>
              <w:t>Mērķa vērtības noteikšanas principi/metodoloģija</w:t>
            </w:r>
            <w:r w:rsidRPr="00767682">
              <w:rPr>
                <w:rFonts w:ascii="Times New Roman" w:eastAsiaTheme="minorEastAsia" w:hAnsi="Times New Roman"/>
                <w:sz w:val="18"/>
                <w:szCs w:val="18"/>
              </w:rPr>
              <w:t xml:space="preserve">: </w:t>
            </w:r>
          </w:p>
          <w:p w14:paraId="4B7C1DA8" w14:textId="6BF3F0F0" w:rsidR="1043F3B3" w:rsidRPr="00767682" w:rsidRDefault="1043F3B3"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Kopējā mērķa vērtība noteikta  ievērojot:</w:t>
            </w:r>
          </w:p>
          <w:p w14:paraId="3A041186" w14:textId="5877E53B" w:rsidR="1043F3B3" w:rsidRPr="00767682" w:rsidRDefault="1043F3B3"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 xml:space="preserve">1) finansējuma ieguldījumu uz vienu </w:t>
            </w:r>
            <w:r w:rsidR="75FCFCAF" w:rsidRPr="00767682">
              <w:rPr>
                <w:rFonts w:ascii="Times New Roman" w:eastAsiaTheme="minorEastAsia" w:hAnsi="Times New Roman"/>
                <w:sz w:val="18"/>
                <w:szCs w:val="18"/>
              </w:rPr>
              <w:t>samazināto siltumnīcefekta gāzu tonnas ekv</w:t>
            </w:r>
            <w:r w:rsidR="3CBD79FC" w:rsidRPr="00767682">
              <w:rPr>
                <w:rFonts w:ascii="Times New Roman" w:eastAsiaTheme="minorEastAsia" w:hAnsi="Times New Roman"/>
                <w:sz w:val="18"/>
                <w:szCs w:val="18"/>
              </w:rPr>
              <w:t>ivalentu</w:t>
            </w:r>
            <w:r w:rsidRPr="00767682">
              <w:rPr>
                <w:rFonts w:ascii="Times New Roman" w:eastAsiaTheme="minorEastAsia" w:hAnsi="Times New Roman"/>
                <w:sz w:val="18"/>
                <w:szCs w:val="18"/>
              </w:rPr>
              <w:t xml:space="preserve"> – </w:t>
            </w:r>
            <w:r w:rsidR="179D84E3" w:rsidRPr="00767682">
              <w:rPr>
                <w:rFonts w:ascii="Times New Roman" w:eastAsiaTheme="minorEastAsia" w:hAnsi="Times New Roman"/>
                <w:sz w:val="18"/>
                <w:szCs w:val="18"/>
              </w:rPr>
              <w:t>15 848</w:t>
            </w:r>
            <w:r w:rsidRPr="00767682">
              <w:rPr>
                <w:rFonts w:ascii="Times New Roman" w:eastAsiaTheme="minorEastAsia" w:hAnsi="Times New Roman"/>
                <w:sz w:val="18"/>
                <w:szCs w:val="18"/>
              </w:rPr>
              <w:t xml:space="preserve"> </w:t>
            </w:r>
            <w:r w:rsidRPr="00767682">
              <w:rPr>
                <w:rFonts w:ascii="Times New Roman" w:eastAsiaTheme="minorEastAsia" w:hAnsi="Times New Roman"/>
                <w:i/>
                <w:iCs/>
                <w:sz w:val="18"/>
                <w:szCs w:val="18"/>
              </w:rPr>
              <w:t>euro;</w:t>
            </w:r>
            <w:r w:rsidR="00A77621" w:rsidRPr="00100707">
              <w:rPr>
                <w:rStyle w:val="FootnoteReference"/>
                <w:rFonts w:ascii="Times New Roman" w:eastAsiaTheme="minorEastAsia" w:hAnsi="Times New Roman"/>
                <w:iCs/>
                <w:sz w:val="18"/>
                <w:szCs w:val="18"/>
              </w:rPr>
              <w:t xml:space="preserve"> </w:t>
            </w:r>
            <w:r w:rsidR="00A77621" w:rsidRPr="00100707">
              <w:rPr>
                <w:rStyle w:val="FootnoteReference"/>
                <w:rFonts w:ascii="Times New Roman" w:eastAsiaTheme="minorEastAsia" w:hAnsi="Times New Roman"/>
                <w:iCs/>
                <w:sz w:val="18"/>
                <w:szCs w:val="18"/>
              </w:rPr>
              <w:footnoteReference w:id="5"/>
            </w:r>
          </w:p>
          <w:p w14:paraId="78B46B5C" w14:textId="0AA1EB91" w:rsidR="1043F3B3" w:rsidRPr="00767682" w:rsidRDefault="1043F3B3" w:rsidP="265D179B">
            <w:pPr>
              <w:spacing w:after="0" w:line="240" w:lineRule="auto"/>
              <w:jc w:val="both"/>
              <w:rPr>
                <w:rFonts w:ascii="Times New Roman" w:eastAsiaTheme="minorEastAsia" w:hAnsi="Times New Roman"/>
                <w:sz w:val="18"/>
                <w:szCs w:val="18"/>
              </w:rPr>
            </w:pPr>
            <w:r w:rsidRPr="00767682">
              <w:rPr>
                <w:rFonts w:ascii="Times New Roman" w:eastAsiaTheme="minorEastAsia" w:hAnsi="Times New Roman"/>
                <w:sz w:val="18"/>
                <w:szCs w:val="18"/>
              </w:rPr>
              <w:t xml:space="preserve">2) pašvaldību </w:t>
            </w:r>
            <w:r w:rsidR="712FEAC1" w:rsidRPr="00767682">
              <w:rPr>
                <w:rFonts w:ascii="Times New Roman" w:eastAsiaTheme="minorEastAsia" w:hAnsi="Times New Roman"/>
                <w:sz w:val="18"/>
                <w:szCs w:val="18"/>
              </w:rPr>
              <w:t xml:space="preserve">infrastruktūras </w:t>
            </w:r>
            <w:r w:rsidRPr="00767682">
              <w:rPr>
                <w:rFonts w:ascii="Times New Roman" w:eastAsiaTheme="minorEastAsia" w:hAnsi="Times New Roman"/>
                <w:sz w:val="18"/>
                <w:szCs w:val="18"/>
              </w:rPr>
              <w:t>energoefektivitātes projektiem plānoto finansējumu (</w:t>
            </w:r>
            <w:r w:rsidR="00A77621" w:rsidRPr="00792E5E">
              <w:rPr>
                <w:rFonts w:ascii="Times New Roman" w:eastAsia="Times New Roman" w:hAnsi="Times New Roman"/>
                <w:sz w:val="18"/>
                <w:szCs w:val="18"/>
              </w:rPr>
              <w:t>28 808 246</w:t>
            </w:r>
            <w:r w:rsidRPr="00767682">
              <w:rPr>
                <w:rFonts w:ascii="Times New Roman" w:eastAsiaTheme="minorEastAsia" w:hAnsi="Times New Roman"/>
                <w:sz w:val="18"/>
                <w:szCs w:val="18"/>
              </w:rPr>
              <w:t xml:space="preserve"> </w:t>
            </w:r>
            <w:r w:rsidRPr="00767682">
              <w:rPr>
                <w:rFonts w:ascii="Times New Roman" w:eastAsiaTheme="minorEastAsia" w:hAnsi="Times New Roman"/>
                <w:i/>
                <w:iCs/>
                <w:sz w:val="18"/>
                <w:szCs w:val="18"/>
              </w:rPr>
              <w:t>euro</w:t>
            </w:r>
            <w:r w:rsidRPr="00767682">
              <w:rPr>
                <w:rFonts w:ascii="Times New Roman" w:eastAsiaTheme="minorEastAsia" w:hAnsi="Times New Roman"/>
                <w:sz w:val="18"/>
                <w:szCs w:val="18"/>
              </w:rPr>
              <w:t>)</w:t>
            </w:r>
            <w:r w:rsidR="34F7045A" w:rsidRPr="00767682">
              <w:rPr>
                <w:rFonts w:ascii="Times New Roman" w:eastAsiaTheme="minorEastAsia" w:hAnsi="Times New Roman"/>
                <w:sz w:val="18"/>
                <w:szCs w:val="18"/>
              </w:rPr>
              <w:t>.</w:t>
            </w:r>
          </w:p>
          <w:p w14:paraId="43A89F86" w14:textId="77777777" w:rsidR="008D547F" w:rsidRPr="00767682" w:rsidRDefault="008D547F" w:rsidP="008D547F">
            <w:pPr>
              <w:spacing w:after="0" w:line="240" w:lineRule="auto"/>
              <w:jc w:val="both"/>
              <w:rPr>
                <w:rFonts w:ascii="Times New Roman" w:eastAsiaTheme="minorHAnsi" w:hAnsi="Times New Roman"/>
                <w:sz w:val="18"/>
                <w:szCs w:val="18"/>
              </w:rPr>
            </w:pPr>
          </w:p>
          <w:p w14:paraId="36FCBC29" w14:textId="00D6D912" w:rsidR="008D547F" w:rsidRPr="00767682" w:rsidRDefault="128408A6" w:rsidP="008D547F">
            <w:pPr>
              <w:spacing w:after="0" w:line="240" w:lineRule="auto"/>
              <w:jc w:val="both"/>
              <w:rPr>
                <w:rFonts w:ascii="Times New Roman" w:hAnsi="Times New Roman"/>
                <w:sz w:val="18"/>
                <w:szCs w:val="18"/>
              </w:rPr>
            </w:pPr>
            <w:r w:rsidRPr="00767682">
              <w:rPr>
                <w:rFonts w:ascii="Times New Roman" w:eastAsiaTheme="minorEastAsia" w:hAnsi="Times New Roman"/>
                <w:i/>
                <w:iCs/>
                <w:sz w:val="18"/>
                <w:szCs w:val="18"/>
              </w:rPr>
              <w:t>Iznākuma rādītājam sasniegšanai paredzētais finansējums:</w:t>
            </w:r>
            <w:r w:rsidR="74B15B92" w:rsidRPr="00767682">
              <w:rPr>
                <w:rFonts w:ascii="Times New Roman" w:eastAsiaTheme="minorEastAsia" w:hAnsi="Times New Roman"/>
                <w:i/>
                <w:iCs/>
                <w:sz w:val="18"/>
                <w:szCs w:val="18"/>
              </w:rPr>
              <w:t xml:space="preserve"> </w:t>
            </w:r>
            <w:r w:rsidR="00A77621" w:rsidRPr="00792E5E">
              <w:rPr>
                <w:rFonts w:ascii="Times New Roman" w:eastAsia="Times New Roman" w:hAnsi="Times New Roman"/>
                <w:sz w:val="18"/>
                <w:szCs w:val="18"/>
              </w:rPr>
              <w:t>28 808 246</w:t>
            </w:r>
            <w:r w:rsidR="74B15B92" w:rsidRPr="00767682">
              <w:rPr>
                <w:rFonts w:ascii="Times New Roman" w:eastAsia="Times New Roman" w:hAnsi="Times New Roman"/>
                <w:i/>
                <w:iCs/>
                <w:sz w:val="18"/>
                <w:szCs w:val="18"/>
              </w:rPr>
              <w:t xml:space="preserve"> eur</w:t>
            </w:r>
            <w:r w:rsidR="16D9BCF3" w:rsidRPr="00767682">
              <w:rPr>
                <w:rFonts w:ascii="Times New Roman" w:eastAsia="Times New Roman" w:hAnsi="Times New Roman"/>
                <w:i/>
                <w:iCs/>
                <w:sz w:val="18"/>
                <w:szCs w:val="18"/>
              </w:rPr>
              <w:t>o</w:t>
            </w:r>
          </w:p>
          <w:p w14:paraId="18CB3AA0" w14:textId="77777777" w:rsidR="008D547F" w:rsidRPr="00767682" w:rsidRDefault="008D547F" w:rsidP="008D547F">
            <w:pPr>
              <w:spacing w:after="0" w:line="240" w:lineRule="auto"/>
              <w:jc w:val="both"/>
              <w:rPr>
                <w:rFonts w:ascii="Times New Roman" w:eastAsiaTheme="minorHAnsi" w:hAnsi="Times New Roman"/>
                <w:sz w:val="18"/>
                <w:szCs w:val="18"/>
              </w:rPr>
            </w:pPr>
          </w:p>
          <w:p w14:paraId="486535AD" w14:textId="77777777" w:rsidR="008D547F" w:rsidRPr="00767682" w:rsidRDefault="128408A6" w:rsidP="265D179B">
            <w:pPr>
              <w:spacing w:after="0" w:line="240" w:lineRule="auto"/>
              <w:jc w:val="both"/>
              <w:rPr>
                <w:rFonts w:ascii="Times New Roman" w:hAnsi="Times New Roman"/>
                <w:i/>
                <w:iCs/>
                <w:sz w:val="18"/>
                <w:szCs w:val="18"/>
              </w:rPr>
            </w:pPr>
            <w:r w:rsidRPr="00767682">
              <w:rPr>
                <w:rFonts w:ascii="Times New Roman" w:hAnsi="Times New Roman"/>
                <w:i/>
                <w:iCs/>
                <w:sz w:val="18"/>
                <w:szCs w:val="18"/>
              </w:rPr>
              <w:t>Darbība, kas liek uzskatīt mērķa vērtību par izpildītu:</w:t>
            </w:r>
          </w:p>
          <w:p w14:paraId="5F80C019" w14:textId="34541A56" w:rsidR="62301980" w:rsidRPr="00767682" w:rsidRDefault="62301980" w:rsidP="265D179B">
            <w:pPr>
              <w:spacing w:after="0" w:line="240" w:lineRule="auto"/>
              <w:jc w:val="both"/>
            </w:pPr>
            <w:r w:rsidRPr="00767682">
              <w:rPr>
                <w:rFonts w:ascii="Times New Roman" w:hAnsi="Times New Roman"/>
                <w:sz w:val="18"/>
                <w:szCs w:val="18"/>
              </w:rPr>
              <w:t>Brīdis, kad sadarbības iestāde apstiprina projekta iznākuma rādītāja sasniegšanu.</w:t>
            </w:r>
          </w:p>
          <w:p w14:paraId="4490D004" w14:textId="77777777" w:rsidR="008D547F" w:rsidRPr="00767682" w:rsidRDefault="008D547F" w:rsidP="00B77E93">
            <w:pPr>
              <w:spacing w:after="0" w:line="240" w:lineRule="auto"/>
              <w:jc w:val="both"/>
              <w:rPr>
                <w:rFonts w:ascii="Times New Roman" w:eastAsiaTheme="minorHAnsi" w:hAnsi="Times New Roman"/>
                <w:sz w:val="18"/>
                <w:szCs w:val="18"/>
              </w:rPr>
            </w:pPr>
          </w:p>
          <w:p w14:paraId="41BAC737" w14:textId="77777777" w:rsidR="008D547F" w:rsidRPr="00767682" w:rsidRDefault="008D547F" w:rsidP="00B77E93">
            <w:pPr>
              <w:spacing w:after="0" w:line="240" w:lineRule="auto"/>
              <w:jc w:val="both"/>
              <w:rPr>
                <w:rFonts w:ascii="Times New Roman" w:eastAsiaTheme="minorHAnsi" w:hAnsi="Times New Roman"/>
                <w:sz w:val="18"/>
                <w:szCs w:val="18"/>
              </w:rPr>
            </w:pPr>
          </w:p>
          <w:p w14:paraId="35796140" w14:textId="77777777" w:rsidR="008D547F" w:rsidRPr="00767682" w:rsidRDefault="008D547F" w:rsidP="008D547F">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w:t>
            </w:r>
          </w:p>
          <w:p w14:paraId="3C71F65A" w14:textId="77777777" w:rsidR="008D547F" w:rsidRPr="00767682" w:rsidRDefault="008D547F" w:rsidP="008D547F">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lastRenderedPageBreak/>
              <w:t>Nosaukums un mērvienība</w:t>
            </w:r>
            <w:r w:rsidRPr="00767682">
              <w:rPr>
                <w:rFonts w:ascii="Times New Roman" w:eastAsiaTheme="minorHAnsi" w:hAnsi="Times New Roman"/>
                <w:sz w:val="18"/>
                <w:szCs w:val="18"/>
              </w:rPr>
              <w:t xml:space="preserve">: </w:t>
            </w:r>
          </w:p>
          <w:p w14:paraId="7B04A1E0" w14:textId="422B07A5" w:rsidR="008D547F" w:rsidRPr="00767682" w:rsidRDefault="128408A6" w:rsidP="008D547F">
            <w:pPr>
              <w:spacing w:after="0" w:line="240" w:lineRule="auto"/>
              <w:jc w:val="both"/>
              <w:rPr>
                <w:rFonts w:ascii="Times New Roman" w:eastAsiaTheme="minorHAnsi" w:hAnsi="Times New Roman"/>
                <w:sz w:val="18"/>
                <w:szCs w:val="18"/>
              </w:rPr>
            </w:pPr>
            <w:r w:rsidRPr="00767682">
              <w:rPr>
                <w:rFonts w:ascii="Times New Roman" w:eastAsiaTheme="minorEastAsia" w:hAnsi="Times New Roman"/>
                <w:sz w:val="18"/>
                <w:szCs w:val="18"/>
              </w:rPr>
              <w:t>i.13.1.3.d (CO22) Kopējā atjaunotās zemes platība, ha</w:t>
            </w:r>
            <w:r w:rsidR="009214D6" w:rsidRPr="00767682">
              <w:rPr>
                <w:rStyle w:val="FootnoteReference"/>
                <w:rFonts w:ascii="Times New Roman" w:eastAsiaTheme="minorHAnsi" w:hAnsi="Times New Roman"/>
                <w:sz w:val="18"/>
                <w:szCs w:val="18"/>
              </w:rPr>
              <w:footnoteReference w:id="6"/>
            </w:r>
          </w:p>
          <w:p w14:paraId="7BC2FDA4" w14:textId="77777777" w:rsidR="008D547F" w:rsidRPr="00767682" w:rsidRDefault="008D547F" w:rsidP="008D547F">
            <w:pPr>
              <w:spacing w:after="0" w:line="240" w:lineRule="auto"/>
              <w:jc w:val="both"/>
              <w:rPr>
                <w:rFonts w:ascii="Times New Roman" w:eastAsiaTheme="minorHAnsi" w:hAnsi="Times New Roman"/>
                <w:sz w:val="18"/>
                <w:szCs w:val="18"/>
              </w:rPr>
            </w:pPr>
          </w:p>
          <w:p w14:paraId="2CEDD668" w14:textId="77777777" w:rsidR="0061556F" w:rsidRPr="00767682" w:rsidRDefault="008D547F" w:rsidP="00E455D5">
            <w:pPr>
              <w:spacing w:after="0" w:line="240" w:lineRule="auto"/>
              <w:jc w:val="both"/>
            </w:pPr>
            <w:r w:rsidRPr="00767682">
              <w:rPr>
                <w:rFonts w:ascii="Times New Roman" w:eastAsiaTheme="minorHAnsi" w:hAnsi="Times New Roman"/>
                <w:i/>
                <w:sz w:val="18"/>
                <w:szCs w:val="18"/>
              </w:rPr>
              <w:t>Definīcija</w:t>
            </w:r>
            <w:r w:rsidRPr="00767682">
              <w:t>:</w:t>
            </w:r>
            <w:r w:rsidR="00E455D5" w:rsidRPr="00767682">
              <w:t xml:space="preserve"> </w:t>
            </w:r>
          </w:p>
          <w:p w14:paraId="318C76D9" w14:textId="5BD8F2F7" w:rsidR="00E455D5" w:rsidRPr="00767682" w:rsidRDefault="00E455D5" w:rsidP="00E455D5">
            <w:pPr>
              <w:spacing w:after="0" w:line="240" w:lineRule="auto"/>
              <w:jc w:val="both"/>
              <w:rPr>
                <w:rFonts w:ascii="Times New Roman" w:hAnsi="Times New Roman"/>
                <w:i/>
                <w:sz w:val="16"/>
                <w:szCs w:val="16"/>
              </w:rPr>
            </w:pPr>
            <w:r w:rsidRPr="00767682">
              <w:rPr>
                <w:rFonts w:ascii="Times New Roman" w:hAnsi="Times New Roman"/>
                <w:sz w:val="18"/>
                <w:szCs w:val="18"/>
              </w:rPr>
              <w:t>Kopējā atjaunotās zemes platība jeb revitalizēto degradēto teritoriju platība, kas pielāgota jaunu uzņēmumu izvietošanai vai esošo paplašināšanai, lai sekmētu nodarbinātību un ekonomisko aktivitāti pašvaldībās, t.i., vieta vai pilsētas daļa, kas līdzšinējā laikā ir izmantota, apbūvēta vai plānota uzņēmējdarbības aktivitātēm, bet šobrīd tur uzņēmējdarbības aktivitātes un nodarbinātība nav apmierinošā līmenī. Teritorijas vai tajās esošie objekti ir pilnībā vai daļēji pamesti vai nolaisti vai arī nereti – piesārņoti.</w:t>
            </w:r>
          </w:p>
          <w:p w14:paraId="6E03A7BB" w14:textId="77777777" w:rsidR="008D547F" w:rsidRPr="00767682" w:rsidRDefault="008D547F" w:rsidP="008D547F">
            <w:pPr>
              <w:spacing w:after="0" w:line="240" w:lineRule="auto"/>
              <w:jc w:val="both"/>
              <w:rPr>
                <w:rFonts w:ascii="Times New Roman" w:eastAsiaTheme="minorHAnsi" w:hAnsi="Times New Roman"/>
                <w:sz w:val="18"/>
                <w:szCs w:val="18"/>
              </w:rPr>
            </w:pPr>
          </w:p>
          <w:p w14:paraId="3340EEDC" w14:textId="77777777" w:rsidR="0061556F" w:rsidRPr="00767682" w:rsidRDefault="008D547F" w:rsidP="00E455D5">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Datu avots</w:t>
            </w:r>
            <w:r w:rsidRPr="00767682">
              <w:rPr>
                <w:rFonts w:ascii="Times New Roman" w:eastAsiaTheme="minorHAnsi" w:hAnsi="Times New Roman"/>
                <w:sz w:val="18"/>
                <w:szCs w:val="18"/>
              </w:rPr>
              <w:t xml:space="preserve">: </w:t>
            </w:r>
          </w:p>
          <w:p w14:paraId="4DE9CA56" w14:textId="7AA2C90B" w:rsidR="00E455D5" w:rsidRPr="00767682" w:rsidRDefault="00E455D5" w:rsidP="00E455D5">
            <w:pPr>
              <w:spacing w:after="0" w:line="240" w:lineRule="auto"/>
              <w:jc w:val="both"/>
              <w:rPr>
                <w:rFonts w:ascii="Times New Roman" w:hAnsi="Times New Roman"/>
                <w:sz w:val="18"/>
                <w:szCs w:val="18"/>
              </w:rPr>
            </w:pPr>
            <w:r w:rsidRPr="00767682">
              <w:rPr>
                <w:rFonts w:ascii="Times New Roman" w:hAnsi="Times New Roman"/>
                <w:sz w:val="18"/>
                <w:szCs w:val="18"/>
              </w:rPr>
              <w:t>Projektu dokumentācija</w:t>
            </w:r>
            <w:r w:rsidR="00DB38EC" w:rsidRPr="00767682">
              <w:rPr>
                <w:rFonts w:ascii="Times New Roman" w:hAnsi="Times New Roman"/>
                <w:sz w:val="18"/>
                <w:szCs w:val="18"/>
              </w:rPr>
              <w:t>.</w:t>
            </w:r>
          </w:p>
          <w:p w14:paraId="3985714E" w14:textId="77777777" w:rsidR="008D547F" w:rsidRPr="00767682" w:rsidRDefault="008D547F" w:rsidP="008D547F">
            <w:pPr>
              <w:spacing w:after="0" w:line="240" w:lineRule="auto"/>
              <w:jc w:val="both"/>
              <w:rPr>
                <w:rFonts w:ascii="Times New Roman" w:eastAsiaTheme="minorHAnsi" w:hAnsi="Times New Roman"/>
                <w:sz w:val="18"/>
                <w:szCs w:val="18"/>
              </w:rPr>
            </w:pPr>
          </w:p>
          <w:p w14:paraId="4F5892E7" w14:textId="5D183999" w:rsidR="008D547F" w:rsidRPr="00767682" w:rsidRDefault="008D547F" w:rsidP="008D547F">
            <w:pPr>
              <w:spacing w:after="0" w:line="240" w:lineRule="auto"/>
              <w:jc w:val="both"/>
              <w:rPr>
                <w:rFonts w:ascii="Times New Roman" w:eastAsiaTheme="minorHAnsi" w:hAnsi="Times New Roman"/>
                <w:i/>
                <w:sz w:val="18"/>
                <w:szCs w:val="18"/>
              </w:rPr>
            </w:pPr>
            <w:r w:rsidRPr="00767682">
              <w:rPr>
                <w:rFonts w:ascii="Times New Roman" w:eastAsiaTheme="minorHAnsi" w:hAnsi="Times New Roman"/>
                <w:i/>
                <w:sz w:val="18"/>
                <w:szCs w:val="18"/>
              </w:rPr>
              <w:t xml:space="preserve">Apkopošanas biežums un ieguves metodoloģija: </w:t>
            </w:r>
          </w:p>
          <w:p w14:paraId="05668DF5" w14:textId="7E8400C9" w:rsidR="0061556F" w:rsidRPr="00767682" w:rsidRDefault="0061556F" w:rsidP="008D547F">
            <w:pPr>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Reizi gadā.</w:t>
            </w:r>
          </w:p>
          <w:p w14:paraId="14089265" w14:textId="77777777" w:rsidR="008D547F" w:rsidRPr="00767682" w:rsidRDefault="008D547F" w:rsidP="008D547F">
            <w:pPr>
              <w:spacing w:after="0" w:line="240" w:lineRule="auto"/>
              <w:jc w:val="both"/>
              <w:rPr>
                <w:rFonts w:ascii="Times New Roman" w:eastAsiaTheme="minorHAnsi" w:hAnsi="Times New Roman"/>
                <w:sz w:val="18"/>
                <w:szCs w:val="18"/>
              </w:rPr>
            </w:pPr>
          </w:p>
          <w:p w14:paraId="46CAE167" w14:textId="763372E6" w:rsidR="008D547F" w:rsidRPr="00767682" w:rsidRDefault="008D547F" w:rsidP="008D547F">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Mērķis 2023</w:t>
            </w:r>
            <w:r w:rsidRPr="00767682">
              <w:rPr>
                <w:rFonts w:ascii="Times New Roman" w:eastAsiaTheme="minorHAnsi" w:hAnsi="Times New Roman"/>
                <w:sz w:val="18"/>
                <w:szCs w:val="18"/>
              </w:rPr>
              <w:t>:</w:t>
            </w:r>
          </w:p>
          <w:p w14:paraId="2ECBD82B" w14:textId="3D5ECFA4" w:rsidR="0061556F" w:rsidRPr="00767682" w:rsidRDefault="00C40F1D" w:rsidP="008D547F">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19,88</w:t>
            </w:r>
            <w:r w:rsidR="00DB38EC" w:rsidRPr="00767682">
              <w:rPr>
                <w:rFonts w:ascii="Times New Roman" w:eastAsiaTheme="minorHAnsi" w:hAnsi="Times New Roman"/>
                <w:sz w:val="18"/>
                <w:szCs w:val="18"/>
              </w:rPr>
              <w:t xml:space="preserve"> ha.</w:t>
            </w:r>
          </w:p>
          <w:p w14:paraId="188422D5" w14:textId="77777777" w:rsidR="00482214" w:rsidRPr="00482214" w:rsidRDefault="008D547F" w:rsidP="003562C8">
            <w:pPr>
              <w:pStyle w:val="ListParagraph"/>
              <w:numPr>
                <w:ilvl w:val="0"/>
                <w:numId w:val="12"/>
              </w:num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Apjoms, kas sasniedzams par EK 2021.gada piešķīrumu:</w:t>
            </w:r>
          </w:p>
          <w:p w14:paraId="47DDF67B" w14:textId="79509746" w:rsidR="008D547F" w:rsidRPr="00767682" w:rsidRDefault="0045395A" w:rsidP="00482214">
            <w:pPr>
              <w:pStyle w:val="ListParagraph"/>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 19,88</w:t>
            </w:r>
            <w:r w:rsidR="003562C8" w:rsidRPr="00767682">
              <w:rPr>
                <w:rFonts w:ascii="Times New Roman" w:eastAsiaTheme="minorHAnsi" w:hAnsi="Times New Roman"/>
                <w:sz w:val="18"/>
                <w:szCs w:val="18"/>
              </w:rPr>
              <w:t xml:space="preserve"> ha.</w:t>
            </w:r>
          </w:p>
          <w:p w14:paraId="12B6CF81" w14:textId="77777777" w:rsidR="00482214" w:rsidRPr="00482214" w:rsidRDefault="008D547F" w:rsidP="003562C8">
            <w:pPr>
              <w:pStyle w:val="ListParagraph"/>
              <w:numPr>
                <w:ilvl w:val="0"/>
                <w:numId w:val="12"/>
              </w:num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Apjoms, kas sasniedzams par EK 2022.gada piešķīrumu:</w:t>
            </w:r>
          </w:p>
          <w:p w14:paraId="6FE1568C" w14:textId="46284A4A" w:rsidR="008D547F" w:rsidRPr="00767682" w:rsidRDefault="003562C8" w:rsidP="00482214">
            <w:pPr>
              <w:pStyle w:val="ListParagraph"/>
              <w:spacing w:after="0" w:line="240" w:lineRule="auto"/>
              <w:jc w:val="both"/>
              <w:rPr>
                <w:rFonts w:ascii="Times New Roman" w:eastAsiaTheme="minorHAnsi" w:hAnsi="Times New Roman"/>
                <w:sz w:val="18"/>
                <w:szCs w:val="18"/>
              </w:rPr>
            </w:pPr>
            <w:r w:rsidRPr="00767682">
              <w:rPr>
                <w:rFonts w:ascii="Times New Roman" w:eastAsiaTheme="minorHAnsi" w:hAnsi="Times New Roman"/>
                <w:sz w:val="18"/>
                <w:szCs w:val="18"/>
              </w:rPr>
              <w:t>0 ha.</w:t>
            </w:r>
            <w:r w:rsidRPr="00767682">
              <w:rPr>
                <w:rFonts w:ascii="Times New Roman" w:eastAsiaTheme="minorHAnsi" w:hAnsi="Times New Roman"/>
                <w:i/>
                <w:sz w:val="18"/>
                <w:szCs w:val="18"/>
              </w:rPr>
              <w:t xml:space="preserve"> </w:t>
            </w:r>
          </w:p>
          <w:p w14:paraId="32C231F2" w14:textId="77777777" w:rsidR="008D547F" w:rsidRPr="00767682" w:rsidRDefault="008D547F" w:rsidP="008D547F">
            <w:pPr>
              <w:spacing w:after="0" w:line="240" w:lineRule="auto"/>
              <w:jc w:val="both"/>
              <w:rPr>
                <w:rFonts w:ascii="Times New Roman" w:eastAsiaTheme="minorHAnsi" w:hAnsi="Times New Roman"/>
                <w:sz w:val="18"/>
                <w:szCs w:val="18"/>
              </w:rPr>
            </w:pPr>
          </w:p>
          <w:p w14:paraId="5F02D8C5" w14:textId="77777777" w:rsidR="008D547F" w:rsidRPr="00767682" w:rsidRDefault="008D547F" w:rsidP="008D547F">
            <w:pPr>
              <w:spacing w:after="0" w:line="240" w:lineRule="auto"/>
              <w:jc w:val="both"/>
              <w:rPr>
                <w:rFonts w:ascii="Times New Roman" w:eastAsiaTheme="minorHAnsi" w:hAnsi="Times New Roman"/>
                <w:sz w:val="18"/>
                <w:szCs w:val="18"/>
              </w:rPr>
            </w:pPr>
            <w:r w:rsidRPr="00767682">
              <w:rPr>
                <w:rFonts w:ascii="Times New Roman" w:eastAsiaTheme="minorHAnsi" w:hAnsi="Times New Roman"/>
                <w:i/>
                <w:sz w:val="18"/>
                <w:szCs w:val="18"/>
              </w:rPr>
              <w:t>Mērķa vērtības noteikšanas principi/metodoloģija</w:t>
            </w:r>
            <w:r w:rsidRPr="00767682">
              <w:rPr>
                <w:rFonts w:ascii="Times New Roman" w:eastAsiaTheme="minorHAnsi" w:hAnsi="Times New Roman"/>
                <w:sz w:val="18"/>
                <w:szCs w:val="18"/>
              </w:rPr>
              <w:t xml:space="preserve">: </w:t>
            </w:r>
          </w:p>
          <w:p w14:paraId="72237B73" w14:textId="5BE6BCF3" w:rsidR="003562C8" w:rsidRPr="00767682" w:rsidRDefault="003562C8" w:rsidP="003562C8">
            <w:pPr>
              <w:spacing w:after="0" w:line="240" w:lineRule="auto"/>
              <w:jc w:val="both"/>
              <w:rPr>
                <w:rFonts w:ascii="Times New Roman" w:hAnsi="Times New Roman"/>
                <w:sz w:val="18"/>
                <w:szCs w:val="18"/>
              </w:rPr>
            </w:pPr>
            <w:r w:rsidRPr="00767682">
              <w:rPr>
                <w:rFonts w:ascii="Times New Roman" w:hAnsi="Times New Roman"/>
                <w:sz w:val="18"/>
                <w:szCs w:val="18"/>
              </w:rPr>
              <w:t>Vidējās investīcijas</w:t>
            </w:r>
            <w:r w:rsidR="00B34A0B">
              <w:rPr>
                <w:rFonts w:ascii="Times New Roman" w:hAnsi="Times New Roman"/>
                <w:sz w:val="18"/>
                <w:szCs w:val="18"/>
              </w:rPr>
              <w:t xml:space="preserve"> </w:t>
            </w:r>
            <w:r w:rsidR="00D535ED">
              <w:rPr>
                <w:rFonts w:ascii="Times New Roman" w:hAnsi="Times New Roman"/>
                <w:sz w:val="18"/>
                <w:szCs w:val="18"/>
              </w:rPr>
              <w:t xml:space="preserve">laika periodā no </w:t>
            </w:r>
            <w:r w:rsidR="00B34A0B">
              <w:rPr>
                <w:rFonts w:ascii="Times New Roman" w:hAnsi="Times New Roman"/>
                <w:sz w:val="18"/>
                <w:szCs w:val="18"/>
              </w:rPr>
              <w:t>2022</w:t>
            </w:r>
            <w:r w:rsidR="002F3015">
              <w:rPr>
                <w:rFonts w:ascii="Times New Roman" w:hAnsi="Times New Roman"/>
                <w:sz w:val="18"/>
                <w:szCs w:val="18"/>
              </w:rPr>
              <w:t>.</w:t>
            </w:r>
            <w:r w:rsidR="00B34A0B">
              <w:rPr>
                <w:rFonts w:ascii="Times New Roman" w:hAnsi="Times New Roman"/>
                <w:sz w:val="18"/>
                <w:szCs w:val="18"/>
              </w:rPr>
              <w:t>-2023</w:t>
            </w:r>
            <w:r w:rsidR="00D535ED">
              <w:rPr>
                <w:rFonts w:ascii="Times New Roman" w:hAnsi="Times New Roman"/>
                <w:sz w:val="18"/>
                <w:szCs w:val="18"/>
              </w:rPr>
              <w:t>.gadam</w:t>
            </w:r>
            <w:r w:rsidRPr="00767682">
              <w:rPr>
                <w:rFonts w:ascii="Times New Roman" w:hAnsi="Times New Roman"/>
                <w:sz w:val="18"/>
                <w:szCs w:val="18"/>
              </w:rPr>
              <w:t xml:space="preserve"> uz 1 ha, lai to labiekārtotu un veiktu atbilstošas investīcijas publiskajā infrastruktūrā, ir aptuveni  </w:t>
            </w:r>
            <w:r w:rsidR="006C0E94">
              <w:rPr>
                <w:rFonts w:ascii="Times New Roman" w:hAnsi="Times New Roman"/>
                <w:sz w:val="18"/>
                <w:szCs w:val="18"/>
              </w:rPr>
              <w:t xml:space="preserve">  </w:t>
            </w:r>
            <w:r w:rsidR="00C31A03">
              <w:rPr>
                <w:rFonts w:ascii="Times New Roman" w:hAnsi="Times New Roman"/>
                <w:sz w:val="18"/>
                <w:szCs w:val="18"/>
              </w:rPr>
              <w:t xml:space="preserve">1 215 </w:t>
            </w:r>
            <w:r w:rsidR="006C0E94">
              <w:rPr>
                <w:rFonts w:ascii="Times New Roman" w:hAnsi="Times New Roman"/>
                <w:sz w:val="18"/>
                <w:szCs w:val="18"/>
              </w:rPr>
              <w:t>570</w:t>
            </w:r>
            <w:r w:rsidRPr="00767682">
              <w:rPr>
                <w:rFonts w:ascii="Times New Roman" w:hAnsi="Times New Roman"/>
                <w:sz w:val="18"/>
                <w:szCs w:val="18"/>
              </w:rPr>
              <w:t xml:space="preserve"> tūkst. euro/ha, kas atbilst </w:t>
            </w:r>
            <w:r w:rsidR="00AC4DAB">
              <w:rPr>
                <w:rFonts w:ascii="Times New Roman" w:hAnsi="Times New Roman"/>
                <w:sz w:val="18"/>
                <w:szCs w:val="18"/>
              </w:rPr>
              <w:t xml:space="preserve"> 19,88</w:t>
            </w:r>
            <w:r w:rsidRPr="00767682">
              <w:rPr>
                <w:rFonts w:ascii="Times New Roman" w:hAnsi="Times New Roman"/>
                <w:sz w:val="18"/>
                <w:szCs w:val="18"/>
              </w:rPr>
              <w:t xml:space="preserve"> ha.</w:t>
            </w:r>
          </w:p>
          <w:p w14:paraId="0B42DED4" w14:textId="77777777" w:rsidR="008D547F" w:rsidRPr="00767682" w:rsidRDefault="008D547F" w:rsidP="008D547F">
            <w:pPr>
              <w:spacing w:after="0" w:line="240" w:lineRule="auto"/>
              <w:jc w:val="both"/>
              <w:rPr>
                <w:rFonts w:ascii="Times New Roman" w:eastAsiaTheme="minorHAnsi" w:hAnsi="Times New Roman"/>
                <w:sz w:val="18"/>
                <w:szCs w:val="18"/>
              </w:rPr>
            </w:pPr>
          </w:p>
          <w:p w14:paraId="1F6B15A7" w14:textId="1BED9CBB" w:rsidR="008D547F" w:rsidRPr="00767682" w:rsidRDefault="128408A6" w:rsidP="008D547F">
            <w:pPr>
              <w:spacing w:after="0" w:line="240" w:lineRule="auto"/>
              <w:jc w:val="both"/>
              <w:rPr>
                <w:rFonts w:ascii="Times New Roman" w:hAnsi="Times New Roman"/>
                <w:sz w:val="16"/>
                <w:szCs w:val="16"/>
              </w:rPr>
            </w:pPr>
            <w:r w:rsidRPr="00767682">
              <w:rPr>
                <w:rFonts w:ascii="Times New Roman" w:eastAsiaTheme="minorEastAsia" w:hAnsi="Times New Roman"/>
                <w:i/>
                <w:iCs/>
                <w:sz w:val="18"/>
                <w:szCs w:val="18"/>
              </w:rPr>
              <w:t>Iznākuma rādītājam sasniegšanai paredzētais finansējums</w:t>
            </w:r>
            <w:r w:rsidR="008D547F" w:rsidRPr="00767682">
              <w:rPr>
                <w:rFonts w:ascii="Times New Roman" w:eastAsiaTheme="minorEastAsia" w:hAnsi="Times New Roman"/>
                <w:i/>
                <w:iCs/>
                <w:sz w:val="18"/>
                <w:szCs w:val="18"/>
                <w:vertAlign w:val="superscript"/>
              </w:rPr>
              <w:footnoteReference w:id="7"/>
            </w:r>
            <w:r w:rsidRPr="00767682">
              <w:rPr>
                <w:rFonts w:ascii="Times New Roman" w:eastAsiaTheme="minorEastAsia" w:hAnsi="Times New Roman"/>
                <w:i/>
                <w:iCs/>
                <w:sz w:val="18"/>
                <w:szCs w:val="18"/>
              </w:rPr>
              <w:t>:</w:t>
            </w:r>
            <w:r w:rsidR="56E203A8" w:rsidRPr="00767682">
              <w:rPr>
                <w:rFonts w:ascii="Times New Roman" w:hAnsi="Times New Roman"/>
                <w:sz w:val="16"/>
                <w:szCs w:val="16"/>
              </w:rPr>
              <w:t xml:space="preserve"> </w:t>
            </w:r>
          </w:p>
          <w:p w14:paraId="5ADEBDF8" w14:textId="77777777" w:rsidR="001B623C" w:rsidRPr="00767682" w:rsidRDefault="001B623C" w:rsidP="001B623C">
            <w:pPr>
              <w:spacing w:after="0" w:line="240" w:lineRule="auto"/>
              <w:jc w:val="both"/>
              <w:rPr>
                <w:rFonts w:ascii="Times New Roman" w:hAnsi="Times New Roman"/>
                <w:sz w:val="18"/>
                <w:szCs w:val="18"/>
              </w:rPr>
            </w:pPr>
            <w:r w:rsidRPr="00767682">
              <w:rPr>
                <w:rFonts w:ascii="Times New Roman" w:hAnsi="Times New Roman"/>
                <w:sz w:val="18"/>
                <w:szCs w:val="18"/>
              </w:rPr>
              <w:t xml:space="preserve">24 165 500 </w:t>
            </w:r>
            <w:r w:rsidRPr="00767682">
              <w:rPr>
                <w:rFonts w:ascii="Times New Roman" w:hAnsi="Times New Roman"/>
                <w:i/>
                <w:sz w:val="18"/>
                <w:szCs w:val="18"/>
              </w:rPr>
              <w:t>euro</w:t>
            </w:r>
          </w:p>
          <w:p w14:paraId="27C44C23" w14:textId="77777777" w:rsidR="008D547F" w:rsidRPr="00767682" w:rsidRDefault="008D547F" w:rsidP="008D547F">
            <w:pPr>
              <w:spacing w:after="0" w:line="240" w:lineRule="auto"/>
              <w:jc w:val="both"/>
              <w:rPr>
                <w:rFonts w:ascii="Times New Roman" w:hAnsi="Times New Roman"/>
                <w:i/>
                <w:sz w:val="18"/>
                <w:szCs w:val="18"/>
              </w:rPr>
            </w:pPr>
          </w:p>
          <w:p w14:paraId="30A9A02D" w14:textId="27D2C6CC" w:rsidR="008D547F" w:rsidRPr="00767682" w:rsidRDefault="008D547F" w:rsidP="008D547F">
            <w:pPr>
              <w:spacing w:after="0" w:line="240" w:lineRule="auto"/>
              <w:jc w:val="both"/>
              <w:rPr>
                <w:rFonts w:ascii="Times New Roman" w:hAnsi="Times New Roman"/>
                <w:i/>
                <w:sz w:val="18"/>
                <w:szCs w:val="18"/>
              </w:rPr>
            </w:pPr>
            <w:r w:rsidRPr="00767682">
              <w:rPr>
                <w:rFonts w:ascii="Times New Roman" w:hAnsi="Times New Roman"/>
                <w:i/>
                <w:sz w:val="18"/>
                <w:szCs w:val="18"/>
              </w:rPr>
              <w:t>Darbība, kas liek uzskatīt mērķa vērtību par izpildītu:</w:t>
            </w:r>
          </w:p>
          <w:p w14:paraId="112631BE" w14:textId="6126E96C" w:rsidR="008D547F" w:rsidRPr="00CC46C3" w:rsidRDefault="00E455D5" w:rsidP="00B77E93">
            <w:pPr>
              <w:spacing w:after="0" w:line="240" w:lineRule="auto"/>
              <w:jc w:val="both"/>
              <w:rPr>
                <w:rFonts w:ascii="Times New Roman" w:hAnsi="Times New Roman"/>
                <w:sz w:val="18"/>
                <w:szCs w:val="18"/>
              </w:rPr>
            </w:pPr>
            <w:r w:rsidRPr="00767682">
              <w:rPr>
                <w:rFonts w:ascii="Times New Roman" w:hAnsi="Times New Roman"/>
                <w:sz w:val="18"/>
                <w:szCs w:val="18"/>
              </w:rPr>
              <w:t>Brīdis, kad sadarbības iestāde apstiprina projekta iznākuma rādītāja sasniegšanu.</w:t>
            </w:r>
          </w:p>
        </w:tc>
      </w:tr>
    </w:tbl>
    <w:p w14:paraId="4EA70C90" w14:textId="3541D54E" w:rsidR="00FA549B" w:rsidRPr="00DE29CC" w:rsidRDefault="00FA549B">
      <w:pPr>
        <w:rPr>
          <w:rFonts w:ascii="Times New Roman" w:hAnsi="Times New Roman"/>
          <w:sz w:val="18"/>
          <w:szCs w:val="18"/>
        </w:rPr>
      </w:pPr>
    </w:p>
    <w:sectPr w:rsidR="00FA549B" w:rsidRPr="00DE29CC" w:rsidSect="00D45D98">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EC392" w14:textId="77777777" w:rsidR="00F77C1E" w:rsidRDefault="00F77C1E" w:rsidP="00D45D98">
      <w:pPr>
        <w:spacing w:after="0" w:line="240" w:lineRule="auto"/>
      </w:pPr>
      <w:r>
        <w:separator/>
      </w:r>
    </w:p>
  </w:endnote>
  <w:endnote w:type="continuationSeparator" w:id="0">
    <w:p w14:paraId="49E6F941" w14:textId="77777777" w:rsidR="00F77C1E" w:rsidRDefault="00F77C1E" w:rsidP="00D45D98">
      <w:pPr>
        <w:spacing w:after="0" w:line="240" w:lineRule="auto"/>
      </w:pPr>
      <w:r>
        <w:continuationSeparator/>
      </w:r>
    </w:p>
  </w:endnote>
  <w:endnote w:type="continuationNotice" w:id="1">
    <w:p w14:paraId="21F0F889" w14:textId="77777777" w:rsidR="00F77C1E" w:rsidRDefault="00F77C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ED965" w14:textId="77777777" w:rsidR="00F77C1E" w:rsidRDefault="00F77C1E" w:rsidP="00D45D98">
      <w:pPr>
        <w:spacing w:after="0" w:line="240" w:lineRule="auto"/>
      </w:pPr>
      <w:r>
        <w:separator/>
      </w:r>
    </w:p>
  </w:footnote>
  <w:footnote w:type="continuationSeparator" w:id="0">
    <w:p w14:paraId="40B88ADE" w14:textId="77777777" w:rsidR="00F77C1E" w:rsidRDefault="00F77C1E" w:rsidP="00D45D98">
      <w:pPr>
        <w:spacing w:after="0" w:line="240" w:lineRule="auto"/>
      </w:pPr>
      <w:r>
        <w:continuationSeparator/>
      </w:r>
    </w:p>
  </w:footnote>
  <w:footnote w:type="continuationNotice" w:id="1">
    <w:p w14:paraId="5A3CF482" w14:textId="77777777" w:rsidR="00F77C1E" w:rsidRDefault="00F77C1E">
      <w:pPr>
        <w:spacing w:after="0" w:line="240" w:lineRule="auto"/>
      </w:pPr>
    </w:p>
  </w:footnote>
  <w:footnote w:id="2">
    <w:p w14:paraId="0F27C681" w14:textId="061FD513" w:rsidR="3167B124" w:rsidRPr="00CF4CC8" w:rsidRDefault="3167B124" w:rsidP="004575F1">
      <w:pPr>
        <w:spacing w:after="0" w:line="240" w:lineRule="atLeast"/>
        <w:rPr>
          <w:rFonts w:ascii="Times New Roman" w:hAnsi="Times New Roman"/>
          <w:sz w:val="18"/>
          <w:szCs w:val="18"/>
        </w:rPr>
      </w:pPr>
      <w:r w:rsidRPr="004575F1">
        <w:rPr>
          <w:rFonts w:ascii="Times New Roman" w:hAnsi="Times New Roman"/>
          <w:sz w:val="18"/>
          <w:szCs w:val="18"/>
          <w:vertAlign w:val="superscript"/>
        </w:rPr>
        <w:footnoteRef/>
      </w:r>
      <w:r w:rsidRPr="004575F1">
        <w:rPr>
          <w:rFonts w:ascii="Times New Roman" w:hAnsi="Times New Roman"/>
          <w:sz w:val="18"/>
          <w:szCs w:val="18"/>
          <w:vertAlign w:val="superscript"/>
        </w:rPr>
        <w:t xml:space="preserve"> </w:t>
      </w:r>
      <w:r w:rsidRPr="00CF4CC8">
        <w:rPr>
          <w:rFonts w:ascii="Times New Roman" w:hAnsi="Times New Roman"/>
          <w:sz w:val="18"/>
          <w:szCs w:val="18"/>
        </w:rPr>
        <w:t>Atbilstoši EM prognozei, jo šis rādītājs ir noteikts identiski EM pārziņā esošā SAM Nr.4.2.1. veicināt energoefektivitātes paaugstināšanu valsts un dzīvojamās ēkās” rezultāta rādītājam</w:t>
      </w:r>
      <w:r w:rsidR="00E91C28">
        <w:rPr>
          <w:rFonts w:ascii="Times New Roman" w:hAnsi="Times New Roman"/>
          <w:sz w:val="18"/>
          <w:szCs w:val="18"/>
        </w:rPr>
        <w:t xml:space="preserve"> un tā progress ir saistīts ar SAM Nr. 4.2.1. ieviešanu.</w:t>
      </w:r>
    </w:p>
  </w:footnote>
  <w:footnote w:id="3">
    <w:p w14:paraId="2AAD0454" w14:textId="7CF8BC7F" w:rsidR="77E96E6C" w:rsidRDefault="77E96E6C" w:rsidP="004575F1">
      <w:pPr>
        <w:spacing w:after="0" w:line="240" w:lineRule="atLeast"/>
      </w:pPr>
      <w:r w:rsidRPr="004575F1">
        <w:rPr>
          <w:rFonts w:ascii="Times New Roman" w:hAnsi="Times New Roman"/>
          <w:sz w:val="18"/>
          <w:szCs w:val="18"/>
          <w:vertAlign w:val="superscript"/>
        </w:rPr>
        <w:footnoteRef/>
      </w:r>
      <w:r w:rsidRPr="00CF4CC8">
        <w:rPr>
          <w:rFonts w:ascii="Times New Roman" w:hAnsi="Times New Roman"/>
          <w:sz w:val="18"/>
          <w:szCs w:val="18"/>
        </w:rPr>
        <w:t xml:space="preserve"> </w:t>
      </w:r>
      <w:r w:rsidRPr="00CF4CC8">
        <w:rPr>
          <w:rFonts w:ascii="Times New Roman" w:hAnsi="Times New Roman"/>
          <w:sz w:val="18"/>
          <w:szCs w:val="18"/>
        </w:rPr>
        <w:t>Rādītāja definīcija noteikta Eiropas Komisijas vadlīniju “Guidance document on Monitoring and Evaluation” 1.pielikumā; pieejamas  http://ec.europa.eu/regional_policy/sources/docoffic/2014/working/wd_2014_en.pdf</w:t>
      </w:r>
    </w:p>
  </w:footnote>
  <w:footnote w:id="4">
    <w:p w14:paraId="1242242E" w14:textId="6E45F416" w:rsidR="265D179B" w:rsidRDefault="265D179B" w:rsidP="004575F1">
      <w:pPr>
        <w:spacing w:after="0" w:line="240" w:lineRule="atLeast"/>
      </w:pPr>
      <w:r w:rsidRPr="004575F1">
        <w:rPr>
          <w:rFonts w:ascii="Times New Roman" w:hAnsi="Times New Roman"/>
          <w:sz w:val="18"/>
          <w:szCs w:val="18"/>
          <w:vertAlign w:val="superscript"/>
        </w:rPr>
        <w:footnoteRef/>
      </w:r>
      <w:r w:rsidRPr="004575F1">
        <w:rPr>
          <w:rFonts w:ascii="Times New Roman" w:hAnsi="Times New Roman"/>
          <w:sz w:val="18"/>
          <w:szCs w:val="18"/>
        </w:rPr>
        <w:t xml:space="preserve"> </w:t>
      </w:r>
      <w:r w:rsidRPr="004575F1">
        <w:rPr>
          <w:rFonts w:ascii="Times New Roman" w:hAnsi="Times New Roman"/>
          <w:sz w:val="18"/>
          <w:szCs w:val="18"/>
        </w:rPr>
        <w:t>Rādītāja definīcija noteikta Eiropas Komisijas vadlīniju “Guidance document on Monitoring and Evaluation” 1.pielikumā; pieejamas  http://ec.europa.eu/regional_policy/sources/docoffic/2014/working/wd_2014_en.pdf</w:t>
      </w:r>
    </w:p>
  </w:footnote>
  <w:footnote w:id="5">
    <w:p w14:paraId="01FD95E2" w14:textId="15CD297B" w:rsidR="00A77621" w:rsidRDefault="00A77621" w:rsidP="00A77621">
      <w:pPr>
        <w:pStyle w:val="FootnoteText"/>
      </w:pPr>
      <w:r>
        <w:rPr>
          <w:rStyle w:val="FootnoteReference"/>
        </w:rPr>
        <w:footnoteRef/>
      </w:r>
      <w:r>
        <w:t xml:space="preserve"> </w:t>
      </w:r>
      <w:r w:rsidRPr="00D8002B">
        <w:rPr>
          <w:rFonts w:ascii="Times New Roman" w:hAnsi="Times New Roman"/>
          <w:sz w:val="18"/>
          <w:szCs w:val="18"/>
        </w:rPr>
        <w:t>Noteiktais finansējuma ieguldījums ir samērojams ar vidējām izmaksām uz vienu samazināto siltumnīcefekta gāzu tonnas ekvivalentu, ņemot vērā 4.2.2. SAM / 13.1.3.1. pasākuma projektu iesniegumu 3.-4. atlases kārtas ieviešanā esošos projektus, gan 5. atlases kārtā plānotos projektus.</w:t>
      </w:r>
    </w:p>
  </w:footnote>
  <w:footnote w:id="6">
    <w:p w14:paraId="71723BAE" w14:textId="77777777" w:rsidR="009214D6" w:rsidRPr="00BB3B2F" w:rsidRDefault="009214D6" w:rsidP="00CC46C3">
      <w:pPr>
        <w:spacing w:after="0" w:line="240" w:lineRule="atLeast"/>
        <w:jc w:val="both"/>
        <w:rPr>
          <w:rFonts w:ascii="Times New Roman" w:hAnsi="Times New Roman"/>
          <w:color w:val="1F497D"/>
          <w:sz w:val="18"/>
          <w:szCs w:val="18"/>
        </w:rPr>
      </w:pPr>
      <w:r>
        <w:rPr>
          <w:rStyle w:val="FootnoteReference"/>
        </w:rPr>
        <w:footnoteRef/>
      </w:r>
      <w:r>
        <w:t xml:space="preserve"> </w:t>
      </w:r>
      <w:r w:rsidRPr="00CC46C3">
        <w:rPr>
          <w:rFonts w:ascii="Times New Roman" w:hAnsi="Times New Roman"/>
          <w:sz w:val="18"/>
          <w:szCs w:val="18"/>
        </w:rPr>
        <w:t xml:space="preserve">Rādītāja definīcija noteikta Eiropas Komisijas vadlīniju “Guidance document on Monitoring and Evaluation” 1.pielikumā; pieejamas </w:t>
      </w:r>
      <w:r w:rsidRPr="00CC46C3">
        <w:rPr>
          <w:rFonts w:ascii="Times New Roman" w:hAnsi="Times New Roman"/>
          <w:color w:val="1F497D"/>
          <w:sz w:val="18"/>
          <w:szCs w:val="18"/>
        </w:rPr>
        <w:t> </w:t>
      </w:r>
      <w:hyperlink r:id="rId1" w:history="1">
        <w:r w:rsidRPr="00CC46C3">
          <w:rPr>
            <w:rStyle w:val="Hyperlink"/>
            <w:rFonts w:ascii="Times New Roman" w:hAnsi="Times New Roman"/>
            <w:sz w:val="18"/>
            <w:szCs w:val="18"/>
          </w:rPr>
          <w:t>http://ec.europa.eu/regional_policy/sources/docoffic/2014/working/wd_2014_en.pdf</w:t>
        </w:r>
      </w:hyperlink>
      <w:r w:rsidRPr="00BB3B2F">
        <w:rPr>
          <w:rFonts w:ascii="Times New Roman" w:hAnsi="Times New Roman"/>
          <w:color w:val="1F497D"/>
          <w:sz w:val="18"/>
          <w:szCs w:val="18"/>
        </w:rPr>
        <w:t xml:space="preserve"> </w:t>
      </w:r>
    </w:p>
    <w:p w14:paraId="07D10F46" w14:textId="1107C08A" w:rsidR="009214D6" w:rsidRDefault="009214D6">
      <w:pPr>
        <w:pStyle w:val="FootnoteText"/>
      </w:pPr>
    </w:p>
  </w:footnote>
  <w:footnote w:id="7">
    <w:p w14:paraId="7672A06E" w14:textId="77777777" w:rsidR="008D547F" w:rsidRDefault="008D547F" w:rsidP="008D547F">
      <w:pPr>
        <w:pStyle w:val="FootnoteText"/>
        <w:jc w:val="both"/>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w:t>
      </w:r>
      <w:r w:rsidRPr="004045F1">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9412F"/>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4DE2DD5"/>
    <w:multiLevelType w:val="hybridMultilevel"/>
    <w:tmpl w:val="F58C874A"/>
    <w:lvl w:ilvl="0" w:tplc="67E2CD3C">
      <w:start w:val="1"/>
      <w:numFmt w:val="decimal"/>
      <w:lvlText w:val="%1)"/>
      <w:lvlJc w:val="left"/>
      <w:pPr>
        <w:ind w:left="720" w:hanging="360"/>
      </w:pPr>
      <w:rPr>
        <w:rFonts w:asciiTheme="minorHAnsi" w:eastAsiaTheme="minorHAnsi" w:hAnsiTheme="minorHAnsi" w:cstheme="minorBidi" w:hint="default"/>
        <w:i w:val="0"/>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26815680"/>
    <w:multiLevelType w:val="hybridMultilevel"/>
    <w:tmpl w:val="3E6C1C32"/>
    <w:lvl w:ilvl="0" w:tplc="04EADAD8">
      <w:start w:val="1"/>
      <w:numFmt w:val="decimal"/>
      <w:lvlText w:val="%1."/>
      <w:lvlJc w:val="left"/>
      <w:pPr>
        <w:ind w:left="720" w:hanging="360"/>
      </w:pPr>
      <w:rPr>
        <w:rFonts w:ascii="Times New Roman" w:hAnsi="Times New Roman" w:cs="Times New Roman" w:hint="default"/>
        <w:i/>
        <w:sz w:val="18"/>
        <w:szCs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65709A4"/>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A971888"/>
    <w:multiLevelType w:val="hybridMultilevel"/>
    <w:tmpl w:val="AA18C7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C935F6E"/>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F2C0A81"/>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20015566">
    <w:abstractNumId w:val="5"/>
  </w:num>
  <w:num w:numId="2" w16cid:durableId="848056527">
    <w:abstractNumId w:val="3"/>
  </w:num>
  <w:num w:numId="3" w16cid:durableId="625085419">
    <w:abstractNumId w:val="9"/>
  </w:num>
  <w:num w:numId="4" w16cid:durableId="2035882030">
    <w:abstractNumId w:val="8"/>
  </w:num>
  <w:num w:numId="5" w16cid:durableId="583877525">
    <w:abstractNumId w:val="4"/>
  </w:num>
  <w:num w:numId="6" w16cid:durableId="132710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7991973">
    <w:abstractNumId w:val="1"/>
  </w:num>
  <w:num w:numId="8" w16cid:durableId="1106773753">
    <w:abstractNumId w:val="11"/>
  </w:num>
  <w:num w:numId="9" w16cid:durableId="1022125599">
    <w:abstractNumId w:val="0"/>
  </w:num>
  <w:num w:numId="10" w16cid:durableId="1726367187">
    <w:abstractNumId w:val="6"/>
  </w:num>
  <w:num w:numId="11" w16cid:durableId="1384938970">
    <w:abstractNumId w:val="10"/>
  </w:num>
  <w:num w:numId="12" w16cid:durableId="2093626479">
    <w:abstractNumId w:val="2"/>
  </w:num>
  <w:num w:numId="13" w16cid:durableId="17235551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8"/>
    <w:rsid w:val="00023607"/>
    <w:rsid w:val="000353D6"/>
    <w:rsid w:val="0004502F"/>
    <w:rsid w:val="0004677E"/>
    <w:rsid w:val="00060F96"/>
    <w:rsid w:val="00062623"/>
    <w:rsid w:val="00065E5A"/>
    <w:rsid w:val="00087081"/>
    <w:rsid w:val="000A0F37"/>
    <w:rsid w:val="000A37B8"/>
    <w:rsid w:val="000D2413"/>
    <w:rsid w:val="000D525C"/>
    <w:rsid w:val="000E0647"/>
    <w:rsid w:val="000F39C3"/>
    <w:rsid w:val="00101E14"/>
    <w:rsid w:val="00111193"/>
    <w:rsid w:val="00115A69"/>
    <w:rsid w:val="001246FD"/>
    <w:rsid w:val="00127D03"/>
    <w:rsid w:val="00145187"/>
    <w:rsid w:val="00145E5D"/>
    <w:rsid w:val="001461D0"/>
    <w:rsid w:val="001465F4"/>
    <w:rsid w:val="0015028F"/>
    <w:rsid w:val="001502E9"/>
    <w:rsid w:val="0015048E"/>
    <w:rsid w:val="00154EA6"/>
    <w:rsid w:val="0017076D"/>
    <w:rsid w:val="00173149"/>
    <w:rsid w:val="0017342A"/>
    <w:rsid w:val="00181090"/>
    <w:rsid w:val="00183B35"/>
    <w:rsid w:val="00184110"/>
    <w:rsid w:val="00191F2E"/>
    <w:rsid w:val="00191FDA"/>
    <w:rsid w:val="001B623C"/>
    <w:rsid w:val="001C1713"/>
    <w:rsid w:val="001C2CE8"/>
    <w:rsid w:val="001D1595"/>
    <w:rsid w:val="001D6749"/>
    <w:rsid w:val="001D736E"/>
    <w:rsid w:val="001E001D"/>
    <w:rsid w:val="001E26AC"/>
    <w:rsid w:val="001F3DB9"/>
    <w:rsid w:val="0020674E"/>
    <w:rsid w:val="00224CE2"/>
    <w:rsid w:val="0023560C"/>
    <w:rsid w:val="00242917"/>
    <w:rsid w:val="00251993"/>
    <w:rsid w:val="00253E35"/>
    <w:rsid w:val="00271D03"/>
    <w:rsid w:val="00280992"/>
    <w:rsid w:val="0029023D"/>
    <w:rsid w:val="002A354C"/>
    <w:rsid w:val="002A7B3F"/>
    <w:rsid w:val="002C4C6F"/>
    <w:rsid w:val="002C5EE0"/>
    <w:rsid w:val="002D38CC"/>
    <w:rsid w:val="002D5728"/>
    <w:rsid w:val="002E126D"/>
    <w:rsid w:val="002E3E70"/>
    <w:rsid w:val="002E3F17"/>
    <w:rsid w:val="002F08B4"/>
    <w:rsid w:val="002F3015"/>
    <w:rsid w:val="00307D84"/>
    <w:rsid w:val="00320BD2"/>
    <w:rsid w:val="003562C8"/>
    <w:rsid w:val="0035669E"/>
    <w:rsid w:val="00357201"/>
    <w:rsid w:val="00367726"/>
    <w:rsid w:val="00372A19"/>
    <w:rsid w:val="003820B8"/>
    <w:rsid w:val="003869EC"/>
    <w:rsid w:val="00392FF5"/>
    <w:rsid w:val="0039643D"/>
    <w:rsid w:val="003A2981"/>
    <w:rsid w:val="003B0A54"/>
    <w:rsid w:val="003B0AD8"/>
    <w:rsid w:val="003B62BD"/>
    <w:rsid w:val="003C27E2"/>
    <w:rsid w:val="003C3043"/>
    <w:rsid w:val="003C561A"/>
    <w:rsid w:val="003D030A"/>
    <w:rsid w:val="003D047B"/>
    <w:rsid w:val="003D4415"/>
    <w:rsid w:val="003F267D"/>
    <w:rsid w:val="0041662C"/>
    <w:rsid w:val="00421048"/>
    <w:rsid w:val="00421ADA"/>
    <w:rsid w:val="00432255"/>
    <w:rsid w:val="0043699F"/>
    <w:rsid w:val="0045395A"/>
    <w:rsid w:val="004575F1"/>
    <w:rsid w:val="004654E7"/>
    <w:rsid w:val="004727A1"/>
    <w:rsid w:val="00474E17"/>
    <w:rsid w:val="004776B5"/>
    <w:rsid w:val="00482214"/>
    <w:rsid w:val="00484EA0"/>
    <w:rsid w:val="00491399"/>
    <w:rsid w:val="004969B2"/>
    <w:rsid w:val="004978E8"/>
    <w:rsid w:val="004A2EBD"/>
    <w:rsid w:val="004B2C05"/>
    <w:rsid w:val="004C2404"/>
    <w:rsid w:val="004D7539"/>
    <w:rsid w:val="004E1B93"/>
    <w:rsid w:val="004E3D6A"/>
    <w:rsid w:val="004E5C8D"/>
    <w:rsid w:val="004F0DFA"/>
    <w:rsid w:val="005012E9"/>
    <w:rsid w:val="00520A0F"/>
    <w:rsid w:val="0053215A"/>
    <w:rsid w:val="00533FD6"/>
    <w:rsid w:val="00556201"/>
    <w:rsid w:val="00556F4D"/>
    <w:rsid w:val="00574C19"/>
    <w:rsid w:val="00577E4B"/>
    <w:rsid w:val="00586A11"/>
    <w:rsid w:val="005A5FC5"/>
    <w:rsid w:val="005D4F6A"/>
    <w:rsid w:val="005E5A06"/>
    <w:rsid w:val="005F4853"/>
    <w:rsid w:val="005F630A"/>
    <w:rsid w:val="0061086B"/>
    <w:rsid w:val="0061556F"/>
    <w:rsid w:val="006245A5"/>
    <w:rsid w:val="00653094"/>
    <w:rsid w:val="00653D18"/>
    <w:rsid w:val="00658C6E"/>
    <w:rsid w:val="006671FF"/>
    <w:rsid w:val="00667DA4"/>
    <w:rsid w:val="006720C3"/>
    <w:rsid w:val="006B5050"/>
    <w:rsid w:val="006C0E94"/>
    <w:rsid w:val="006C7577"/>
    <w:rsid w:val="006D4463"/>
    <w:rsid w:val="006E7046"/>
    <w:rsid w:val="006F00F9"/>
    <w:rsid w:val="006F26B2"/>
    <w:rsid w:val="00714617"/>
    <w:rsid w:val="00714D44"/>
    <w:rsid w:val="00722AB5"/>
    <w:rsid w:val="00733E9A"/>
    <w:rsid w:val="00734E08"/>
    <w:rsid w:val="00735571"/>
    <w:rsid w:val="00750F76"/>
    <w:rsid w:val="00755BF2"/>
    <w:rsid w:val="007575E2"/>
    <w:rsid w:val="0076493E"/>
    <w:rsid w:val="00767682"/>
    <w:rsid w:val="007764A9"/>
    <w:rsid w:val="007841F0"/>
    <w:rsid w:val="007932AD"/>
    <w:rsid w:val="007A1053"/>
    <w:rsid w:val="007A118F"/>
    <w:rsid w:val="007A587B"/>
    <w:rsid w:val="007B276C"/>
    <w:rsid w:val="007D57D4"/>
    <w:rsid w:val="007E011F"/>
    <w:rsid w:val="007F212B"/>
    <w:rsid w:val="007F34D0"/>
    <w:rsid w:val="00811798"/>
    <w:rsid w:val="00815C91"/>
    <w:rsid w:val="00821050"/>
    <w:rsid w:val="00827033"/>
    <w:rsid w:val="008539A7"/>
    <w:rsid w:val="00865820"/>
    <w:rsid w:val="008678B4"/>
    <w:rsid w:val="00873709"/>
    <w:rsid w:val="0087622C"/>
    <w:rsid w:val="00891CCE"/>
    <w:rsid w:val="008A2861"/>
    <w:rsid w:val="008D3D49"/>
    <w:rsid w:val="008D4C18"/>
    <w:rsid w:val="008D547F"/>
    <w:rsid w:val="008F0234"/>
    <w:rsid w:val="008F7BCB"/>
    <w:rsid w:val="0090237D"/>
    <w:rsid w:val="00912A5B"/>
    <w:rsid w:val="00916BA8"/>
    <w:rsid w:val="009214D6"/>
    <w:rsid w:val="0094478C"/>
    <w:rsid w:val="00945579"/>
    <w:rsid w:val="00952E6E"/>
    <w:rsid w:val="009767AA"/>
    <w:rsid w:val="00982F31"/>
    <w:rsid w:val="009959D2"/>
    <w:rsid w:val="009A5032"/>
    <w:rsid w:val="009B12C1"/>
    <w:rsid w:val="009B390C"/>
    <w:rsid w:val="009B5DE3"/>
    <w:rsid w:val="009C1052"/>
    <w:rsid w:val="009D349A"/>
    <w:rsid w:val="009D443E"/>
    <w:rsid w:val="009D47D3"/>
    <w:rsid w:val="009E7C88"/>
    <w:rsid w:val="009F1C47"/>
    <w:rsid w:val="009F2038"/>
    <w:rsid w:val="00A073D1"/>
    <w:rsid w:val="00A1468B"/>
    <w:rsid w:val="00A241EB"/>
    <w:rsid w:val="00A27945"/>
    <w:rsid w:val="00A30AB1"/>
    <w:rsid w:val="00A44FDE"/>
    <w:rsid w:val="00A454A1"/>
    <w:rsid w:val="00A56355"/>
    <w:rsid w:val="00A57C62"/>
    <w:rsid w:val="00A77621"/>
    <w:rsid w:val="00A908AE"/>
    <w:rsid w:val="00AA2C22"/>
    <w:rsid w:val="00AB7008"/>
    <w:rsid w:val="00AC16CE"/>
    <w:rsid w:val="00AC4DAB"/>
    <w:rsid w:val="00AD2AAF"/>
    <w:rsid w:val="00AE25D0"/>
    <w:rsid w:val="00AF1384"/>
    <w:rsid w:val="00AF3428"/>
    <w:rsid w:val="00AF780A"/>
    <w:rsid w:val="00B11866"/>
    <w:rsid w:val="00B143E3"/>
    <w:rsid w:val="00B162BD"/>
    <w:rsid w:val="00B3224B"/>
    <w:rsid w:val="00B34A0B"/>
    <w:rsid w:val="00B511D2"/>
    <w:rsid w:val="00B60DDA"/>
    <w:rsid w:val="00B77632"/>
    <w:rsid w:val="00B77E93"/>
    <w:rsid w:val="00B83125"/>
    <w:rsid w:val="00B832E2"/>
    <w:rsid w:val="00B84247"/>
    <w:rsid w:val="00B961F4"/>
    <w:rsid w:val="00BB115D"/>
    <w:rsid w:val="00BB2071"/>
    <w:rsid w:val="00BB20E9"/>
    <w:rsid w:val="00BC089F"/>
    <w:rsid w:val="00BC6D0A"/>
    <w:rsid w:val="00BD32E8"/>
    <w:rsid w:val="00BD595C"/>
    <w:rsid w:val="00BE10A8"/>
    <w:rsid w:val="00BF6922"/>
    <w:rsid w:val="00C015EB"/>
    <w:rsid w:val="00C042EA"/>
    <w:rsid w:val="00C20690"/>
    <w:rsid w:val="00C26DED"/>
    <w:rsid w:val="00C31A03"/>
    <w:rsid w:val="00C31FBE"/>
    <w:rsid w:val="00C40D73"/>
    <w:rsid w:val="00C40F1D"/>
    <w:rsid w:val="00C41BAE"/>
    <w:rsid w:val="00C42C9A"/>
    <w:rsid w:val="00C43AF5"/>
    <w:rsid w:val="00C47EAA"/>
    <w:rsid w:val="00C529DA"/>
    <w:rsid w:val="00C63EA4"/>
    <w:rsid w:val="00C70852"/>
    <w:rsid w:val="00C73F51"/>
    <w:rsid w:val="00C812BC"/>
    <w:rsid w:val="00C901F4"/>
    <w:rsid w:val="00C92CAB"/>
    <w:rsid w:val="00C967BE"/>
    <w:rsid w:val="00CA67AA"/>
    <w:rsid w:val="00CB121B"/>
    <w:rsid w:val="00CB698A"/>
    <w:rsid w:val="00CC0344"/>
    <w:rsid w:val="00CC3DAA"/>
    <w:rsid w:val="00CC46C3"/>
    <w:rsid w:val="00CD0667"/>
    <w:rsid w:val="00CD24A0"/>
    <w:rsid w:val="00CE3754"/>
    <w:rsid w:val="00CF4B67"/>
    <w:rsid w:val="00CF4CC8"/>
    <w:rsid w:val="00D04CF7"/>
    <w:rsid w:val="00D10427"/>
    <w:rsid w:val="00D15A26"/>
    <w:rsid w:val="00D20A76"/>
    <w:rsid w:val="00D306BF"/>
    <w:rsid w:val="00D35048"/>
    <w:rsid w:val="00D45D98"/>
    <w:rsid w:val="00D46D25"/>
    <w:rsid w:val="00D535ED"/>
    <w:rsid w:val="00D53C97"/>
    <w:rsid w:val="00D71678"/>
    <w:rsid w:val="00D820FB"/>
    <w:rsid w:val="00D826DB"/>
    <w:rsid w:val="00D8293B"/>
    <w:rsid w:val="00D858AA"/>
    <w:rsid w:val="00DA729B"/>
    <w:rsid w:val="00DA72C4"/>
    <w:rsid w:val="00DB1BCC"/>
    <w:rsid w:val="00DB38EC"/>
    <w:rsid w:val="00DC1E07"/>
    <w:rsid w:val="00DC4A37"/>
    <w:rsid w:val="00DE29CC"/>
    <w:rsid w:val="00DE5C90"/>
    <w:rsid w:val="00DE729E"/>
    <w:rsid w:val="00DE754E"/>
    <w:rsid w:val="00E0129C"/>
    <w:rsid w:val="00E02FFA"/>
    <w:rsid w:val="00E05FFD"/>
    <w:rsid w:val="00E1158D"/>
    <w:rsid w:val="00E149C4"/>
    <w:rsid w:val="00E23A69"/>
    <w:rsid w:val="00E27594"/>
    <w:rsid w:val="00E36965"/>
    <w:rsid w:val="00E4039D"/>
    <w:rsid w:val="00E41869"/>
    <w:rsid w:val="00E443F7"/>
    <w:rsid w:val="00E45002"/>
    <w:rsid w:val="00E45259"/>
    <w:rsid w:val="00E455D5"/>
    <w:rsid w:val="00E46FA6"/>
    <w:rsid w:val="00E5467A"/>
    <w:rsid w:val="00E63F43"/>
    <w:rsid w:val="00E72B00"/>
    <w:rsid w:val="00E77D41"/>
    <w:rsid w:val="00E81513"/>
    <w:rsid w:val="00E91C28"/>
    <w:rsid w:val="00E944B4"/>
    <w:rsid w:val="00E95B04"/>
    <w:rsid w:val="00EA3AE9"/>
    <w:rsid w:val="00EA58B4"/>
    <w:rsid w:val="00EC00F2"/>
    <w:rsid w:val="00EC3107"/>
    <w:rsid w:val="00ED7513"/>
    <w:rsid w:val="00EE089D"/>
    <w:rsid w:val="00EE16BD"/>
    <w:rsid w:val="00EE23AF"/>
    <w:rsid w:val="00EF64D0"/>
    <w:rsid w:val="00F01F52"/>
    <w:rsid w:val="00F033CF"/>
    <w:rsid w:val="00F141DE"/>
    <w:rsid w:val="00F350BB"/>
    <w:rsid w:val="00F66184"/>
    <w:rsid w:val="00F700CF"/>
    <w:rsid w:val="00F731E5"/>
    <w:rsid w:val="00F74791"/>
    <w:rsid w:val="00F77A10"/>
    <w:rsid w:val="00F77C1E"/>
    <w:rsid w:val="00F77F3B"/>
    <w:rsid w:val="00F92A65"/>
    <w:rsid w:val="00F96902"/>
    <w:rsid w:val="00FA0034"/>
    <w:rsid w:val="00FA549B"/>
    <w:rsid w:val="00FB427C"/>
    <w:rsid w:val="00FB4DDD"/>
    <w:rsid w:val="00FD7030"/>
    <w:rsid w:val="00FE2F93"/>
    <w:rsid w:val="00FF28E5"/>
    <w:rsid w:val="022AC9D7"/>
    <w:rsid w:val="02E1BB71"/>
    <w:rsid w:val="03842627"/>
    <w:rsid w:val="03C705C0"/>
    <w:rsid w:val="03C79D5D"/>
    <w:rsid w:val="03E11436"/>
    <w:rsid w:val="0425AAA8"/>
    <w:rsid w:val="04A3CC52"/>
    <w:rsid w:val="04A8B249"/>
    <w:rsid w:val="04FC2CF3"/>
    <w:rsid w:val="0596B1D4"/>
    <w:rsid w:val="06AE490A"/>
    <w:rsid w:val="06AF7ACD"/>
    <w:rsid w:val="079AC4A4"/>
    <w:rsid w:val="089664CE"/>
    <w:rsid w:val="08D89A31"/>
    <w:rsid w:val="095ABF02"/>
    <w:rsid w:val="099B2C59"/>
    <w:rsid w:val="099BB19F"/>
    <w:rsid w:val="09DA463A"/>
    <w:rsid w:val="0B422687"/>
    <w:rsid w:val="0C1E8882"/>
    <w:rsid w:val="0D287923"/>
    <w:rsid w:val="0DC1467D"/>
    <w:rsid w:val="0E4961CD"/>
    <w:rsid w:val="0FF5715D"/>
    <w:rsid w:val="1043F3B3"/>
    <w:rsid w:val="116F9232"/>
    <w:rsid w:val="1254A221"/>
    <w:rsid w:val="1283BBB8"/>
    <w:rsid w:val="128408A6"/>
    <w:rsid w:val="136DDBDC"/>
    <w:rsid w:val="13938226"/>
    <w:rsid w:val="13DD74AB"/>
    <w:rsid w:val="155330DE"/>
    <w:rsid w:val="158B39DF"/>
    <w:rsid w:val="15F797D4"/>
    <w:rsid w:val="16D9BCF3"/>
    <w:rsid w:val="179D84E3"/>
    <w:rsid w:val="1852B730"/>
    <w:rsid w:val="18FD905A"/>
    <w:rsid w:val="1916EE3D"/>
    <w:rsid w:val="196198E6"/>
    <w:rsid w:val="19F2B0A5"/>
    <w:rsid w:val="1AB27033"/>
    <w:rsid w:val="1CFB75E3"/>
    <w:rsid w:val="1D5D06BC"/>
    <w:rsid w:val="1D69F052"/>
    <w:rsid w:val="1DCBCF66"/>
    <w:rsid w:val="1DEB4440"/>
    <w:rsid w:val="1E767F35"/>
    <w:rsid w:val="1F440C3E"/>
    <w:rsid w:val="1FE88C2F"/>
    <w:rsid w:val="20361EC2"/>
    <w:rsid w:val="20F34543"/>
    <w:rsid w:val="2246D9B9"/>
    <w:rsid w:val="22BA11DD"/>
    <w:rsid w:val="23451216"/>
    <w:rsid w:val="23B4AA25"/>
    <w:rsid w:val="2443083D"/>
    <w:rsid w:val="2455E23E"/>
    <w:rsid w:val="24702104"/>
    <w:rsid w:val="2597F154"/>
    <w:rsid w:val="265D179B"/>
    <w:rsid w:val="2683C6C1"/>
    <w:rsid w:val="26A57321"/>
    <w:rsid w:val="277C65DA"/>
    <w:rsid w:val="27FAC850"/>
    <w:rsid w:val="28D3A283"/>
    <w:rsid w:val="2957B1A9"/>
    <w:rsid w:val="29F80C45"/>
    <w:rsid w:val="2A0C98E1"/>
    <w:rsid w:val="2AECDAAB"/>
    <w:rsid w:val="2C0732D8"/>
    <w:rsid w:val="2C8CF05A"/>
    <w:rsid w:val="2D456E03"/>
    <w:rsid w:val="2DBA2D5F"/>
    <w:rsid w:val="2EA19531"/>
    <w:rsid w:val="2F429CD8"/>
    <w:rsid w:val="314280D2"/>
    <w:rsid w:val="314965AB"/>
    <w:rsid w:val="3167B124"/>
    <w:rsid w:val="3327D245"/>
    <w:rsid w:val="33A3CCCA"/>
    <w:rsid w:val="343CE45F"/>
    <w:rsid w:val="34F7045A"/>
    <w:rsid w:val="3503B626"/>
    <w:rsid w:val="3654F39C"/>
    <w:rsid w:val="36EB42EE"/>
    <w:rsid w:val="37546A73"/>
    <w:rsid w:val="3AFECBD4"/>
    <w:rsid w:val="3B22A0CC"/>
    <w:rsid w:val="3BE5C879"/>
    <w:rsid w:val="3BE74E4E"/>
    <w:rsid w:val="3CBD79FC"/>
    <w:rsid w:val="3DCE0E18"/>
    <w:rsid w:val="3DEC0E3A"/>
    <w:rsid w:val="3E98D1A7"/>
    <w:rsid w:val="3F1F18B0"/>
    <w:rsid w:val="3FF9A03B"/>
    <w:rsid w:val="40AE4019"/>
    <w:rsid w:val="419661C9"/>
    <w:rsid w:val="41B3C48C"/>
    <w:rsid w:val="41CB625B"/>
    <w:rsid w:val="4264A47C"/>
    <w:rsid w:val="4321C9E4"/>
    <w:rsid w:val="44B87C88"/>
    <w:rsid w:val="454D572A"/>
    <w:rsid w:val="468BA2E6"/>
    <w:rsid w:val="47EFEE29"/>
    <w:rsid w:val="481355B9"/>
    <w:rsid w:val="4B08A7A4"/>
    <w:rsid w:val="4B3E6585"/>
    <w:rsid w:val="4E462F89"/>
    <w:rsid w:val="4E727A96"/>
    <w:rsid w:val="4ECF3621"/>
    <w:rsid w:val="4F401842"/>
    <w:rsid w:val="4F4E9C2B"/>
    <w:rsid w:val="504D281A"/>
    <w:rsid w:val="50E06EDA"/>
    <w:rsid w:val="525ECBB8"/>
    <w:rsid w:val="52B7288D"/>
    <w:rsid w:val="53A871E1"/>
    <w:rsid w:val="55B80B07"/>
    <w:rsid w:val="55EEC94F"/>
    <w:rsid w:val="5695C02D"/>
    <w:rsid w:val="56E203A8"/>
    <w:rsid w:val="57D12436"/>
    <w:rsid w:val="5CE19FBD"/>
    <w:rsid w:val="5CE2F4B1"/>
    <w:rsid w:val="5D677522"/>
    <w:rsid w:val="5DACA314"/>
    <w:rsid w:val="5ED8BD77"/>
    <w:rsid w:val="6062AA22"/>
    <w:rsid w:val="611636CF"/>
    <w:rsid w:val="61569C41"/>
    <w:rsid w:val="618283B8"/>
    <w:rsid w:val="62301980"/>
    <w:rsid w:val="62884990"/>
    <w:rsid w:val="629CA4F4"/>
    <w:rsid w:val="6337B8E4"/>
    <w:rsid w:val="640B33D6"/>
    <w:rsid w:val="64BA5F44"/>
    <w:rsid w:val="656CA5B6"/>
    <w:rsid w:val="65A07DED"/>
    <w:rsid w:val="65B47DCA"/>
    <w:rsid w:val="66ABDA31"/>
    <w:rsid w:val="67DF6C37"/>
    <w:rsid w:val="6807D2F9"/>
    <w:rsid w:val="6994CFDB"/>
    <w:rsid w:val="6B606702"/>
    <w:rsid w:val="6BB7A284"/>
    <w:rsid w:val="6BE182D2"/>
    <w:rsid w:val="6C3AD1CC"/>
    <w:rsid w:val="6CA92904"/>
    <w:rsid w:val="6D89AD51"/>
    <w:rsid w:val="6DAE7C16"/>
    <w:rsid w:val="6DC63715"/>
    <w:rsid w:val="6DCBB9FC"/>
    <w:rsid w:val="6E1CE4B2"/>
    <w:rsid w:val="6E47DE63"/>
    <w:rsid w:val="6F1A56DA"/>
    <w:rsid w:val="702776C3"/>
    <w:rsid w:val="707B166E"/>
    <w:rsid w:val="707C6CB2"/>
    <w:rsid w:val="712FEAC1"/>
    <w:rsid w:val="716DDE10"/>
    <w:rsid w:val="719617CC"/>
    <w:rsid w:val="71BDE3B8"/>
    <w:rsid w:val="727CFFA3"/>
    <w:rsid w:val="72F11439"/>
    <w:rsid w:val="7301A917"/>
    <w:rsid w:val="731A5717"/>
    <w:rsid w:val="7404953D"/>
    <w:rsid w:val="7496FBCA"/>
    <w:rsid w:val="74B15B92"/>
    <w:rsid w:val="74D0D710"/>
    <w:rsid w:val="75B7BBEB"/>
    <w:rsid w:val="75FCFCAF"/>
    <w:rsid w:val="77E96E6C"/>
    <w:rsid w:val="781DE462"/>
    <w:rsid w:val="7831AC73"/>
    <w:rsid w:val="793A310F"/>
    <w:rsid w:val="796EF777"/>
    <w:rsid w:val="7BC2D09E"/>
    <w:rsid w:val="7BDC49DC"/>
    <w:rsid w:val="7D5D97EA"/>
    <w:rsid w:val="7F50670F"/>
    <w:rsid w:val="7F9056B4"/>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3548"/>
  <w15:docId w15:val="{8F35E60C-C8A7-4630-91FF-505B5ACF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9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D45D98"/>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45D98"/>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2">
    <w:name w:val="Unresolved Mention2"/>
    <w:basedOn w:val="DefaultParagraphFont"/>
    <w:uiPriority w:val="99"/>
    <w:semiHidden/>
    <w:unhideWhenUsed/>
    <w:rsid w:val="00145E5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ListParagraph">
    <w:name w:val="List Paragraph"/>
    <w:basedOn w:val="Normal"/>
    <w:uiPriority w:val="34"/>
    <w:qFormat/>
    <w:rsid w:val="00E403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 w:id="1877232379">
      <w:bodyDiv w:val="1"/>
      <w:marLeft w:val="0"/>
      <w:marRight w:val="0"/>
      <w:marTop w:val="0"/>
      <w:marBottom w:val="0"/>
      <w:divBdr>
        <w:top w:val="none" w:sz="0" w:space="0" w:color="auto"/>
        <w:left w:val="none" w:sz="0" w:space="0" w:color="auto"/>
        <w:bottom w:val="none" w:sz="0" w:space="0" w:color="auto"/>
        <w:right w:val="none" w:sz="0" w:space="0" w:color="auto"/>
      </w:divBdr>
    </w:div>
    <w:div w:id="188024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326CE0-C4BE-4DEE-8D05-FDCEACFCE2B8}">
  <ds:schemaRefs>
    <ds:schemaRef ds:uri="http://schemas.microsoft.com/sharepoint/v3/contenttype/forms"/>
  </ds:schemaRefs>
</ds:datastoreItem>
</file>

<file path=customXml/itemProps2.xml><?xml version="1.0" encoding="utf-8"?>
<ds:datastoreItem xmlns:ds="http://schemas.openxmlformats.org/officeDocument/2006/customXml" ds:itemID="{ABBA7519-1B86-47A5-B596-2B4A29286CFE}">
  <ds:schemaRefs>
    <ds:schemaRef ds:uri="http://schemas.openxmlformats.org/officeDocument/2006/bibliography"/>
  </ds:schemaRefs>
</ds:datastoreItem>
</file>

<file path=customXml/itemProps3.xml><?xml version="1.0" encoding="utf-8"?>
<ds:datastoreItem xmlns:ds="http://schemas.openxmlformats.org/officeDocument/2006/customXml" ds:itemID="{51D67EE1-900F-44C3-A7E5-AE61789E0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BAC89F-708B-4A9F-9FCA-0CA6651CB3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5241</Words>
  <Characters>2988</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8213</CharactersWithSpaces>
  <SharedDoc>false</SharedDoc>
  <HLinks>
    <vt:vector size="6" baseType="variant">
      <vt:variant>
        <vt:i4>7602256</vt:i4>
      </vt:variant>
      <vt:variant>
        <vt:i4>6</vt:i4>
      </vt:variant>
      <vt:variant>
        <vt:i4>0</vt:i4>
      </vt:variant>
      <vt:variant>
        <vt:i4>5</vt:i4>
      </vt:variant>
      <vt:variant>
        <vt:lpwstr>http://ec.europa.eu/regional_policy/sources/docoffic/2014/working/wd_2014_en.pdf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Alise Eglīte</dc:creator>
  <cp:keywords/>
  <cp:lastModifiedBy>Finanšu ministrija</cp:lastModifiedBy>
  <cp:revision>12</cp:revision>
  <cp:lastPrinted>2019-12-06T18:51:00Z</cp:lastPrinted>
  <dcterms:created xsi:type="dcterms:W3CDTF">2022-04-06T13:35:00Z</dcterms:created>
  <dcterms:modified xsi:type="dcterms:W3CDTF">2022-06-09T07:50:00Z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