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87B46D" w14:textId="6566CC46" w:rsidR="00902519" w:rsidRPr="00EE26CD" w:rsidRDefault="00902519" w:rsidP="00902519">
      <w:pPr>
        <w:keepNext/>
        <w:spacing w:line="240" w:lineRule="auto"/>
        <w:jc w:val="center"/>
        <w:rPr>
          <w:rFonts w:ascii="Times New Roman" w:eastAsiaTheme="minorHAnsi" w:hAnsi="Times New Roman"/>
          <w:b/>
          <w:bCs/>
          <w:sz w:val="18"/>
          <w:szCs w:val="18"/>
        </w:rPr>
      </w:pPr>
      <w:r w:rsidRPr="00EE26CD">
        <w:rPr>
          <w:rFonts w:ascii="Times New Roman" w:eastAsiaTheme="minorHAnsi" w:hAnsi="Times New Roman"/>
          <w:b/>
          <w:bCs/>
          <w:sz w:val="18"/>
          <w:szCs w:val="18"/>
        </w:rPr>
        <w:t xml:space="preserve">Tabula </w:t>
      </w:r>
      <w:r w:rsidRPr="00EE26CD">
        <w:rPr>
          <w:rFonts w:ascii="Times New Roman" w:eastAsiaTheme="minorHAnsi" w:hAnsi="Times New Roman"/>
          <w:b/>
          <w:bCs/>
          <w:sz w:val="18"/>
          <w:szCs w:val="18"/>
        </w:rPr>
        <w:fldChar w:fldCharType="begin"/>
      </w:r>
      <w:r w:rsidRPr="00EE26CD">
        <w:rPr>
          <w:rFonts w:ascii="Times New Roman" w:eastAsiaTheme="minorHAnsi" w:hAnsi="Times New Roman"/>
          <w:b/>
          <w:bCs/>
          <w:sz w:val="18"/>
          <w:szCs w:val="18"/>
        </w:rPr>
        <w:instrText xml:space="preserve"> SEQ Tabula \* ARABIC </w:instrText>
      </w:r>
      <w:r w:rsidRPr="00EE26CD">
        <w:rPr>
          <w:rFonts w:ascii="Times New Roman" w:eastAsiaTheme="minorHAnsi" w:hAnsi="Times New Roman"/>
          <w:b/>
          <w:bCs/>
          <w:sz w:val="18"/>
          <w:szCs w:val="18"/>
        </w:rPr>
        <w:fldChar w:fldCharType="separate"/>
      </w:r>
      <w:r w:rsidR="00EA448F">
        <w:rPr>
          <w:rFonts w:ascii="Times New Roman" w:eastAsiaTheme="minorHAnsi" w:hAnsi="Times New Roman"/>
          <w:b/>
          <w:bCs/>
          <w:noProof/>
          <w:sz w:val="18"/>
          <w:szCs w:val="18"/>
        </w:rPr>
        <w:t>1</w:t>
      </w:r>
      <w:r w:rsidRPr="00EE26CD">
        <w:rPr>
          <w:rFonts w:ascii="Times New Roman" w:eastAsiaTheme="minorHAnsi" w:hAnsi="Times New Roman"/>
          <w:b/>
          <w:bCs/>
          <w:sz w:val="18"/>
          <w:szCs w:val="18"/>
        </w:rPr>
        <w:fldChar w:fldCharType="end"/>
      </w:r>
      <w:r w:rsidRPr="00EE26CD">
        <w:rPr>
          <w:rFonts w:ascii="Times New Roman" w:eastAsiaTheme="minorHAnsi" w:hAnsi="Times New Roman"/>
          <w:b/>
          <w:bCs/>
          <w:sz w:val="18"/>
          <w:szCs w:val="18"/>
        </w:rPr>
        <w:t xml:space="preserve"> Rādītāju pase investīciju prioritātes specifiskajiem mērķiem</w:t>
      </w:r>
    </w:p>
    <w:tbl>
      <w:tblPr>
        <w:tblStyle w:val="TableGrid1"/>
        <w:tblW w:w="0" w:type="auto"/>
        <w:tblInd w:w="-459" w:type="dxa"/>
        <w:tblLayout w:type="fixed"/>
        <w:tblLook w:val="04A0" w:firstRow="1" w:lastRow="0" w:firstColumn="1" w:lastColumn="0" w:noHBand="0" w:noVBand="1"/>
      </w:tblPr>
      <w:tblGrid>
        <w:gridCol w:w="1242"/>
        <w:gridCol w:w="1242"/>
        <w:gridCol w:w="1593"/>
        <w:gridCol w:w="3578"/>
        <w:gridCol w:w="4819"/>
        <w:gridCol w:w="2612"/>
      </w:tblGrid>
      <w:tr w:rsidR="00902519" w:rsidRPr="00EE26CD" w14:paraId="0FA75E46" w14:textId="77777777" w:rsidTr="00F7053C">
        <w:tc>
          <w:tcPr>
            <w:tcW w:w="1242" w:type="dxa"/>
          </w:tcPr>
          <w:p w14:paraId="40218BA5" w14:textId="77777777" w:rsidR="00902519" w:rsidRPr="00EE26CD" w:rsidRDefault="00902519" w:rsidP="00BB1F58">
            <w:pPr>
              <w:spacing w:after="0" w:line="240" w:lineRule="auto"/>
              <w:jc w:val="center"/>
              <w:rPr>
                <w:rFonts w:ascii="Times New Roman" w:eastAsiaTheme="minorHAnsi" w:hAnsi="Times New Roman"/>
                <w:b/>
                <w:sz w:val="18"/>
                <w:szCs w:val="18"/>
              </w:rPr>
            </w:pPr>
            <w:r w:rsidRPr="00EE26CD">
              <w:rPr>
                <w:rFonts w:ascii="Times New Roman" w:eastAsiaTheme="minorHAnsi" w:hAnsi="Times New Roman"/>
                <w:b/>
                <w:sz w:val="18"/>
                <w:szCs w:val="18"/>
              </w:rPr>
              <w:t>Prioritārais virziens</w:t>
            </w:r>
          </w:p>
        </w:tc>
        <w:tc>
          <w:tcPr>
            <w:tcW w:w="1242" w:type="dxa"/>
          </w:tcPr>
          <w:p w14:paraId="61F70ECF" w14:textId="77777777" w:rsidR="00902519" w:rsidRPr="00EE26CD" w:rsidRDefault="00902519" w:rsidP="00BB1F58">
            <w:pPr>
              <w:spacing w:after="0" w:line="240" w:lineRule="auto"/>
              <w:jc w:val="center"/>
              <w:rPr>
                <w:rFonts w:ascii="Times New Roman" w:eastAsiaTheme="minorHAnsi" w:hAnsi="Times New Roman"/>
                <w:b/>
                <w:sz w:val="18"/>
                <w:szCs w:val="18"/>
              </w:rPr>
            </w:pPr>
            <w:r w:rsidRPr="00EE26CD">
              <w:rPr>
                <w:rFonts w:ascii="Times New Roman" w:eastAsiaTheme="minorHAnsi" w:hAnsi="Times New Roman"/>
                <w:b/>
                <w:sz w:val="18"/>
                <w:szCs w:val="18"/>
              </w:rPr>
              <w:t>Investīciju prioritātes nosaukums</w:t>
            </w:r>
          </w:p>
        </w:tc>
        <w:tc>
          <w:tcPr>
            <w:tcW w:w="1593" w:type="dxa"/>
          </w:tcPr>
          <w:p w14:paraId="5DFFFB2E" w14:textId="77777777" w:rsidR="00902519" w:rsidRPr="00EE26CD" w:rsidRDefault="00902519" w:rsidP="00BB1F58">
            <w:pPr>
              <w:spacing w:after="0" w:line="240" w:lineRule="auto"/>
              <w:jc w:val="center"/>
              <w:rPr>
                <w:rFonts w:ascii="Times New Roman" w:eastAsiaTheme="minorHAnsi" w:hAnsi="Times New Roman"/>
                <w:b/>
                <w:sz w:val="18"/>
                <w:szCs w:val="18"/>
              </w:rPr>
            </w:pPr>
            <w:r w:rsidRPr="00EE26CD">
              <w:rPr>
                <w:rFonts w:ascii="Times New Roman" w:eastAsiaTheme="minorHAnsi" w:hAnsi="Times New Roman"/>
                <w:b/>
                <w:sz w:val="18"/>
                <w:szCs w:val="18"/>
              </w:rPr>
              <w:t>Specifiskie atbalsta mērķi (SAM)</w:t>
            </w:r>
          </w:p>
        </w:tc>
        <w:tc>
          <w:tcPr>
            <w:tcW w:w="3578" w:type="dxa"/>
          </w:tcPr>
          <w:p w14:paraId="405407B3" w14:textId="77777777" w:rsidR="00902519" w:rsidRPr="00EE26CD" w:rsidRDefault="00902519" w:rsidP="00BB1F58">
            <w:pPr>
              <w:spacing w:after="0" w:line="240" w:lineRule="auto"/>
              <w:jc w:val="center"/>
              <w:rPr>
                <w:rFonts w:ascii="Times New Roman" w:eastAsiaTheme="minorHAnsi" w:hAnsi="Times New Roman"/>
                <w:b/>
                <w:sz w:val="18"/>
                <w:szCs w:val="18"/>
              </w:rPr>
            </w:pPr>
            <w:r w:rsidRPr="00EE26CD">
              <w:rPr>
                <w:rFonts w:ascii="Times New Roman" w:eastAsiaTheme="minorHAnsi" w:hAnsi="Times New Roman"/>
                <w:b/>
                <w:sz w:val="18"/>
                <w:szCs w:val="18"/>
              </w:rPr>
              <w:t>Rezultāta rādītāji</w:t>
            </w:r>
          </w:p>
        </w:tc>
        <w:tc>
          <w:tcPr>
            <w:tcW w:w="4819" w:type="dxa"/>
          </w:tcPr>
          <w:p w14:paraId="72B83EC2" w14:textId="77777777" w:rsidR="00902519" w:rsidRPr="00EE26CD" w:rsidRDefault="00902519" w:rsidP="00BB1F58">
            <w:pPr>
              <w:spacing w:after="0" w:line="240" w:lineRule="auto"/>
              <w:jc w:val="center"/>
              <w:rPr>
                <w:rFonts w:ascii="Times New Roman" w:eastAsiaTheme="minorHAnsi" w:hAnsi="Times New Roman"/>
                <w:b/>
                <w:sz w:val="18"/>
                <w:szCs w:val="18"/>
              </w:rPr>
            </w:pPr>
            <w:bookmarkStart w:id="0" w:name="_Hlk511723464"/>
            <w:r w:rsidRPr="00EE26CD">
              <w:rPr>
                <w:rFonts w:ascii="Times New Roman" w:eastAsiaTheme="minorHAnsi" w:hAnsi="Times New Roman"/>
                <w:b/>
                <w:sz w:val="18"/>
                <w:szCs w:val="18"/>
              </w:rPr>
              <w:t>Iznākuma rādītāji (IR)</w:t>
            </w:r>
            <w:bookmarkEnd w:id="0"/>
          </w:p>
        </w:tc>
        <w:tc>
          <w:tcPr>
            <w:tcW w:w="2612" w:type="dxa"/>
          </w:tcPr>
          <w:p w14:paraId="214C856D" w14:textId="77777777" w:rsidR="00902519" w:rsidRPr="00EE26CD" w:rsidRDefault="00902519" w:rsidP="00BB1F58">
            <w:pPr>
              <w:spacing w:after="0" w:line="240" w:lineRule="auto"/>
              <w:jc w:val="center"/>
              <w:rPr>
                <w:rFonts w:ascii="Times New Roman" w:eastAsiaTheme="minorHAnsi" w:hAnsi="Times New Roman"/>
                <w:b/>
                <w:sz w:val="18"/>
                <w:szCs w:val="18"/>
              </w:rPr>
            </w:pPr>
            <w:r w:rsidRPr="00EE26CD">
              <w:rPr>
                <w:rFonts w:ascii="Times New Roman" w:eastAsiaTheme="minorHAnsi" w:hAnsi="Times New Roman"/>
                <w:b/>
                <w:sz w:val="18"/>
                <w:szCs w:val="18"/>
              </w:rPr>
              <w:t>Finanšu rādītāji</w:t>
            </w:r>
            <w:r w:rsidRPr="00EE26CD">
              <w:rPr>
                <w:rFonts w:ascii="Times New Roman" w:eastAsiaTheme="minorHAnsi" w:hAnsi="Times New Roman"/>
                <w:b/>
                <w:sz w:val="18"/>
                <w:szCs w:val="18"/>
                <w:vertAlign w:val="superscript"/>
              </w:rPr>
              <w:footnoteReference w:id="2"/>
            </w:r>
          </w:p>
        </w:tc>
      </w:tr>
      <w:tr w:rsidR="00902519" w:rsidRPr="00EE26CD" w14:paraId="2072317E" w14:textId="77777777" w:rsidTr="00AE61DA">
        <w:tc>
          <w:tcPr>
            <w:tcW w:w="1242" w:type="dxa"/>
          </w:tcPr>
          <w:p w14:paraId="22D85556" w14:textId="77777777" w:rsidR="00902519" w:rsidRPr="00EE26CD" w:rsidRDefault="00902519" w:rsidP="00AE61DA">
            <w:pPr>
              <w:spacing w:after="0" w:line="240" w:lineRule="auto"/>
              <w:jc w:val="both"/>
              <w:rPr>
                <w:rFonts w:ascii="Times New Roman" w:hAnsi="Times New Roman"/>
                <w:sz w:val="18"/>
                <w:szCs w:val="18"/>
              </w:rPr>
            </w:pPr>
            <w:r w:rsidRPr="00EE26CD">
              <w:rPr>
                <w:rFonts w:ascii="Times New Roman" w:hAnsi="Times New Roman"/>
                <w:sz w:val="18"/>
                <w:szCs w:val="18"/>
              </w:rPr>
              <w:t>6. Ilgtspējīga transporta sistēma</w:t>
            </w:r>
          </w:p>
        </w:tc>
        <w:tc>
          <w:tcPr>
            <w:tcW w:w="1242" w:type="dxa"/>
          </w:tcPr>
          <w:p w14:paraId="604E76AB" w14:textId="6F06243A" w:rsidR="00902519" w:rsidRPr="00EE26CD" w:rsidRDefault="00902519" w:rsidP="00AE61DA">
            <w:pPr>
              <w:spacing w:after="0" w:line="240" w:lineRule="auto"/>
              <w:jc w:val="both"/>
              <w:rPr>
                <w:rFonts w:ascii="Times New Roman" w:hAnsi="Times New Roman"/>
                <w:sz w:val="18"/>
                <w:szCs w:val="18"/>
              </w:rPr>
            </w:pPr>
            <w:r w:rsidRPr="00EE26CD">
              <w:rPr>
                <w:rFonts w:ascii="Times New Roman" w:hAnsi="Times New Roman"/>
                <w:sz w:val="18"/>
                <w:szCs w:val="18"/>
              </w:rPr>
              <w:t xml:space="preserve">6.1.ieguldījumu prioritāte: </w:t>
            </w:r>
            <w:r w:rsidR="006F67C9" w:rsidRPr="00EE26CD">
              <w:rPr>
                <w:rFonts w:ascii="Times New Roman" w:hAnsi="Times New Roman"/>
                <w:sz w:val="18"/>
                <w:szCs w:val="18"/>
              </w:rPr>
              <w:t>atbalstīt multimodālu Eiropas vienoto transporta telpu, investējot TEN-T (KF)</w:t>
            </w:r>
          </w:p>
        </w:tc>
        <w:tc>
          <w:tcPr>
            <w:tcW w:w="1593" w:type="dxa"/>
          </w:tcPr>
          <w:p w14:paraId="6B136432" w14:textId="43B948EC" w:rsidR="00902519" w:rsidRDefault="00902519" w:rsidP="00AE61DA">
            <w:pPr>
              <w:spacing w:after="0" w:line="240" w:lineRule="auto"/>
              <w:jc w:val="both"/>
              <w:rPr>
                <w:rFonts w:ascii="Times New Roman" w:eastAsiaTheme="minorHAnsi" w:hAnsi="Times New Roman"/>
                <w:sz w:val="18"/>
                <w:szCs w:val="18"/>
              </w:rPr>
            </w:pPr>
            <w:bookmarkStart w:id="1" w:name="_Hlk511723436"/>
            <w:r w:rsidRPr="00EE26CD">
              <w:rPr>
                <w:rFonts w:ascii="Times New Roman" w:eastAsiaTheme="minorHAnsi" w:hAnsi="Times New Roman"/>
                <w:sz w:val="18"/>
                <w:szCs w:val="18"/>
              </w:rPr>
              <w:t>6.1.4.specifiskais atbalsta mērķis: Pilsētu infrastruktūras sasaiste ar TEN-T tīklu</w:t>
            </w:r>
          </w:p>
          <w:bookmarkEnd w:id="1"/>
          <w:p w14:paraId="362F4E7E" w14:textId="77777777" w:rsidR="000E4B63" w:rsidRDefault="000E4B63" w:rsidP="00AE61DA">
            <w:pPr>
              <w:spacing w:after="0" w:line="240" w:lineRule="auto"/>
              <w:jc w:val="both"/>
              <w:rPr>
                <w:rFonts w:ascii="Times New Roman" w:eastAsiaTheme="minorHAnsi" w:hAnsi="Times New Roman"/>
                <w:sz w:val="18"/>
                <w:szCs w:val="18"/>
              </w:rPr>
            </w:pPr>
          </w:p>
          <w:p w14:paraId="61F7C8D9" w14:textId="7C6F2CA0" w:rsidR="00A15592" w:rsidRDefault="00A15592" w:rsidP="00A15592">
            <w:pPr>
              <w:spacing w:after="0" w:line="240" w:lineRule="auto"/>
              <w:jc w:val="both"/>
              <w:rPr>
                <w:rFonts w:ascii="Times New Roman" w:eastAsiaTheme="minorHAnsi" w:hAnsi="Times New Roman"/>
                <w:sz w:val="18"/>
                <w:szCs w:val="18"/>
              </w:rPr>
            </w:pPr>
            <w:r>
              <w:rPr>
                <w:rFonts w:ascii="Times New Roman" w:eastAsiaTheme="minorHAnsi" w:hAnsi="Times New Roman" w:cstheme="minorBidi"/>
                <w:sz w:val="16"/>
                <w:szCs w:val="16"/>
              </w:rPr>
              <w:t>6.1.4.2.pasākums “Nacionālas nozīmes attīstības centru integrēšana TEN-T tīklā”</w:t>
            </w:r>
          </w:p>
          <w:p w14:paraId="3D2B6154" w14:textId="77777777" w:rsidR="00A15592" w:rsidRPr="00EE26CD" w:rsidRDefault="00A15592" w:rsidP="00AE61DA">
            <w:pPr>
              <w:spacing w:after="0" w:line="240" w:lineRule="auto"/>
              <w:jc w:val="both"/>
              <w:rPr>
                <w:rFonts w:ascii="Times New Roman" w:eastAsiaTheme="minorHAnsi" w:hAnsi="Times New Roman"/>
                <w:sz w:val="18"/>
                <w:szCs w:val="18"/>
              </w:rPr>
            </w:pPr>
          </w:p>
        </w:tc>
        <w:tc>
          <w:tcPr>
            <w:tcW w:w="3578" w:type="dxa"/>
          </w:tcPr>
          <w:p w14:paraId="444199E0" w14:textId="0BE60B5A" w:rsidR="00902519"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t>Nosaukums un mērvienība</w:t>
            </w:r>
            <w:r w:rsidRPr="00A633BD">
              <w:rPr>
                <w:rFonts w:ascii="Times New Roman" w:eastAsiaTheme="minorHAnsi" w:hAnsi="Times New Roman"/>
                <w:i/>
                <w:sz w:val="18"/>
                <w:szCs w:val="18"/>
              </w:rPr>
              <w:t xml:space="preserve">: </w:t>
            </w:r>
            <w:r w:rsidR="006F67C9" w:rsidRPr="00A633BD">
              <w:rPr>
                <w:rFonts w:ascii="Times New Roman" w:eastAsiaTheme="minorHAnsi" w:hAnsi="Times New Roman"/>
                <w:sz w:val="18"/>
                <w:szCs w:val="18"/>
              </w:rPr>
              <w:t>r.6.1.4.a</w:t>
            </w:r>
            <w:r w:rsidR="00031889" w:rsidRPr="00EE26CD">
              <w:rPr>
                <w:rFonts w:ascii="Times New Roman" w:eastAsiaTheme="minorHAnsi" w:hAnsi="Times New Roman"/>
                <w:b/>
                <w:sz w:val="18"/>
                <w:szCs w:val="18"/>
              </w:rPr>
              <w:t xml:space="preserve"> </w:t>
            </w:r>
            <w:r w:rsidRPr="00EE26CD">
              <w:rPr>
                <w:rFonts w:ascii="Times New Roman" w:eastAsiaTheme="minorHAnsi" w:hAnsi="Times New Roman"/>
                <w:b/>
                <w:sz w:val="18"/>
                <w:szCs w:val="18"/>
              </w:rPr>
              <w:t>Lielo pilsētu skaits, kur izveidoti alternatīvi maršruti TEN-T tīkla tranzīta un kravu transportam</w:t>
            </w:r>
            <w:r w:rsidR="004D76AC">
              <w:rPr>
                <w:rFonts w:ascii="Times New Roman" w:eastAsiaTheme="minorHAnsi" w:hAnsi="Times New Roman"/>
                <w:b/>
                <w:sz w:val="18"/>
                <w:szCs w:val="18"/>
              </w:rPr>
              <w:t xml:space="preserve"> (</w:t>
            </w:r>
            <w:r w:rsidR="0000465A">
              <w:rPr>
                <w:rFonts w:ascii="Times New Roman" w:eastAsiaTheme="minorHAnsi" w:hAnsi="Times New Roman"/>
                <w:b/>
                <w:sz w:val="18"/>
                <w:szCs w:val="18"/>
              </w:rPr>
              <w:t>pilsētas</w:t>
            </w:r>
            <w:r w:rsidR="004D76AC">
              <w:rPr>
                <w:rFonts w:ascii="Times New Roman" w:eastAsiaTheme="minorHAnsi" w:hAnsi="Times New Roman"/>
                <w:b/>
                <w:sz w:val="18"/>
                <w:szCs w:val="18"/>
              </w:rPr>
              <w:t>)</w:t>
            </w:r>
          </w:p>
          <w:p w14:paraId="23B8EF5B"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08C34CC1" w14:textId="11C46FA2" w:rsidR="00902519"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t xml:space="preserve">Definīcija: </w:t>
            </w:r>
            <w:r w:rsidR="00001DA6" w:rsidRPr="00EE26CD">
              <w:rPr>
                <w:rFonts w:ascii="Times New Roman" w:eastAsiaTheme="minorHAnsi" w:hAnsi="Times New Roman"/>
                <w:sz w:val="18"/>
                <w:szCs w:val="18"/>
              </w:rPr>
              <w:t>Nacionālās nozīmes attīstības centr</w:t>
            </w:r>
            <w:r w:rsidR="008952FD" w:rsidRPr="00EE26CD">
              <w:rPr>
                <w:rFonts w:ascii="Times New Roman" w:eastAsiaTheme="minorHAnsi" w:hAnsi="Times New Roman"/>
                <w:sz w:val="18"/>
                <w:szCs w:val="18"/>
              </w:rPr>
              <w:t>i</w:t>
            </w:r>
            <w:r w:rsidR="00001DA6" w:rsidRPr="00EE26CD">
              <w:rPr>
                <w:rFonts w:ascii="Times New Roman" w:eastAsiaTheme="minorHAnsi" w:hAnsi="Times New Roman"/>
                <w:sz w:val="18"/>
                <w:szCs w:val="18"/>
              </w:rPr>
              <w:t>,</w:t>
            </w:r>
            <w:r w:rsidR="00001DA6" w:rsidRPr="00EE26CD">
              <w:rPr>
                <w:rFonts w:ascii="Times New Roman" w:eastAsiaTheme="minorHAnsi" w:hAnsi="Times New Roman"/>
                <w:i/>
                <w:sz w:val="18"/>
                <w:szCs w:val="18"/>
              </w:rPr>
              <w:t xml:space="preserve"> </w:t>
            </w:r>
            <w:r w:rsidR="00001DA6" w:rsidRPr="00EE26CD">
              <w:rPr>
                <w:rFonts w:ascii="Times New Roman" w:eastAsiaTheme="minorHAnsi" w:hAnsi="Times New Roman"/>
                <w:sz w:val="18"/>
                <w:szCs w:val="18"/>
              </w:rPr>
              <w:t>kas ietver Eiropas transporta tīkla transporta infrastruktūru, piemēram, ostas, tostarp pasažieru termināļus, lidostas, dzelzceļa stacijas, loģistikas platformas un kravas termināļus, kuri atrodas pilsētas teritorijā un tās tuvumā,</w:t>
            </w:r>
            <w:r w:rsidR="00D5459F" w:rsidRPr="00EE26CD">
              <w:rPr>
                <w:rFonts w:ascii="Times New Roman" w:eastAsiaTheme="minorHAnsi" w:hAnsi="Times New Roman"/>
                <w:sz w:val="18"/>
                <w:szCs w:val="18"/>
              </w:rPr>
              <w:t xml:space="preserve"> kā ari pilsētas teritoriju šķērso</w:t>
            </w:r>
            <w:r w:rsidR="00146007" w:rsidRPr="00EE26CD">
              <w:rPr>
                <w:rFonts w:ascii="Times New Roman" w:hAnsi="Times New Roman"/>
                <w:sz w:val="18"/>
                <w:szCs w:val="18"/>
              </w:rPr>
              <w:t xml:space="preserve"> </w:t>
            </w:r>
            <w:r w:rsidR="00146007" w:rsidRPr="00EE26CD">
              <w:rPr>
                <w:rFonts w:ascii="Times New Roman" w:eastAsiaTheme="minorHAnsi" w:hAnsi="Times New Roman"/>
                <w:sz w:val="18"/>
                <w:szCs w:val="18"/>
              </w:rPr>
              <w:t>Eiropas transporta</w:t>
            </w:r>
            <w:r w:rsidR="00D5459F" w:rsidRPr="00EE26CD">
              <w:rPr>
                <w:rFonts w:ascii="Times New Roman" w:eastAsiaTheme="minorHAnsi" w:hAnsi="Times New Roman"/>
                <w:sz w:val="18"/>
                <w:szCs w:val="18"/>
              </w:rPr>
              <w:t xml:space="preserve"> </w:t>
            </w:r>
            <w:r w:rsidR="00146007" w:rsidRPr="00EE26CD">
              <w:rPr>
                <w:rFonts w:ascii="Times New Roman" w:eastAsiaTheme="minorHAnsi" w:hAnsi="Times New Roman"/>
                <w:sz w:val="18"/>
                <w:szCs w:val="18"/>
              </w:rPr>
              <w:t>tīklā ceļš, vai ir</w:t>
            </w:r>
            <w:r w:rsidR="00001DA6" w:rsidRPr="00EE26CD">
              <w:rPr>
                <w:rFonts w:ascii="Times New Roman" w:eastAsiaTheme="minorHAnsi" w:hAnsi="Times New Roman"/>
                <w:sz w:val="18"/>
                <w:szCs w:val="18"/>
              </w:rPr>
              <w:t xml:space="preserve"> savienota ar citām šādas infrastruktūras daļām un ar reģionālās un vietējās satiksmes infrastruktūru</w:t>
            </w:r>
            <w:r w:rsidR="008952FD" w:rsidRPr="00EE26CD">
              <w:rPr>
                <w:rFonts w:ascii="Times New Roman" w:eastAsiaTheme="minorHAnsi" w:hAnsi="Times New Roman"/>
                <w:sz w:val="18"/>
                <w:szCs w:val="18"/>
              </w:rPr>
              <w:t>, un kuros īstenoti projekti SAM ietvaros.</w:t>
            </w:r>
          </w:p>
          <w:p w14:paraId="476441A8"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6C37B70D" w14:textId="77777777" w:rsidR="00902519" w:rsidRPr="00EE26CD" w:rsidRDefault="00902519" w:rsidP="00AE61DA">
            <w:pPr>
              <w:spacing w:after="0" w:line="240" w:lineRule="auto"/>
              <w:jc w:val="both"/>
              <w:rPr>
                <w:rFonts w:ascii="Times New Roman" w:eastAsiaTheme="minorHAnsi" w:hAnsi="Times New Roman"/>
                <w:i/>
                <w:sz w:val="18"/>
                <w:szCs w:val="18"/>
              </w:rPr>
            </w:pPr>
            <w:r w:rsidRPr="00EE26CD">
              <w:rPr>
                <w:rFonts w:ascii="Times New Roman" w:eastAsiaTheme="minorHAnsi" w:hAnsi="Times New Roman"/>
                <w:i/>
                <w:sz w:val="18"/>
                <w:szCs w:val="18"/>
              </w:rPr>
              <w:t>Bāzes vērtība un tās noteikšanas gads:</w:t>
            </w:r>
          </w:p>
          <w:p w14:paraId="30765294" w14:textId="620FFD8E" w:rsidR="00902519" w:rsidRPr="00EE26CD" w:rsidRDefault="00073931"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sz w:val="18"/>
                <w:szCs w:val="18"/>
              </w:rPr>
              <w:t>2012 - 1</w:t>
            </w:r>
            <w:r w:rsidR="00684CF0" w:rsidRPr="00EE26CD">
              <w:rPr>
                <w:rFonts w:ascii="Times New Roman" w:eastAsiaTheme="minorHAnsi" w:hAnsi="Times New Roman"/>
                <w:sz w:val="18"/>
                <w:szCs w:val="18"/>
              </w:rPr>
              <w:t xml:space="preserve"> (Eiropas Savienības struktūrfondu</w:t>
            </w:r>
            <w:r w:rsidR="008952FD" w:rsidRPr="00EE26CD">
              <w:rPr>
                <w:rFonts w:ascii="Times New Roman" w:eastAsiaTheme="minorHAnsi" w:hAnsi="Times New Roman"/>
                <w:sz w:val="18"/>
                <w:szCs w:val="18"/>
              </w:rPr>
              <w:t xml:space="preserve"> un Kohēzijas fondu</w:t>
            </w:r>
            <w:r w:rsidR="00684CF0" w:rsidRPr="00EE26CD">
              <w:rPr>
                <w:rFonts w:ascii="Times New Roman" w:eastAsiaTheme="minorHAnsi" w:hAnsi="Times New Roman"/>
                <w:sz w:val="18"/>
                <w:szCs w:val="18"/>
              </w:rPr>
              <w:t xml:space="preserve"> 2007. - 2013. gada plānošanas perioda 3.3.1.5. aktivitātes “Pilsētu infrastruktūras uzlabojumi sasaistei ar TEN-T” ietvaros īstenotais Daugavpils autotransporta mezgla projekts)</w:t>
            </w:r>
            <w:r w:rsidR="0000465A">
              <w:rPr>
                <w:rFonts w:ascii="Times New Roman" w:eastAsiaTheme="minorHAnsi" w:hAnsi="Times New Roman"/>
                <w:sz w:val="18"/>
                <w:szCs w:val="18"/>
              </w:rPr>
              <w:t>.</w:t>
            </w:r>
          </w:p>
          <w:p w14:paraId="464ABE20"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3C6C9A9B" w14:textId="62697D84" w:rsidR="00902519" w:rsidRPr="00EE26CD" w:rsidRDefault="00902519" w:rsidP="00AE61DA">
            <w:pPr>
              <w:spacing w:after="0" w:line="240" w:lineRule="auto"/>
              <w:jc w:val="both"/>
              <w:rPr>
                <w:rFonts w:ascii="Times New Roman" w:eastAsiaTheme="minorHAnsi" w:hAnsi="Times New Roman"/>
                <w:i/>
                <w:sz w:val="18"/>
                <w:szCs w:val="18"/>
              </w:rPr>
            </w:pPr>
            <w:r w:rsidRPr="00EE26CD">
              <w:rPr>
                <w:rFonts w:ascii="Times New Roman" w:eastAsiaTheme="minorHAnsi" w:hAnsi="Times New Roman"/>
                <w:i/>
                <w:sz w:val="18"/>
                <w:szCs w:val="18"/>
              </w:rPr>
              <w:t xml:space="preserve">Datu avots:  </w:t>
            </w:r>
            <w:r w:rsidR="00743AF2" w:rsidRPr="001775F7">
              <w:rPr>
                <w:rFonts w:ascii="Times New Roman" w:eastAsiaTheme="minorHAnsi" w:hAnsi="Times New Roman"/>
                <w:sz w:val="18"/>
                <w:szCs w:val="18"/>
              </w:rPr>
              <w:t>Projektu dati</w:t>
            </w:r>
          </w:p>
          <w:p w14:paraId="2D740301" w14:textId="77777777" w:rsidR="00902519" w:rsidRPr="00EE26CD" w:rsidRDefault="00902519" w:rsidP="00AE61DA">
            <w:pPr>
              <w:spacing w:after="0" w:line="240" w:lineRule="auto"/>
              <w:jc w:val="both"/>
              <w:rPr>
                <w:rFonts w:ascii="Times New Roman" w:eastAsiaTheme="minorHAnsi" w:hAnsi="Times New Roman"/>
                <w:i/>
                <w:sz w:val="18"/>
                <w:szCs w:val="18"/>
              </w:rPr>
            </w:pPr>
            <w:r w:rsidRPr="00EE26CD">
              <w:rPr>
                <w:rFonts w:ascii="Times New Roman" w:eastAsiaTheme="minorHAnsi" w:hAnsi="Times New Roman"/>
                <w:i/>
                <w:sz w:val="18"/>
                <w:szCs w:val="18"/>
              </w:rPr>
              <w:t xml:space="preserve"> </w:t>
            </w:r>
          </w:p>
          <w:p w14:paraId="56A3F6E8" w14:textId="3B073161" w:rsidR="00902519"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t xml:space="preserve">Apkopošanas biežums un ieguves metodoloģija: </w:t>
            </w:r>
            <w:r w:rsidR="00D35D60">
              <w:rPr>
                <w:rFonts w:ascii="Times New Roman" w:eastAsiaTheme="minorHAnsi" w:hAnsi="Times New Roman"/>
                <w:sz w:val="18"/>
                <w:szCs w:val="18"/>
              </w:rPr>
              <w:t>Reizi gadā,</w:t>
            </w:r>
            <w:r w:rsidRPr="00EE26CD">
              <w:rPr>
                <w:rFonts w:ascii="Times New Roman" w:hAnsi="Times New Roman"/>
                <w:sz w:val="18"/>
                <w:szCs w:val="18"/>
              </w:rPr>
              <w:t xml:space="preserve"> </w:t>
            </w:r>
            <w:r w:rsidRPr="00EE26CD">
              <w:rPr>
                <w:rFonts w:ascii="Times New Roman" w:eastAsiaTheme="minorHAnsi" w:hAnsi="Times New Roman"/>
                <w:sz w:val="18"/>
                <w:szCs w:val="18"/>
              </w:rPr>
              <w:t>faktiskā vērtība</w:t>
            </w:r>
          </w:p>
          <w:p w14:paraId="6B440F4D" w14:textId="31E5D422" w:rsidR="00902519" w:rsidRDefault="00902519" w:rsidP="00AE61DA">
            <w:pPr>
              <w:spacing w:after="0" w:line="240" w:lineRule="auto"/>
              <w:jc w:val="both"/>
              <w:rPr>
                <w:rFonts w:ascii="Times New Roman" w:eastAsiaTheme="minorHAnsi" w:hAnsi="Times New Roman"/>
                <w:i/>
                <w:sz w:val="18"/>
                <w:szCs w:val="18"/>
              </w:rPr>
            </w:pPr>
          </w:p>
          <w:p w14:paraId="3659ADD0" w14:textId="77777777" w:rsidR="006B5F7A" w:rsidRDefault="006B5F7A" w:rsidP="006B5F7A">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5907F7C3" w14:textId="1C5EA8B5" w:rsidR="006B5F7A" w:rsidRDefault="006B5F7A" w:rsidP="00AE61DA">
            <w:pPr>
              <w:spacing w:after="0" w:line="240" w:lineRule="auto"/>
              <w:jc w:val="both"/>
              <w:rPr>
                <w:rFonts w:ascii="Times New Roman" w:eastAsiaTheme="minorHAnsi" w:hAnsi="Times New Roman"/>
                <w:sz w:val="18"/>
                <w:szCs w:val="18"/>
              </w:rPr>
            </w:pPr>
            <w:r w:rsidRPr="006B5F7A">
              <w:rPr>
                <w:rFonts w:ascii="Times New Roman" w:eastAsiaTheme="minorHAnsi" w:hAnsi="Times New Roman"/>
                <w:sz w:val="18"/>
                <w:szCs w:val="18"/>
              </w:rPr>
              <w:t>Pabeigts projekts</w:t>
            </w:r>
            <w:r>
              <w:rPr>
                <w:rFonts w:ascii="Times New Roman" w:eastAsiaTheme="minorHAnsi" w:hAnsi="Times New Roman"/>
                <w:sz w:val="18"/>
                <w:szCs w:val="18"/>
              </w:rPr>
              <w:t>.</w:t>
            </w:r>
          </w:p>
          <w:p w14:paraId="557FA15F" w14:textId="77777777" w:rsidR="006B5F7A" w:rsidRPr="00EE26CD" w:rsidRDefault="006B5F7A" w:rsidP="00AE61DA">
            <w:pPr>
              <w:spacing w:after="0" w:line="240" w:lineRule="auto"/>
              <w:jc w:val="both"/>
              <w:rPr>
                <w:rFonts w:ascii="Times New Roman" w:eastAsiaTheme="minorHAnsi" w:hAnsi="Times New Roman"/>
                <w:i/>
                <w:sz w:val="18"/>
                <w:szCs w:val="18"/>
              </w:rPr>
            </w:pPr>
          </w:p>
          <w:p w14:paraId="2D0BE1D4" w14:textId="77777777" w:rsidR="00902519" w:rsidRPr="00EE26CD" w:rsidRDefault="00902519" w:rsidP="00AE61DA">
            <w:pPr>
              <w:spacing w:after="0" w:line="240" w:lineRule="auto"/>
              <w:jc w:val="both"/>
              <w:rPr>
                <w:rFonts w:ascii="Times New Roman" w:eastAsiaTheme="minorHAnsi" w:hAnsi="Times New Roman"/>
                <w:i/>
                <w:sz w:val="18"/>
                <w:szCs w:val="18"/>
              </w:rPr>
            </w:pPr>
            <w:r w:rsidRPr="00EE26CD">
              <w:rPr>
                <w:rFonts w:ascii="Times New Roman" w:eastAsiaTheme="minorHAnsi" w:hAnsi="Times New Roman"/>
                <w:i/>
                <w:sz w:val="18"/>
                <w:szCs w:val="18"/>
              </w:rPr>
              <w:lastRenderedPageBreak/>
              <w:t xml:space="preserve">Mērķis 2023: </w:t>
            </w:r>
            <w:r w:rsidRPr="00EE26CD">
              <w:rPr>
                <w:rFonts w:ascii="Times New Roman" w:eastAsiaTheme="minorHAnsi" w:hAnsi="Times New Roman"/>
                <w:sz w:val="18"/>
                <w:szCs w:val="18"/>
              </w:rPr>
              <w:t>4</w:t>
            </w:r>
          </w:p>
          <w:p w14:paraId="3BE34860"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195C53DC" w14:textId="09A66706" w:rsidR="00902519" w:rsidRPr="00EE26CD" w:rsidRDefault="00902519" w:rsidP="00AE61DA">
            <w:pPr>
              <w:spacing w:after="0" w:line="240" w:lineRule="auto"/>
              <w:jc w:val="both"/>
              <w:rPr>
                <w:rFonts w:ascii="Times New Roman" w:eastAsiaTheme="minorHAnsi" w:hAnsi="Times New Roman"/>
                <w:i/>
                <w:sz w:val="18"/>
                <w:szCs w:val="18"/>
              </w:rPr>
            </w:pPr>
            <w:r w:rsidRPr="00EE26CD">
              <w:rPr>
                <w:rFonts w:ascii="Times New Roman" w:eastAsiaTheme="minorHAnsi" w:hAnsi="Times New Roman"/>
                <w:i/>
                <w:sz w:val="18"/>
                <w:szCs w:val="18"/>
              </w:rPr>
              <w:t xml:space="preserve">Mērķa vērtības noteikšanas principi/metodoloģija: </w:t>
            </w:r>
            <w:r w:rsidR="00CA48D7" w:rsidRPr="00EE26CD">
              <w:rPr>
                <w:rFonts w:ascii="Times New Roman" w:eastAsiaTheme="minorHAnsi" w:hAnsi="Times New Roman"/>
                <w:sz w:val="18"/>
                <w:szCs w:val="18"/>
              </w:rPr>
              <w:t>Ņemot vērā SAM ietvaros plānoto ES fondu finansējumu Satiksmes ministrijas p</w:t>
            </w:r>
            <w:r w:rsidRPr="00EE26CD">
              <w:rPr>
                <w:rFonts w:ascii="Times New Roman" w:eastAsiaTheme="minorHAnsi" w:hAnsi="Times New Roman"/>
                <w:sz w:val="18"/>
                <w:szCs w:val="18"/>
              </w:rPr>
              <w:t xml:space="preserve">rognoze par potenciālu alternatīvu maršrutu izveidi TEN-T tīklā esošu nozīmīgu pilsētu, kā </w:t>
            </w:r>
            <w:proofErr w:type="spellStart"/>
            <w:r w:rsidRPr="00EE26CD">
              <w:rPr>
                <w:rFonts w:ascii="Times New Roman" w:eastAsiaTheme="minorHAnsi" w:hAnsi="Times New Roman"/>
                <w:sz w:val="18"/>
                <w:szCs w:val="18"/>
              </w:rPr>
              <w:t>tranzītmezgla</w:t>
            </w:r>
            <w:proofErr w:type="spellEnd"/>
            <w:r w:rsidRPr="00EE26CD">
              <w:rPr>
                <w:rFonts w:ascii="Times New Roman" w:eastAsiaTheme="minorHAnsi" w:hAnsi="Times New Roman"/>
                <w:sz w:val="18"/>
                <w:szCs w:val="18"/>
              </w:rPr>
              <w:t xml:space="preserve"> funkciju veicējas, turpmāku infrastruktūras  attīstību.</w:t>
            </w:r>
          </w:p>
        </w:tc>
        <w:tc>
          <w:tcPr>
            <w:tcW w:w="4819" w:type="dxa"/>
          </w:tcPr>
          <w:p w14:paraId="0609CF41" w14:textId="010A869A" w:rsidR="00902519" w:rsidRPr="00EE26CD" w:rsidRDefault="00902519" w:rsidP="00AE61DA">
            <w:pPr>
              <w:spacing w:after="0" w:line="240" w:lineRule="auto"/>
              <w:jc w:val="both"/>
              <w:rPr>
                <w:rFonts w:ascii="Times New Roman" w:eastAsiaTheme="minorHAnsi" w:hAnsi="Times New Roman"/>
                <w:b/>
                <w:sz w:val="18"/>
                <w:szCs w:val="18"/>
              </w:rPr>
            </w:pPr>
            <w:r w:rsidRPr="00EE26CD">
              <w:rPr>
                <w:rFonts w:ascii="Times New Roman" w:eastAsiaTheme="minorHAnsi" w:hAnsi="Times New Roman"/>
                <w:i/>
                <w:sz w:val="18"/>
                <w:szCs w:val="18"/>
              </w:rPr>
              <w:lastRenderedPageBreak/>
              <w:t>IR1 nosaukums un mērvienība:</w:t>
            </w:r>
            <w:r w:rsidR="006F67C9" w:rsidRPr="00EE26CD">
              <w:rPr>
                <w:rFonts w:ascii="Times New Roman" w:hAnsi="Times New Roman"/>
                <w:sz w:val="18"/>
                <w:szCs w:val="18"/>
              </w:rPr>
              <w:t xml:space="preserve"> </w:t>
            </w:r>
            <w:r w:rsidR="006F67C9" w:rsidRPr="00A633BD">
              <w:rPr>
                <w:rFonts w:ascii="Times New Roman" w:eastAsiaTheme="minorHAnsi" w:hAnsi="Times New Roman"/>
                <w:sz w:val="18"/>
                <w:szCs w:val="18"/>
              </w:rPr>
              <w:t>i.6.1.4.a</w:t>
            </w:r>
            <w:r w:rsidR="006F67C9" w:rsidRPr="00EE26CD">
              <w:rPr>
                <w:rFonts w:ascii="Times New Roman" w:eastAsiaTheme="minorHAnsi" w:hAnsi="Times New Roman"/>
                <w:b/>
                <w:sz w:val="18"/>
                <w:szCs w:val="18"/>
              </w:rPr>
              <w:t xml:space="preserve"> </w:t>
            </w:r>
            <w:r w:rsidRPr="00EE26CD">
              <w:rPr>
                <w:rFonts w:ascii="Times New Roman" w:eastAsiaTheme="minorHAnsi" w:hAnsi="Times New Roman"/>
                <w:b/>
                <w:sz w:val="18"/>
                <w:szCs w:val="18"/>
              </w:rPr>
              <w:t xml:space="preserve">Izbūvēto, rekonstruēto vai modernizēto </w:t>
            </w:r>
            <w:r w:rsidR="004D76AC">
              <w:rPr>
                <w:rFonts w:ascii="Times New Roman" w:eastAsiaTheme="minorHAnsi" w:hAnsi="Times New Roman"/>
                <w:b/>
                <w:sz w:val="18"/>
                <w:szCs w:val="18"/>
              </w:rPr>
              <w:t>alternatīvo kravas ceļu</w:t>
            </w:r>
            <w:r w:rsidRPr="00EE26CD">
              <w:rPr>
                <w:rFonts w:ascii="Times New Roman" w:eastAsiaTheme="minorHAnsi" w:hAnsi="Times New Roman"/>
                <w:b/>
                <w:sz w:val="18"/>
                <w:szCs w:val="18"/>
              </w:rPr>
              <w:t>, ielu un pārvadu kopējais garums sasaistei ar TEN-T</w:t>
            </w:r>
            <w:r w:rsidR="004D76AC">
              <w:rPr>
                <w:rFonts w:ascii="Times New Roman" w:eastAsiaTheme="minorHAnsi" w:hAnsi="Times New Roman"/>
                <w:b/>
                <w:sz w:val="18"/>
                <w:szCs w:val="18"/>
              </w:rPr>
              <w:t xml:space="preserve"> (</w:t>
            </w:r>
            <w:r w:rsidRPr="00EE26CD">
              <w:rPr>
                <w:rFonts w:ascii="Times New Roman" w:eastAsiaTheme="minorHAnsi" w:hAnsi="Times New Roman"/>
                <w:b/>
                <w:sz w:val="18"/>
                <w:szCs w:val="18"/>
              </w:rPr>
              <w:t>km</w:t>
            </w:r>
            <w:r w:rsidR="004D76AC">
              <w:rPr>
                <w:rFonts w:ascii="Times New Roman" w:eastAsiaTheme="minorHAnsi" w:hAnsi="Times New Roman"/>
                <w:b/>
                <w:sz w:val="18"/>
                <w:szCs w:val="18"/>
              </w:rPr>
              <w:t>)</w:t>
            </w:r>
          </w:p>
          <w:p w14:paraId="4160AA29"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346CAD8E" w14:textId="021F561B" w:rsidR="00902519"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t xml:space="preserve">Definīcija: </w:t>
            </w:r>
            <w:r w:rsidR="008952FD" w:rsidRPr="00EE26CD">
              <w:rPr>
                <w:rFonts w:ascii="Times New Roman" w:eastAsiaTheme="minorHAnsi" w:hAnsi="Times New Roman"/>
                <w:sz w:val="18"/>
                <w:szCs w:val="18"/>
              </w:rPr>
              <w:t>SAM ietvaros i</w:t>
            </w:r>
            <w:r w:rsidR="00684CF0" w:rsidRPr="00EE26CD">
              <w:rPr>
                <w:rFonts w:ascii="Times New Roman" w:eastAsiaTheme="minorHAnsi" w:hAnsi="Times New Roman"/>
                <w:sz w:val="18"/>
                <w:szCs w:val="18"/>
              </w:rPr>
              <w:t>zbūvēt</w:t>
            </w:r>
            <w:r w:rsidR="0090705E" w:rsidRPr="00EE26CD">
              <w:rPr>
                <w:rFonts w:ascii="Times New Roman" w:eastAsiaTheme="minorHAnsi" w:hAnsi="Times New Roman"/>
                <w:sz w:val="18"/>
                <w:szCs w:val="18"/>
              </w:rPr>
              <w:t>ie</w:t>
            </w:r>
            <w:r w:rsidR="00684CF0" w:rsidRPr="00EE26CD">
              <w:rPr>
                <w:rFonts w:ascii="Times New Roman" w:eastAsiaTheme="minorHAnsi" w:hAnsi="Times New Roman"/>
                <w:sz w:val="18"/>
                <w:szCs w:val="18"/>
              </w:rPr>
              <w:t>, rekonstruēt</w:t>
            </w:r>
            <w:r w:rsidR="0090705E" w:rsidRPr="00EE26CD">
              <w:rPr>
                <w:rFonts w:ascii="Times New Roman" w:eastAsiaTheme="minorHAnsi" w:hAnsi="Times New Roman"/>
                <w:sz w:val="18"/>
                <w:szCs w:val="18"/>
              </w:rPr>
              <w:t>ie</w:t>
            </w:r>
            <w:r w:rsidR="00684CF0" w:rsidRPr="00EE26CD">
              <w:rPr>
                <w:rFonts w:ascii="Times New Roman" w:eastAsiaTheme="minorHAnsi" w:hAnsi="Times New Roman"/>
                <w:sz w:val="18"/>
                <w:szCs w:val="18"/>
              </w:rPr>
              <w:t xml:space="preserve"> vai modernizēt</w:t>
            </w:r>
            <w:r w:rsidR="0090705E" w:rsidRPr="00EE26CD">
              <w:rPr>
                <w:rFonts w:ascii="Times New Roman" w:eastAsiaTheme="minorHAnsi" w:hAnsi="Times New Roman"/>
                <w:sz w:val="18"/>
                <w:szCs w:val="18"/>
              </w:rPr>
              <w:t>ie</w:t>
            </w:r>
            <w:r w:rsidR="00684CF0" w:rsidRPr="00EE26CD">
              <w:rPr>
                <w:rFonts w:ascii="Times New Roman" w:eastAsiaTheme="minorHAnsi" w:hAnsi="Times New Roman"/>
                <w:sz w:val="18"/>
                <w:szCs w:val="18"/>
              </w:rPr>
              <w:t xml:space="preserve"> ostu </w:t>
            </w:r>
            <w:proofErr w:type="spellStart"/>
            <w:r w:rsidR="00684CF0" w:rsidRPr="00EE26CD">
              <w:rPr>
                <w:rFonts w:ascii="Times New Roman" w:eastAsiaTheme="minorHAnsi" w:hAnsi="Times New Roman"/>
                <w:sz w:val="18"/>
                <w:szCs w:val="18"/>
              </w:rPr>
              <w:t>pievadceļ</w:t>
            </w:r>
            <w:r w:rsidR="0090705E" w:rsidRPr="00EE26CD">
              <w:rPr>
                <w:rFonts w:ascii="Times New Roman" w:eastAsiaTheme="minorHAnsi" w:hAnsi="Times New Roman"/>
                <w:sz w:val="18"/>
                <w:szCs w:val="18"/>
              </w:rPr>
              <w:t>i</w:t>
            </w:r>
            <w:proofErr w:type="spellEnd"/>
            <w:r w:rsidR="00684CF0" w:rsidRPr="00EE26CD">
              <w:rPr>
                <w:rFonts w:ascii="Times New Roman" w:eastAsiaTheme="minorHAnsi" w:hAnsi="Times New Roman"/>
                <w:sz w:val="18"/>
                <w:szCs w:val="18"/>
              </w:rPr>
              <w:t>, ielas un pārvad</w:t>
            </w:r>
            <w:r w:rsidR="0090705E" w:rsidRPr="00EE26CD">
              <w:rPr>
                <w:rFonts w:ascii="Times New Roman" w:eastAsiaTheme="minorHAnsi" w:hAnsi="Times New Roman"/>
                <w:sz w:val="18"/>
                <w:szCs w:val="18"/>
              </w:rPr>
              <w:t>i</w:t>
            </w:r>
            <w:r w:rsidR="00684CF0" w:rsidRPr="00EE26CD">
              <w:rPr>
                <w:rFonts w:ascii="Times New Roman" w:eastAsiaTheme="minorHAnsi" w:hAnsi="Times New Roman"/>
                <w:sz w:val="18"/>
                <w:szCs w:val="18"/>
              </w:rPr>
              <w:t>, lai n</w:t>
            </w:r>
            <w:r w:rsidR="00001DA6" w:rsidRPr="00EE26CD">
              <w:rPr>
                <w:rFonts w:ascii="Times New Roman" w:eastAsiaTheme="minorHAnsi" w:hAnsi="Times New Roman"/>
                <w:sz w:val="18"/>
                <w:szCs w:val="18"/>
              </w:rPr>
              <w:t>ovērst</w:t>
            </w:r>
            <w:r w:rsidR="00684CF0" w:rsidRPr="00EE26CD">
              <w:rPr>
                <w:rFonts w:ascii="Times New Roman" w:eastAsiaTheme="minorHAnsi" w:hAnsi="Times New Roman"/>
                <w:sz w:val="18"/>
                <w:szCs w:val="18"/>
              </w:rPr>
              <w:t>u</w:t>
            </w:r>
            <w:r w:rsidR="00001DA6" w:rsidRPr="00EE26CD">
              <w:rPr>
                <w:rFonts w:ascii="Times New Roman" w:eastAsiaTheme="minorHAnsi" w:hAnsi="Times New Roman"/>
                <w:sz w:val="18"/>
                <w:szCs w:val="18"/>
              </w:rPr>
              <w:t xml:space="preserve"> fiziskus, tehniskus vai funkcionālus ierobežojums, kas pārtrauc transporta sistēmas darbību, ietekmējot tālsatiksmes vai pārrobežu plūsmu nepārtrauktību, un kuru var pārvarēt, radot jaunu vai ievērojami modernizējot esošo infrastruktūru, kas varētu radīt ievērojamus uzlabojumus, atrisinot problemātisko posmu radītos ierobežojumus</w:t>
            </w:r>
            <w:r w:rsidR="00684CF0" w:rsidRPr="00EE26CD">
              <w:rPr>
                <w:rFonts w:ascii="Times New Roman" w:eastAsiaTheme="minorHAnsi" w:hAnsi="Times New Roman"/>
                <w:sz w:val="18"/>
                <w:szCs w:val="18"/>
              </w:rPr>
              <w:t>, tādejādi nodrošinot alternatīvu maršrutu TEN-T tīkla tranzīta un kravu transportam.</w:t>
            </w:r>
          </w:p>
          <w:p w14:paraId="484ADF13"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7B5CC878" w14:textId="77777777" w:rsidR="00902519"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t xml:space="preserve">Datu avots: </w:t>
            </w:r>
            <w:r w:rsidRPr="00EE26CD">
              <w:rPr>
                <w:rFonts w:ascii="Times New Roman" w:eastAsiaTheme="minorHAnsi" w:hAnsi="Times New Roman"/>
                <w:sz w:val="18"/>
                <w:szCs w:val="18"/>
              </w:rPr>
              <w:t>Projektu dati</w:t>
            </w:r>
          </w:p>
          <w:p w14:paraId="3183AB5D"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19198B01" w14:textId="1DFE2657" w:rsidR="00902519"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t xml:space="preserve">Apkopošanas biežums un ieguves metodoloģija: </w:t>
            </w:r>
            <w:r w:rsidR="00D12DBC" w:rsidRPr="00EE26CD">
              <w:rPr>
                <w:rFonts w:ascii="Times New Roman" w:eastAsiaTheme="minorHAnsi" w:hAnsi="Times New Roman"/>
                <w:sz w:val="18"/>
                <w:szCs w:val="18"/>
              </w:rPr>
              <w:t xml:space="preserve">reizi gadā, projekta progresa ziņojumi </w:t>
            </w:r>
          </w:p>
          <w:p w14:paraId="57D0C8F5" w14:textId="09AA3881" w:rsidR="00D12DBC" w:rsidRDefault="00D12DBC" w:rsidP="00AE61DA">
            <w:pPr>
              <w:spacing w:after="0" w:line="240" w:lineRule="auto"/>
              <w:jc w:val="both"/>
              <w:rPr>
                <w:rFonts w:ascii="Times New Roman" w:eastAsiaTheme="minorHAnsi" w:hAnsi="Times New Roman"/>
                <w:i/>
                <w:sz w:val="18"/>
                <w:szCs w:val="18"/>
              </w:rPr>
            </w:pPr>
          </w:p>
          <w:p w14:paraId="318B1DBE" w14:textId="77777777" w:rsidR="006B5F7A" w:rsidRDefault="006B5F7A" w:rsidP="006B5F7A">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4100C77B" w14:textId="55F1A222" w:rsidR="006B5F7A" w:rsidRDefault="006B5F7A" w:rsidP="006B5F7A">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Ekspluatācijā nodotais būvobjekts.</w:t>
            </w:r>
          </w:p>
          <w:p w14:paraId="62465626" w14:textId="77777777" w:rsidR="006B5F7A" w:rsidRPr="00EE26CD" w:rsidRDefault="006B5F7A" w:rsidP="00AE61DA">
            <w:pPr>
              <w:spacing w:after="0" w:line="240" w:lineRule="auto"/>
              <w:jc w:val="both"/>
              <w:rPr>
                <w:rFonts w:ascii="Times New Roman" w:eastAsiaTheme="minorHAnsi" w:hAnsi="Times New Roman"/>
                <w:i/>
                <w:sz w:val="18"/>
                <w:szCs w:val="18"/>
              </w:rPr>
            </w:pPr>
          </w:p>
          <w:p w14:paraId="7CF51BD0" w14:textId="7A0A302A" w:rsidR="006F67C9" w:rsidRPr="00EE26CD" w:rsidRDefault="00902519" w:rsidP="00AE61DA">
            <w:pPr>
              <w:spacing w:after="0" w:line="240" w:lineRule="auto"/>
              <w:jc w:val="both"/>
              <w:rPr>
                <w:rFonts w:ascii="Times New Roman" w:hAnsi="Times New Roman"/>
                <w:sz w:val="18"/>
                <w:szCs w:val="18"/>
              </w:rPr>
            </w:pPr>
            <w:r w:rsidRPr="00EE26CD">
              <w:rPr>
                <w:rFonts w:ascii="Times New Roman" w:eastAsiaTheme="minorHAnsi" w:hAnsi="Times New Roman"/>
                <w:i/>
                <w:sz w:val="18"/>
                <w:szCs w:val="18"/>
              </w:rPr>
              <w:t>Starpposma vērtība 2018:</w:t>
            </w:r>
            <w:r w:rsidRPr="00EE26CD">
              <w:rPr>
                <w:rFonts w:ascii="Times New Roman" w:hAnsi="Times New Roman"/>
                <w:sz w:val="18"/>
                <w:szCs w:val="18"/>
              </w:rPr>
              <w:t xml:space="preserve"> </w:t>
            </w:r>
            <w:r w:rsidR="00B9006D" w:rsidRPr="00EE26CD">
              <w:rPr>
                <w:rFonts w:ascii="Times New Roman" w:eastAsiaTheme="minorHAnsi" w:hAnsi="Times New Roman"/>
                <w:sz w:val="18"/>
                <w:szCs w:val="18"/>
              </w:rPr>
              <w:t>0</w:t>
            </w:r>
          </w:p>
          <w:p w14:paraId="20A91484"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39253212" w14:textId="37F74DD2" w:rsidR="00EE52FF" w:rsidRPr="00EE52FF" w:rsidRDefault="00EE52FF">
            <w:pPr>
              <w:spacing w:after="0" w:line="240" w:lineRule="auto"/>
              <w:jc w:val="both"/>
              <w:rPr>
                <w:rFonts w:ascii="Times New Roman" w:eastAsiaTheme="minorHAnsi" w:hAnsi="Times New Roman"/>
                <w:i/>
                <w:sz w:val="18"/>
                <w:szCs w:val="18"/>
              </w:rPr>
            </w:pPr>
            <w:r w:rsidRPr="00EE52FF">
              <w:rPr>
                <w:rFonts w:ascii="Times New Roman" w:eastAsiaTheme="minorHAnsi" w:hAnsi="Times New Roman"/>
                <w:i/>
                <w:sz w:val="18"/>
                <w:szCs w:val="18"/>
              </w:rPr>
              <w:t>Mērķis 2023:</w:t>
            </w:r>
            <w:r w:rsidR="002C014E">
              <w:rPr>
                <w:rFonts w:ascii="Times New Roman" w:eastAsiaTheme="minorHAnsi" w:hAnsi="Times New Roman"/>
                <w:i/>
                <w:sz w:val="18"/>
                <w:szCs w:val="18"/>
              </w:rPr>
              <w:t xml:space="preserve"> </w:t>
            </w:r>
            <w:r w:rsidR="002C014E" w:rsidRPr="002C014E">
              <w:rPr>
                <w:rFonts w:ascii="Times New Roman" w:eastAsiaTheme="minorHAnsi" w:hAnsi="Times New Roman"/>
                <w:i/>
                <w:sz w:val="18"/>
                <w:szCs w:val="18"/>
              </w:rPr>
              <w:t>12,86</w:t>
            </w:r>
            <w:r w:rsidR="00B50190">
              <w:rPr>
                <w:rFonts w:ascii="Times New Roman" w:eastAsiaTheme="minorHAnsi" w:hAnsi="Times New Roman"/>
                <w:i/>
                <w:sz w:val="18"/>
                <w:szCs w:val="18"/>
              </w:rPr>
              <w:t xml:space="preserve"> km</w:t>
            </w:r>
          </w:p>
          <w:p w14:paraId="2EEF96C5"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3877CA60" w14:textId="6804D1C7" w:rsidR="00902519"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t xml:space="preserve">Mērķa vērtības noteikšanas principi/metodoloģija: </w:t>
            </w:r>
          </w:p>
          <w:p w14:paraId="022CBEBA" w14:textId="1828E11D" w:rsidR="00860290" w:rsidRDefault="00860290" w:rsidP="00AE61DA">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Izvērtējot</w:t>
            </w:r>
            <w:r w:rsidR="00645C37">
              <w:rPr>
                <w:rFonts w:ascii="Times New Roman" w:eastAsiaTheme="minorHAnsi" w:hAnsi="Times New Roman"/>
                <w:i/>
                <w:sz w:val="18"/>
                <w:szCs w:val="18"/>
              </w:rPr>
              <w:t xml:space="preserve"> finansējumu saņēmēju</w:t>
            </w:r>
            <w:r>
              <w:rPr>
                <w:rFonts w:ascii="Times New Roman" w:eastAsiaTheme="minorHAnsi" w:hAnsi="Times New Roman"/>
                <w:i/>
                <w:sz w:val="18"/>
                <w:szCs w:val="18"/>
              </w:rPr>
              <w:t xml:space="preserve"> projektu </w:t>
            </w:r>
            <w:r w:rsidR="00645C37">
              <w:rPr>
                <w:rFonts w:ascii="Times New Roman" w:eastAsiaTheme="minorHAnsi" w:hAnsi="Times New Roman"/>
                <w:i/>
                <w:sz w:val="18"/>
                <w:szCs w:val="18"/>
              </w:rPr>
              <w:t xml:space="preserve">plānotās </w:t>
            </w:r>
            <w:r>
              <w:rPr>
                <w:rFonts w:ascii="Times New Roman" w:eastAsiaTheme="minorHAnsi" w:hAnsi="Times New Roman"/>
                <w:i/>
                <w:sz w:val="18"/>
                <w:szCs w:val="18"/>
              </w:rPr>
              <w:t xml:space="preserve">aktivitātes, kurās ir paredzēta ielu </w:t>
            </w:r>
            <w:r w:rsidR="004E6245">
              <w:rPr>
                <w:rFonts w:ascii="Times New Roman" w:eastAsiaTheme="minorHAnsi" w:hAnsi="Times New Roman"/>
                <w:i/>
                <w:sz w:val="18"/>
                <w:szCs w:val="18"/>
              </w:rPr>
              <w:t xml:space="preserve">pārbūve </w:t>
            </w:r>
            <w:r>
              <w:rPr>
                <w:rFonts w:ascii="Times New Roman" w:eastAsiaTheme="minorHAnsi" w:hAnsi="Times New Roman"/>
                <w:i/>
                <w:sz w:val="18"/>
                <w:szCs w:val="18"/>
              </w:rPr>
              <w:t>un atjaunošan</w:t>
            </w:r>
            <w:r w:rsidR="003926EA">
              <w:rPr>
                <w:rFonts w:ascii="Times New Roman" w:eastAsiaTheme="minorHAnsi" w:hAnsi="Times New Roman"/>
                <w:i/>
                <w:sz w:val="18"/>
                <w:szCs w:val="18"/>
              </w:rPr>
              <w:t>a</w:t>
            </w:r>
            <w:r>
              <w:rPr>
                <w:rFonts w:ascii="Times New Roman" w:eastAsiaTheme="minorHAnsi" w:hAnsi="Times New Roman"/>
                <w:i/>
                <w:sz w:val="18"/>
                <w:szCs w:val="18"/>
              </w:rPr>
              <w:t xml:space="preserve">, jaunu ielu un </w:t>
            </w:r>
            <w:r w:rsidR="00645C37">
              <w:rPr>
                <w:rFonts w:ascii="Times New Roman" w:eastAsiaTheme="minorHAnsi" w:hAnsi="Times New Roman"/>
                <w:i/>
                <w:sz w:val="18"/>
                <w:szCs w:val="18"/>
              </w:rPr>
              <w:t xml:space="preserve">satiksmes </w:t>
            </w:r>
            <w:r w:rsidRPr="00860290">
              <w:rPr>
                <w:rFonts w:ascii="Times New Roman" w:eastAsiaTheme="minorHAnsi" w:hAnsi="Times New Roman"/>
                <w:i/>
                <w:sz w:val="18"/>
                <w:szCs w:val="18"/>
              </w:rPr>
              <w:t>pārvad</w:t>
            </w:r>
            <w:r>
              <w:rPr>
                <w:rFonts w:ascii="Times New Roman" w:eastAsiaTheme="minorHAnsi" w:hAnsi="Times New Roman"/>
                <w:i/>
                <w:sz w:val="18"/>
                <w:szCs w:val="18"/>
              </w:rPr>
              <w:t>u</w:t>
            </w:r>
            <w:r w:rsidRPr="00860290">
              <w:rPr>
                <w:rFonts w:ascii="Times New Roman" w:eastAsiaTheme="minorHAnsi" w:hAnsi="Times New Roman"/>
                <w:i/>
                <w:sz w:val="18"/>
                <w:szCs w:val="18"/>
              </w:rPr>
              <w:t xml:space="preserve"> </w:t>
            </w:r>
            <w:r>
              <w:rPr>
                <w:rFonts w:ascii="Times New Roman" w:eastAsiaTheme="minorHAnsi" w:hAnsi="Times New Roman"/>
                <w:i/>
                <w:sz w:val="18"/>
                <w:szCs w:val="18"/>
              </w:rPr>
              <w:t>izbūve</w:t>
            </w:r>
            <w:r w:rsidR="003926EA">
              <w:rPr>
                <w:rFonts w:ascii="Times New Roman" w:eastAsiaTheme="minorHAnsi" w:hAnsi="Times New Roman"/>
                <w:i/>
                <w:sz w:val="18"/>
                <w:szCs w:val="18"/>
              </w:rPr>
              <w:t>,</w:t>
            </w:r>
            <w:r>
              <w:rPr>
                <w:rFonts w:ascii="Times New Roman" w:eastAsiaTheme="minorHAnsi" w:hAnsi="Times New Roman"/>
                <w:i/>
                <w:sz w:val="18"/>
                <w:szCs w:val="18"/>
              </w:rPr>
              <w:t xml:space="preserve"> </w:t>
            </w:r>
            <w:r w:rsidR="003926EA" w:rsidRPr="003926EA">
              <w:rPr>
                <w:rFonts w:ascii="Times New Roman" w:eastAsiaTheme="minorHAnsi" w:hAnsi="Times New Roman"/>
                <w:i/>
                <w:sz w:val="18"/>
                <w:szCs w:val="18"/>
              </w:rPr>
              <w:t xml:space="preserve">maģistrālo ielu posmu kapacitātes uzlabošana, </w:t>
            </w:r>
          </w:p>
          <w:p w14:paraId="12FFE6C4" w14:textId="1746889C" w:rsidR="00A15737" w:rsidRPr="00EE26CD" w:rsidRDefault="00A15737" w:rsidP="00AE61DA">
            <w:pPr>
              <w:spacing w:after="0" w:line="240" w:lineRule="auto"/>
              <w:jc w:val="both"/>
              <w:rPr>
                <w:rFonts w:ascii="Times New Roman" w:eastAsiaTheme="minorHAnsi" w:hAnsi="Times New Roman"/>
                <w:i/>
                <w:sz w:val="18"/>
                <w:szCs w:val="18"/>
              </w:rPr>
            </w:pPr>
          </w:p>
          <w:p w14:paraId="79221B4C" w14:textId="77777777" w:rsidR="00902519" w:rsidRPr="00EE26CD" w:rsidRDefault="00902519" w:rsidP="00AE61DA">
            <w:pPr>
              <w:spacing w:after="0" w:line="240" w:lineRule="auto"/>
              <w:jc w:val="both"/>
              <w:rPr>
                <w:rFonts w:ascii="Times New Roman" w:eastAsiaTheme="minorHAnsi" w:hAnsi="Times New Roman"/>
                <w:i/>
                <w:sz w:val="18"/>
                <w:szCs w:val="18"/>
              </w:rPr>
            </w:pPr>
            <w:r w:rsidRPr="00EE26CD">
              <w:rPr>
                <w:rFonts w:ascii="Times New Roman" w:eastAsiaTheme="minorHAnsi" w:hAnsi="Times New Roman"/>
                <w:i/>
                <w:sz w:val="18"/>
                <w:szCs w:val="18"/>
              </w:rPr>
              <w:t xml:space="preserve">Iznākuma rādītājam sasniegšanai paredzētais finansējums : </w:t>
            </w:r>
          </w:p>
          <w:p w14:paraId="5F369045" w14:textId="58AE8A6B" w:rsidR="00B51EBC" w:rsidRPr="00B51EBC" w:rsidRDefault="00C90F32" w:rsidP="00B51EBC">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 58 537 570</w:t>
            </w:r>
            <w:r w:rsidR="00B50190">
              <w:rPr>
                <w:rFonts w:ascii="Times New Roman" w:eastAsiaTheme="minorHAnsi" w:hAnsi="Times New Roman"/>
                <w:sz w:val="18"/>
                <w:szCs w:val="18"/>
              </w:rPr>
              <w:t xml:space="preserve"> </w:t>
            </w:r>
            <w:r w:rsidR="00CF27D4">
              <w:rPr>
                <w:rFonts w:ascii="Times New Roman" w:eastAsiaTheme="minorHAnsi" w:hAnsi="Times New Roman"/>
                <w:sz w:val="18"/>
                <w:szCs w:val="18"/>
              </w:rPr>
              <w:t>EUR</w:t>
            </w:r>
          </w:p>
          <w:p w14:paraId="069291DB" w14:textId="77777777" w:rsidR="00A15592" w:rsidRDefault="00A15592" w:rsidP="00AE61DA">
            <w:pPr>
              <w:spacing w:after="0" w:line="240" w:lineRule="auto"/>
              <w:jc w:val="both"/>
              <w:rPr>
                <w:rFonts w:ascii="Times New Roman" w:eastAsiaTheme="minorHAnsi" w:hAnsi="Times New Roman"/>
                <w:sz w:val="18"/>
                <w:szCs w:val="18"/>
              </w:rPr>
            </w:pPr>
          </w:p>
          <w:p w14:paraId="2CC8E9EB" w14:textId="77777777" w:rsidR="00A15592" w:rsidRDefault="00A15592" w:rsidP="00A15592">
            <w:pPr>
              <w:spacing w:after="0" w:line="240" w:lineRule="auto"/>
              <w:jc w:val="both"/>
              <w:rPr>
                <w:rFonts w:ascii="Times New Roman" w:eastAsiaTheme="minorHAnsi" w:hAnsi="Times New Roman" w:cstheme="minorBidi"/>
                <w:sz w:val="16"/>
                <w:szCs w:val="16"/>
              </w:rPr>
            </w:pPr>
          </w:p>
          <w:p w14:paraId="2C7E3B21" w14:textId="263A6E20" w:rsidR="00A15592" w:rsidRPr="00EE26CD" w:rsidRDefault="00A15592">
            <w:pPr>
              <w:spacing w:after="0" w:line="240" w:lineRule="auto"/>
              <w:jc w:val="both"/>
              <w:rPr>
                <w:rFonts w:ascii="Times New Roman" w:eastAsiaTheme="minorHAnsi" w:hAnsi="Times New Roman"/>
                <w:sz w:val="18"/>
                <w:szCs w:val="18"/>
              </w:rPr>
            </w:pPr>
          </w:p>
        </w:tc>
        <w:tc>
          <w:tcPr>
            <w:tcW w:w="2612" w:type="dxa"/>
          </w:tcPr>
          <w:p w14:paraId="3A2BABCB" w14:textId="7651F7DF" w:rsidR="00902519"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lastRenderedPageBreak/>
              <w:t>Starpposma vērtība 2018.</w:t>
            </w:r>
            <w:r w:rsidR="007122C4">
              <w:rPr>
                <w:rFonts w:ascii="Times New Roman" w:eastAsiaTheme="minorHAnsi" w:hAnsi="Times New Roman"/>
                <w:i/>
                <w:sz w:val="18"/>
                <w:szCs w:val="18"/>
              </w:rPr>
              <w:t> </w:t>
            </w:r>
            <w:r w:rsidRPr="00EE26CD">
              <w:rPr>
                <w:rFonts w:ascii="Times New Roman" w:eastAsiaTheme="minorHAnsi" w:hAnsi="Times New Roman"/>
                <w:i/>
                <w:sz w:val="18"/>
                <w:szCs w:val="18"/>
              </w:rPr>
              <w:t>gadam:</w:t>
            </w:r>
            <w:r w:rsidR="007F4F80" w:rsidRPr="007F4F80">
              <w:rPr>
                <w:rFonts w:ascii="Times New Roman" w:eastAsiaTheme="minorHAnsi" w:hAnsi="Times New Roman"/>
                <w:i/>
                <w:sz w:val="18"/>
                <w:szCs w:val="18"/>
              </w:rPr>
              <w:t xml:space="preserve"> 11</w:t>
            </w:r>
            <w:r w:rsidR="00EA448F">
              <w:rPr>
                <w:rFonts w:ascii="Times New Roman" w:eastAsiaTheme="minorHAnsi" w:hAnsi="Times New Roman"/>
                <w:i/>
                <w:sz w:val="18"/>
                <w:szCs w:val="18"/>
              </w:rPr>
              <w:t> </w:t>
            </w:r>
            <w:r w:rsidR="007F4F80" w:rsidRPr="007F4F80">
              <w:rPr>
                <w:rFonts w:ascii="Times New Roman" w:eastAsiaTheme="minorHAnsi" w:hAnsi="Times New Roman"/>
                <w:i/>
                <w:sz w:val="18"/>
                <w:szCs w:val="18"/>
              </w:rPr>
              <w:t>725</w:t>
            </w:r>
            <w:r w:rsidR="007122C4">
              <w:rPr>
                <w:rFonts w:ascii="Times New Roman" w:eastAsiaTheme="minorHAnsi" w:hAnsi="Times New Roman"/>
                <w:i/>
                <w:sz w:val="18"/>
                <w:szCs w:val="18"/>
              </w:rPr>
              <w:t> </w:t>
            </w:r>
            <w:r w:rsidR="007F4F80" w:rsidRPr="007F4F80">
              <w:rPr>
                <w:rFonts w:ascii="Times New Roman" w:eastAsiaTheme="minorHAnsi" w:hAnsi="Times New Roman"/>
                <w:i/>
                <w:sz w:val="18"/>
                <w:szCs w:val="18"/>
              </w:rPr>
              <w:t>078</w:t>
            </w:r>
            <w:r w:rsidR="007F4F80" w:rsidRPr="00EE26CD">
              <w:rPr>
                <w:rFonts w:ascii="Times New Roman" w:eastAsiaTheme="minorHAnsi" w:hAnsi="Times New Roman"/>
                <w:sz w:val="18"/>
                <w:szCs w:val="18"/>
              </w:rPr>
              <w:t xml:space="preserve"> EUR</w:t>
            </w:r>
            <w:r w:rsidR="007122C4">
              <w:rPr>
                <w:rFonts w:ascii="Times New Roman" w:eastAsiaTheme="minorHAnsi" w:hAnsi="Times New Roman"/>
                <w:sz w:val="18"/>
                <w:szCs w:val="18"/>
              </w:rPr>
              <w:t xml:space="preserve"> </w:t>
            </w:r>
          </w:p>
          <w:p w14:paraId="3ECD62EC" w14:textId="19E13A68" w:rsidR="007F4F80" w:rsidRPr="00EE26CD" w:rsidRDefault="007F4F80" w:rsidP="00AE61DA">
            <w:pPr>
              <w:spacing w:after="0" w:line="240" w:lineRule="auto"/>
              <w:jc w:val="both"/>
              <w:rPr>
                <w:rFonts w:ascii="Times New Roman" w:eastAsiaTheme="minorHAnsi" w:hAnsi="Times New Roman"/>
                <w:i/>
                <w:sz w:val="18"/>
                <w:szCs w:val="18"/>
              </w:rPr>
            </w:pPr>
            <w:r w:rsidRPr="007F4F80">
              <w:rPr>
                <w:rFonts w:ascii="Times New Roman" w:eastAsiaTheme="minorHAnsi" w:hAnsi="Times New Roman"/>
                <w:i/>
                <w:sz w:val="18"/>
                <w:szCs w:val="18"/>
              </w:rPr>
              <w:t>6.1.4.2.pasākuma “Nacionālas nozīmes attīstības centru integrēšana TEN-T tīklā”</w:t>
            </w:r>
            <w:r w:rsidR="00EA448F" w:rsidRPr="007F4F80">
              <w:rPr>
                <w:rFonts w:ascii="Times New Roman" w:eastAsiaTheme="minorHAnsi" w:hAnsi="Times New Roman"/>
                <w:i/>
                <w:sz w:val="18"/>
                <w:szCs w:val="18"/>
              </w:rPr>
              <w:t xml:space="preserve"> </w:t>
            </w:r>
            <w:r w:rsidR="00EA448F" w:rsidRPr="00EA448F">
              <w:rPr>
                <w:rFonts w:ascii="Times New Roman" w:eastAsiaTheme="minorHAnsi" w:hAnsi="Times New Roman"/>
                <w:iCs/>
                <w:sz w:val="18"/>
                <w:szCs w:val="18"/>
              </w:rPr>
              <w:t>11 725 078</w:t>
            </w:r>
            <w:r w:rsidR="00EA448F" w:rsidRPr="00EE26CD">
              <w:rPr>
                <w:rFonts w:ascii="Times New Roman" w:eastAsiaTheme="minorHAnsi" w:hAnsi="Times New Roman"/>
                <w:sz w:val="18"/>
                <w:szCs w:val="18"/>
              </w:rPr>
              <w:t xml:space="preserve"> </w:t>
            </w:r>
            <w:r w:rsidR="00EA448F">
              <w:rPr>
                <w:rFonts w:ascii="Times New Roman" w:eastAsiaTheme="minorHAnsi" w:hAnsi="Times New Roman"/>
                <w:i/>
                <w:sz w:val="18"/>
                <w:szCs w:val="18"/>
              </w:rPr>
              <w:t> </w:t>
            </w:r>
            <w:r w:rsidRPr="00EE26CD">
              <w:rPr>
                <w:rFonts w:ascii="Times New Roman" w:eastAsiaTheme="minorHAnsi" w:hAnsi="Times New Roman"/>
                <w:sz w:val="18"/>
                <w:szCs w:val="18"/>
              </w:rPr>
              <w:t>EUR</w:t>
            </w:r>
          </w:p>
          <w:p w14:paraId="71FD79F7" w14:textId="77777777" w:rsidR="00923C4E" w:rsidRPr="00EE26CD" w:rsidRDefault="00923C4E" w:rsidP="00AE61DA">
            <w:pPr>
              <w:spacing w:after="0" w:line="240" w:lineRule="auto"/>
              <w:jc w:val="both"/>
              <w:rPr>
                <w:rFonts w:ascii="Times New Roman" w:eastAsiaTheme="minorHAnsi" w:hAnsi="Times New Roman"/>
                <w:i/>
                <w:sz w:val="18"/>
                <w:szCs w:val="18"/>
              </w:rPr>
            </w:pPr>
          </w:p>
          <w:p w14:paraId="1002BEB5" w14:textId="6B2A5657" w:rsidR="00B51EBC" w:rsidRPr="00EE26CD" w:rsidRDefault="00902519" w:rsidP="00AE61DA">
            <w:pPr>
              <w:spacing w:after="0" w:line="240" w:lineRule="auto"/>
              <w:jc w:val="both"/>
              <w:rPr>
                <w:rFonts w:ascii="Times New Roman" w:eastAsiaTheme="minorHAnsi" w:hAnsi="Times New Roman"/>
                <w:sz w:val="18"/>
                <w:szCs w:val="18"/>
              </w:rPr>
            </w:pPr>
            <w:r w:rsidRPr="00EE26CD">
              <w:rPr>
                <w:rFonts w:ascii="Times New Roman" w:eastAsiaTheme="minorHAnsi" w:hAnsi="Times New Roman"/>
                <w:i/>
                <w:sz w:val="18"/>
                <w:szCs w:val="18"/>
              </w:rPr>
              <w:t>Mērķ</w:t>
            </w:r>
            <w:r w:rsidR="00E10C4F" w:rsidRPr="00EE26CD">
              <w:rPr>
                <w:rFonts w:ascii="Times New Roman" w:eastAsiaTheme="minorHAnsi" w:hAnsi="Times New Roman"/>
                <w:i/>
                <w:sz w:val="18"/>
                <w:szCs w:val="18"/>
              </w:rPr>
              <w:t>is 2023. gadam (vienāds ar  100</w:t>
            </w:r>
            <w:r w:rsidRPr="00EE26CD">
              <w:rPr>
                <w:rFonts w:ascii="Times New Roman" w:eastAsiaTheme="minorHAnsi" w:hAnsi="Times New Roman"/>
                <w:i/>
                <w:sz w:val="18"/>
                <w:szCs w:val="18"/>
              </w:rPr>
              <w:t xml:space="preserve">% no SAM paredzētā kopējā finansējuma): </w:t>
            </w:r>
          </w:p>
          <w:p w14:paraId="622393E0" w14:textId="142EE8E0" w:rsidR="00902519" w:rsidRPr="00EE26CD" w:rsidRDefault="00C90F32" w:rsidP="00AE61DA">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 58 537 570</w:t>
            </w:r>
            <w:r w:rsidR="00B50190">
              <w:rPr>
                <w:rFonts w:ascii="Times New Roman" w:eastAsiaTheme="minorHAnsi" w:hAnsi="Times New Roman"/>
                <w:sz w:val="18"/>
                <w:szCs w:val="18"/>
              </w:rPr>
              <w:t xml:space="preserve"> </w:t>
            </w:r>
            <w:r w:rsidR="00A348F1" w:rsidRPr="00EE26CD">
              <w:rPr>
                <w:rFonts w:ascii="Times New Roman" w:eastAsiaTheme="minorHAnsi" w:hAnsi="Times New Roman"/>
                <w:sz w:val="18"/>
                <w:szCs w:val="18"/>
              </w:rPr>
              <w:t>EUR</w:t>
            </w:r>
          </w:p>
          <w:p w14:paraId="09ECE938" w14:textId="77777777" w:rsidR="00902519" w:rsidRPr="00EE26CD" w:rsidRDefault="00902519" w:rsidP="00AE61DA">
            <w:pPr>
              <w:spacing w:after="0" w:line="240" w:lineRule="auto"/>
              <w:jc w:val="both"/>
              <w:rPr>
                <w:rFonts w:ascii="Times New Roman" w:eastAsiaTheme="minorHAnsi" w:hAnsi="Times New Roman"/>
                <w:i/>
                <w:sz w:val="18"/>
                <w:szCs w:val="18"/>
              </w:rPr>
            </w:pPr>
          </w:p>
          <w:p w14:paraId="60BBD1F3" w14:textId="2ECDDA7D" w:rsidR="00902519" w:rsidRPr="00EE26CD" w:rsidRDefault="00902519" w:rsidP="00B51EBC">
            <w:pPr>
              <w:spacing w:after="0" w:line="240" w:lineRule="auto"/>
              <w:jc w:val="both"/>
              <w:rPr>
                <w:rFonts w:ascii="Times New Roman" w:eastAsiaTheme="minorHAnsi" w:hAnsi="Times New Roman"/>
                <w:i/>
                <w:sz w:val="18"/>
                <w:szCs w:val="18"/>
              </w:rPr>
            </w:pPr>
            <w:r w:rsidRPr="00EE26CD">
              <w:rPr>
                <w:rFonts w:ascii="Times New Roman" w:eastAsiaTheme="minorHAnsi" w:hAnsi="Times New Roman"/>
                <w:i/>
                <w:sz w:val="18"/>
                <w:szCs w:val="18"/>
              </w:rPr>
              <w:t xml:space="preserve">Starpposma vērtības noteikšanas aprēķins: </w:t>
            </w:r>
            <w:r w:rsidR="00AA55BA" w:rsidRPr="00AA55BA">
              <w:rPr>
                <w:rFonts w:ascii="Times New Roman" w:eastAsiaTheme="minorHAnsi" w:hAnsi="Times New Roman"/>
                <w:sz w:val="18"/>
                <w:szCs w:val="18"/>
              </w:rPr>
              <w:t>Starpposma vērtība noteikta ņ</w:t>
            </w:r>
            <w:r w:rsidR="007D0E65" w:rsidRPr="00AA55BA">
              <w:rPr>
                <w:rFonts w:ascii="Times New Roman" w:eastAsiaTheme="minorHAnsi" w:hAnsi="Times New Roman"/>
                <w:sz w:val="18"/>
                <w:szCs w:val="18"/>
              </w:rPr>
              <w:t>emot</w:t>
            </w:r>
            <w:r w:rsidR="007D0E65" w:rsidRPr="00EE26CD">
              <w:rPr>
                <w:rFonts w:ascii="Times New Roman" w:eastAsiaTheme="minorHAnsi" w:hAnsi="Times New Roman"/>
                <w:sz w:val="18"/>
                <w:szCs w:val="18"/>
              </w:rPr>
              <w:t xml:space="preserve"> vērā indikatīvo SAM uzsākšanas laiku  un izvērtējot potenciālo projektu pieteicēju indikatīvos laika grafikus projektu iesnieguma pamatojošās dokumentācijas sagatavošanā</w:t>
            </w:r>
            <w:r w:rsidR="00AA55BA">
              <w:rPr>
                <w:rFonts w:ascii="Times New Roman" w:eastAsiaTheme="minorHAnsi" w:hAnsi="Times New Roman"/>
                <w:sz w:val="18"/>
                <w:szCs w:val="18"/>
              </w:rPr>
              <w:t>.</w:t>
            </w:r>
          </w:p>
        </w:tc>
      </w:tr>
    </w:tbl>
    <w:p w14:paraId="57E17CEC" w14:textId="77777777" w:rsidR="00FA549B" w:rsidRPr="00EE26CD" w:rsidRDefault="00FA549B">
      <w:pPr>
        <w:rPr>
          <w:rFonts w:ascii="Times New Roman" w:hAnsi="Times New Roman"/>
          <w:sz w:val="18"/>
          <w:szCs w:val="18"/>
        </w:rPr>
      </w:pPr>
    </w:p>
    <w:sectPr w:rsidR="00FA549B" w:rsidRPr="00EE26CD" w:rsidSect="00902519">
      <w:headerReference w:type="default" r:id="rId6"/>
      <w:footerReference w:type="default" r:id="rId7"/>
      <w:pgSz w:w="16838" w:h="11906" w:orient="landscape"/>
      <w:pgMar w:top="568"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EABE5" w14:textId="77777777" w:rsidR="003E0199" w:rsidRDefault="003E0199" w:rsidP="00902519">
      <w:pPr>
        <w:spacing w:after="0" w:line="240" w:lineRule="auto"/>
      </w:pPr>
      <w:r>
        <w:separator/>
      </w:r>
    </w:p>
  </w:endnote>
  <w:endnote w:type="continuationSeparator" w:id="0">
    <w:p w14:paraId="55D19BF9" w14:textId="77777777" w:rsidR="003E0199" w:rsidRDefault="003E0199" w:rsidP="00902519">
      <w:pPr>
        <w:spacing w:after="0" w:line="240" w:lineRule="auto"/>
      </w:pPr>
      <w:r>
        <w:continuationSeparator/>
      </w:r>
    </w:p>
  </w:endnote>
  <w:endnote w:type="continuationNotice" w:id="1">
    <w:p w14:paraId="35979E62" w14:textId="77777777" w:rsidR="003E0199" w:rsidRDefault="003E01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3F854" w14:textId="77777777" w:rsidR="00FF3FC9" w:rsidRDefault="00FF3F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D21B8" w14:textId="77777777" w:rsidR="003E0199" w:rsidRDefault="003E0199" w:rsidP="00902519">
      <w:pPr>
        <w:spacing w:after="0" w:line="240" w:lineRule="auto"/>
      </w:pPr>
      <w:r>
        <w:separator/>
      </w:r>
    </w:p>
  </w:footnote>
  <w:footnote w:type="continuationSeparator" w:id="0">
    <w:p w14:paraId="19DED2F8" w14:textId="77777777" w:rsidR="003E0199" w:rsidRDefault="003E0199" w:rsidP="00902519">
      <w:pPr>
        <w:spacing w:after="0" w:line="240" w:lineRule="auto"/>
      </w:pPr>
      <w:r>
        <w:continuationSeparator/>
      </w:r>
    </w:p>
  </w:footnote>
  <w:footnote w:type="continuationNotice" w:id="1">
    <w:p w14:paraId="65B8435B" w14:textId="77777777" w:rsidR="003E0199" w:rsidRDefault="003E0199">
      <w:pPr>
        <w:spacing w:after="0" w:line="240" w:lineRule="auto"/>
      </w:pPr>
    </w:p>
  </w:footnote>
  <w:footnote w:id="2">
    <w:p w14:paraId="7BF9CC14" w14:textId="492558A9" w:rsidR="00902519" w:rsidRPr="00B22B28" w:rsidRDefault="00902519" w:rsidP="00902519">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4045F1">
        <w:rPr>
          <w:rFonts w:ascii="Times New Roman" w:hAnsi="Times New Roman"/>
          <w:sz w:val="18"/>
          <w:szCs w:val="18"/>
        </w:rPr>
        <w:t xml:space="preserve">Finanšu rādītāju mērvienība - </w:t>
      </w:r>
      <w:r w:rsidR="00ED1E68" w:rsidRPr="00B45BF9">
        <w:rPr>
          <w:rFonts w:ascii="Times New Roman" w:hAnsi="Times New Roman"/>
          <w:i/>
          <w:sz w:val="18"/>
          <w:szCs w:val="18"/>
        </w:rPr>
        <w:t>Starpposma vērtība 2018. gadam ir</w:t>
      </w:r>
      <w:r w:rsidRPr="004045F1">
        <w:rPr>
          <w:rFonts w:ascii="Times New Roman" w:hAnsi="Times New Roman"/>
          <w:sz w:val="18"/>
          <w:szCs w:val="18"/>
        </w:rPr>
        <w:t xml:space="preserve"> </w:t>
      </w:r>
      <w:r w:rsidRPr="004045F1">
        <w:rPr>
          <w:rFonts w:ascii="Times New Roman" w:hAnsi="Times New Roman"/>
          <w:i/>
          <w:sz w:val="18"/>
          <w:szCs w:val="18"/>
        </w:rPr>
        <w:t>attiecināmie izdevumi EUR  sertificējošās iestādes uzskaites sistēmā</w:t>
      </w:r>
      <w:r w:rsidR="00225BA5">
        <w:rPr>
          <w:rFonts w:ascii="Times New Roman" w:hAnsi="Times New Roman"/>
          <w:i/>
          <w:sz w:val="18"/>
          <w:szCs w:val="18"/>
        </w:rPr>
        <w:t xml:space="preserve">, </w:t>
      </w:r>
      <w:r w:rsidR="00225BA5" w:rsidRPr="00551812">
        <w:rPr>
          <w:rFonts w:ascii="Times New Roman" w:hAnsi="Times New Roman"/>
          <w:i/>
          <w:sz w:val="18"/>
          <w:szCs w:val="18"/>
        </w:rPr>
        <w:t>līdz 30.06.201</w:t>
      </w:r>
      <w:r w:rsidR="00225BA5">
        <w:rPr>
          <w:rFonts w:ascii="Times New Roman" w:hAnsi="Times New Roman"/>
          <w:i/>
          <w:sz w:val="18"/>
          <w:szCs w:val="18"/>
        </w:rPr>
        <w:t>9</w:t>
      </w:r>
      <w:r w:rsidR="00225BA5" w:rsidRPr="00551812">
        <w:rPr>
          <w:rFonts w:ascii="Times New Roman" w:hAnsi="Times New Roman"/>
          <w:i/>
          <w:sz w:val="18"/>
          <w:szCs w:val="18"/>
        </w:rPr>
        <w:t xml:space="preserve">. sertificētie izdevumi, kas </w:t>
      </w:r>
      <w:r w:rsidR="00225BA5">
        <w:rPr>
          <w:rFonts w:ascii="Times New Roman" w:hAnsi="Times New Roman"/>
          <w:i/>
          <w:sz w:val="18"/>
          <w:szCs w:val="18"/>
        </w:rPr>
        <w:t>finansējuma saņēmējiem</w:t>
      </w:r>
      <w:r w:rsidR="00225BA5" w:rsidRPr="00551812">
        <w:rPr>
          <w:rFonts w:ascii="Times New Roman" w:hAnsi="Times New Roman"/>
          <w:i/>
          <w:sz w:val="18"/>
          <w:szCs w:val="18"/>
        </w:rPr>
        <w:t xml:space="preserve"> radušies līdz 31.12.2018</w:t>
      </w:r>
      <w:r w:rsidRPr="004045F1">
        <w:rPr>
          <w:rFonts w:ascii="Times New Roman" w:hAnsi="Times New Roman"/>
          <w:i/>
          <w:sz w:val="18"/>
          <w:szCs w:val="18"/>
        </w:rPr>
        <w:t>. Starpposma vērtības noteikšanā nedrīkst iekļaut snieguma rezerves apjomu 6 %, kamēr mērķis nosakāms iekļaujot rezerves apjomu.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83436" w14:textId="77777777" w:rsidR="00FF3FC9" w:rsidRDefault="00FF3F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19"/>
    <w:rsid w:val="00001DA6"/>
    <w:rsid w:val="0000465A"/>
    <w:rsid w:val="00031889"/>
    <w:rsid w:val="00037F89"/>
    <w:rsid w:val="00041E5F"/>
    <w:rsid w:val="00073931"/>
    <w:rsid w:val="00080CF8"/>
    <w:rsid w:val="000C33C6"/>
    <w:rsid w:val="000E4B63"/>
    <w:rsid w:val="00146007"/>
    <w:rsid w:val="001775F7"/>
    <w:rsid w:val="001A5FB4"/>
    <w:rsid w:val="001E7BA5"/>
    <w:rsid w:val="00225BA5"/>
    <w:rsid w:val="00260D0A"/>
    <w:rsid w:val="002C014E"/>
    <w:rsid w:val="00310144"/>
    <w:rsid w:val="00324390"/>
    <w:rsid w:val="00330A76"/>
    <w:rsid w:val="003926EA"/>
    <w:rsid w:val="00392825"/>
    <w:rsid w:val="003E0199"/>
    <w:rsid w:val="003E5CD0"/>
    <w:rsid w:val="004A0615"/>
    <w:rsid w:val="004D76AC"/>
    <w:rsid w:val="004E6245"/>
    <w:rsid w:val="00536418"/>
    <w:rsid w:val="00592C26"/>
    <w:rsid w:val="00603AD3"/>
    <w:rsid w:val="0062443E"/>
    <w:rsid w:val="006247D0"/>
    <w:rsid w:val="00645C37"/>
    <w:rsid w:val="006750B0"/>
    <w:rsid w:val="00684CF0"/>
    <w:rsid w:val="006B1969"/>
    <w:rsid w:val="006B5F7A"/>
    <w:rsid w:val="006C1F16"/>
    <w:rsid w:val="006D1BBA"/>
    <w:rsid w:val="006F67C9"/>
    <w:rsid w:val="007122C4"/>
    <w:rsid w:val="007343E6"/>
    <w:rsid w:val="00743AF2"/>
    <w:rsid w:val="00767087"/>
    <w:rsid w:val="00783420"/>
    <w:rsid w:val="007C1F62"/>
    <w:rsid w:val="007D0E65"/>
    <w:rsid w:val="007F4F80"/>
    <w:rsid w:val="00802C25"/>
    <w:rsid w:val="00860290"/>
    <w:rsid w:val="008952FD"/>
    <w:rsid w:val="008A1AC0"/>
    <w:rsid w:val="008E3351"/>
    <w:rsid w:val="00902519"/>
    <w:rsid w:val="0090705E"/>
    <w:rsid w:val="00923C4E"/>
    <w:rsid w:val="00934D14"/>
    <w:rsid w:val="00951D07"/>
    <w:rsid w:val="00995B25"/>
    <w:rsid w:val="009E05AB"/>
    <w:rsid w:val="009E3299"/>
    <w:rsid w:val="009E5E74"/>
    <w:rsid w:val="00A15592"/>
    <w:rsid w:val="00A15737"/>
    <w:rsid w:val="00A32E2D"/>
    <w:rsid w:val="00A348F1"/>
    <w:rsid w:val="00A633BD"/>
    <w:rsid w:val="00A80111"/>
    <w:rsid w:val="00AA55BA"/>
    <w:rsid w:val="00AE61DA"/>
    <w:rsid w:val="00B11BD9"/>
    <w:rsid w:val="00B50190"/>
    <w:rsid w:val="00B51EBC"/>
    <w:rsid w:val="00B562DE"/>
    <w:rsid w:val="00B629C9"/>
    <w:rsid w:val="00B77423"/>
    <w:rsid w:val="00B9006D"/>
    <w:rsid w:val="00BE3A76"/>
    <w:rsid w:val="00C00B47"/>
    <w:rsid w:val="00C4447E"/>
    <w:rsid w:val="00C47274"/>
    <w:rsid w:val="00C752BE"/>
    <w:rsid w:val="00C90F32"/>
    <w:rsid w:val="00CA48D7"/>
    <w:rsid w:val="00CE547C"/>
    <w:rsid w:val="00CF27D4"/>
    <w:rsid w:val="00D12DBC"/>
    <w:rsid w:val="00D3578B"/>
    <w:rsid w:val="00D35D60"/>
    <w:rsid w:val="00D5459F"/>
    <w:rsid w:val="00D60982"/>
    <w:rsid w:val="00D943AA"/>
    <w:rsid w:val="00E10C4F"/>
    <w:rsid w:val="00E12F1D"/>
    <w:rsid w:val="00E403B7"/>
    <w:rsid w:val="00EA448F"/>
    <w:rsid w:val="00EB4831"/>
    <w:rsid w:val="00ED1105"/>
    <w:rsid w:val="00ED1E68"/>
    <w:rsid w:val="00EE26CD"/>
    <w:rsid w:val="00EE52FF"/>
    <w:rsid w:val="00EF46E9"/>
    <w:rsid w:val="00F40245"/>
    <w:rsid w:val="00F7053C"/>
    <w:rsid w:val="00FA549B"/>
    <w:rsid w:val="00FF3F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53D87"/>
  <w15:docId w15:val="{DAE8EFB1-DDB7-4310-BFAC-62A94ABC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519"/>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902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02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025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51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902519"/>
    <w:rPr>
      <w:vertAlign w:val="superscript"/>
    </w:rPr>
  </w:style>
  <w:style w:type="character" w:styleId="CommentReference">
    <w:name w:val="annotation reference"/>
    <w:basedOn w:val="DefaultParagraphFont"/>
    <w:uiPriority w:val="99"/>
    <w:semiHidden/>
    <w:unhideWhenUsed/>
    <w:rsid w:val="008A1AC0"/>
    <w:rPr>
      <w:sz w:val="16"/>
      <w:szCs w:val="16"/>
    </w:rPr>
  </w:style>
  <w:style w:type="paragraph" w:styleId="CommentText">
    <w:name w:val="annotation text"/>
    <w:basedOn w:val="Normal"/>
    <w:link w:val="CommentTextChar"/>
    <w:uiPriority w:val="99"/>
    <w:unhideWhenUsed/>
    <w:rsid w:val="008A1AC0"/>
    <w:pPr>
      <w:spacing w:line="240" w:lineRule="auto"/>
    </w:pPr>
    <w:rPr>
      <w:sz w:val="20"/>
      <w:szCs w:val="20"/>
    </w:rPr>
  </w:style>
  <w:style w:type="character" w:customStyle="1" w:styleId="CommentTextChar">
    <w:name w:val="Comment Text Char"/>
    <w:basedOn w:val="DefaultParagraphFont"/>
    <w:link w:val="CommentText"/>
    <w:uiPriority w:val="99"/>
    <w:rsid w:val="008A1AC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1AC0"/>
    <w:rPr>
      <w:b/>
      <w:bCs/>
    </w:rPr>
  </w:style>
  <w:style w:type="character" w:customStyle="1" w:styleId="CommentSubjectChar">
    <w:name w:val="Comment Subject Char"/>
    <w:basedOn w:val="CommentTextChar"/>
    <w:link w:val="CommentSubject"/>
    <w:uiPriority w:val="99"/>
    <w:semiHidden/>
    <w:rsid w:val="008A1AC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8A1A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AC0"/>
    <w:rPr>
      <w:rFonts w:ascii="Segoe UI" w:eastAsia="Calibri" w:hAnsi="Segoe UI" w:cs="Segoe UI"/>
      <w:sz w:val="18"/>
      <w:szCs w:val="18"/>
    </w:rPr>
  </w:style>
  <w:style w:type="paragraph" w:styleId="Revision">
    <w:name w:val="Revision"/>
    <w:hidden/>
    <w:uiPriority w:val="99"/>
    <w:semiHidden/>
    <w:rsid w:val="0090705E"/>
    <w:rPr>
      <w:rFonts w:ascii="Calibri" w:eastAsia="Calibri" w:hAnsi="Calibri" w:cs="Times New Roman"/>
      <w:sz w:val="22"/>
    </w:rPr>
  </w:style>
  <w:style w:type="paragraph" w:styleId="Header">
    <w:name w:val="header"/>
    <w:basedOn w:val="Normal"/>
    <w:link w:val="HeaderChar"/>
    <w:uiPriority w:val="99"/>
    <w:unhideWhenUsed/>
    <w:rsid w:val="00FF3FC9"/>
    <w:pPr>
      <w:tabs>
        <w:tab w:val="center" w:pos="4153"/>
        <w:tab w:val="right" w:pos="8306"/>
      </w:tabs>
      <w:spacing w:after="0" w:line="240" w:lineRule="auto"/>
    </w:pPr>
  </w:style>
  <w:style w:type="character" w:customStyle="1" w:styleId="HeaderChar">
    <w:name w:val="Header Char"/>
    <w:basedOn w:val="DefaultParagraphFont"/>
    <w:link w:val="Header"/>
    <w:uiPriority w:val="99"/>
    <w:rsid w:val="00FF3FC9"/>
    <w:rPr>
      <w:rFonts w:ascii="Calibri" w:eastAsia="Calibri" w:hAnsi="Calibri" w:cs="Times New Roman"/>
      <w:sz w:val="22"/>
    </w:rPr>
  </w:style>
  <w:style w:type="paragraph" w:styleId="Footer">
    <w:name w:val="footer"/>
    <w:basedOn w:val="Normal"/>
    <w:link w:val="FooterChar"/>
    <w:uiPriority w:val="99"/>
    <w:unhideWhenUsed/>
    <w:rsid w:val="00FF3FC9"/>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3FC9"/>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401304">
      <w:bodyDiv w:val="1"/>
      <w:marLeft w:val="0"/>
      <w:marRight w:val="0"/>
      <w:marTop w:val="0"/>
      <w:marBottom w:val="0"/>
      <w:divBdr>
        <w:top w:val="none" w:sz="0" w:space="0" w:color="auto"/>
        <w:left w:val="none" w:sz="0" w:space="0" w:color="auto"/>
        <w:bottom w:val="none" w:sz="0" w:space="0" w:color="auto"/>
        <w:right w:val="none" w:sz="0" w:space="0" w:color="auto"/>
      </w:divBdr>
    </w:div>
    <w:div w:id="411969381">
      <w:bodyDiv w:val="1"/>
      <w:marLeft w:val="0"/>
      <w:marRight w:val="0"/>
      <w:marTop w:val="0"/>
      <w:marBottom w:val="0"/>
      <w:divBdr>
        <w:top w:val="none" w:sz="0" w:space="0" w:color="auto"/>
        <w:left w:val="none" w:sz="0" w:space="0" w:color="auto"/>
        <w:bottom w:val="none" w:sz="0" w:space="0" w:color="auto"/>
        <w:right w:val="none" w:sz="0" w:space="0" w:color="auto"/>
      </w:divBdr>
    </w:div>
    <w:div w:id="588345641">
      <w:bodyDiv w:val="1"/>
      <w:marLeft w:val="0"/>
      <w:marRight w:val="0"/>
      <w:marTop w:val="0"/>
      <w:marBottom w:val="0"/>
      <w:divBdr>
        <w:top w:val="none" w:sz="0" w:space="0" w:color="auto"/>
        <w:left w:val="none" w:sz="0" w:space="0" w:color="auto"/>
        <w:bottom w:val="none" w:sz="0" w:space="0" w:color="auto"/>
        <w:right w:val="none" w:sz="0" w:space="0" w:color="auto"/>
      </w:divBdr>
    </w:div>
    <w:div w:id="730687598">
      <w:bodyDiv w:val="1"/>
      <w:marLeft w:val="0"/>
      <w:marRight w:val="0"/>
      <w:marTop w:val="0"/>
      <w:marBottom w:val="0"/>
      <w:divBdr>
        <w:top w:val="none" w:sz="0" w:space="0" w:color="auto"/>
        <w:left w:val="none" w:sz="0" w:space="0" w:color="auto"/>
        <w:bottom w:val="none" w:sz="0" w:space="0" w:color="auto"/>
        <w:right w:val="none" w:sz="0" w:space="0" w:color="auto"/>
      </w:divBdr>
    </w:div>
    <w:div w:id="749933927">
      <w:bodyDiv w:val="1"/>
      <w:marLeft w:val="0"/>
      <w:marRight w:val="0"/>
      <w:marTop w:val="0"/>
      <w:marBottom w:val="0"/>
      <w:divBdr>
        <w:top w:val="none" w:sz="0" w:space="0" w:color="auto"/>
        <w:left w:val="none" w:sz="0" w:space="0" w:color="auto"/>
        <w:bottom w:val="none" w:sz="0" w:space="0" w:color="auto"/>
        <w:right w:val="none" w:sz="0" w:space="0" w:color="auto"/>
      </w:divBdr>
    </w:div>
    <w:div w:id="1097678828">
      <w:bodyDiv w:val="1"/>
      <w:marLeft w:val="0"/>
      <w:marRight w:val="0"/>
      <w:marTop w:val="0"/>
      <w:marBottom w:val="0"/>
      <w:divBdr>
        <w:top w:val="none" w:sz="0" w:space="0" w:color="auto"/>
        <w:left w:val="none" w:sz="0" w:space="0" w:color="auto"/>
        <w:bottom w:val="none" w:sz="0" w:space="0" w:color="auto"/>
        <w:right w:val="none" w:sz="0" w:space="0" w:color="auto"/>
      </w:divBdr>
    </w:div>
    <w:div w:id="1192493302">
      <w:bodyDiv w:val="1"/>
      <w:marLeft w:val="0"/>
      <w:marRight w:val="0"/>
      <w:marTop w:val="0"/>
      <w:marBottom w:val="0"/>
      <w:divBdr>
        <w:top w:val="none" w:sz="0" w:space="0" w:color="auto"/>
        <w:left w:val="none" w:sz="0" w:space="0" w:color="auto"/>
        <w:bottom w:val="none" w:sz="0" w:space="0" w:color="auto"/>
        <w:right w:val="none" w:sz="0" w:space="0" w:color="auto"/>
      </w:divBdr>
    </w:div>
    <w:div w:id="1196426676">
      <w:bodyDiv w:val="1"/>
      <w:marLeft w:val="0"/>
      <w:marRight w:val="0"/>
      <w:marTop w:val="0"/>
      <w:marBottom w:val="0"/>
      <w:divBdr>
        <w:top w:val="none" w:sz="0" w:space="0" w:color="auto"/>
        <w:left w:val="none" w:sz="0" w:space="0" w:color="auto"/>
        <w:bottom w:val="none" w:sz="0" w:space="0" w:color="auto"/>
        <w:right w:val="none" w:sz="0" w:space="0" w:color="auto"/>
      </w:divBdr>
    </w:div>
    <w:div w:id="1377466597">
      <w:bodyDiv w:val="1"/>
      <w:marLeft w:val="0"/>
      <w:marRight w:val="0"/>
      <w:marTop w:val="0"/>
      <w:marBottom w:val="0"/>
      <w:divBdr>
        <w:top w:val="none" w:sz="0" w:space="0" w:color="auto"/>
        <w:left w:val="none" w:sz="0" w:space="0" w:color="auto"/>
        <w:bottom w:val="none" w:sz="0" w:space="0" w:color="auto"/>
        <w:right w:val="none" w:sz="0" w:space="0" w:color="auto"/>
      </w:divBdr>
    </w:div>
    <w:div w:id="184100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2371</Words>
  <Characters>1352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Satiksmes ministrija</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Rūdolfs Kudļa</dc:creator>
  <cp:lastModifiedBy>Elīna Puriņa</cp:lastModifiedBy>
  <cp:revision>5</cp:revision>
  <cp:lastPrinted>2019-11-11T07:22:00Z</cp:lastPrinted>
  <dcterms:created xsi:type="dcterms:W3CDTF">2021-03-05T06:50:00Z</dcterms:created>
  <dcterms:modified xsi:type="dcterms:W3CDTF">2021-06-01T13:19:00Z</dcterms:modified>
</cp:coreProperties>
</file>