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650E" w14:textId="11C00E2A" w:rsidR="00C109A7" w:rsidRPr="00535BDD" w:rsidRDefault="00CC26F8" w:rsidP="00C109A7">
      <w:pPr>
        <w:keepNext/>
        <w:spacing w:line="240" w:lineRule="auto"/>
        <w:jc w:val="center"/>
        <w:rPr>
          <w:rFonts w:ascii="Times New Roman" w:eastAsiaTheme="minorHAnsi" w:hAnsi="Times New Roman"/>
          <w:b/>
          <w:bCs/>
          <w:sz w:val="18"/>
          <w:szCs w:val="18"/>
        </w:rPr>
      </w:pPr>
      <w:r>
        <w:rPr>
          <w:rFonts w:ascii="Times New Roman" w:eastAsiaTheme="minorHAnsi" w:hAnsi="Times New Roman"/>
          <w:b/>
          <w:bCs/>
          <w:sz w:val="18"/>
          <w:szCs w:val="18"/>
        </w:rPr>
        <w:t xml:space="preserve"> </w:t>
      </w:r>
      <w:r w:rsidR="00C109A7" w:rsidRPr="00535BDD">
        <w:rPr>
          <w:rFonts w:ascii="Times New Roman" w:eastAsiaTheme="minorHAnsi" w:hAnsi="Times New Roman"/>
          <w:b/>
          <w:bCs/>
          <w:sz w:val="18"/>
          <w:szCs w:val="18"/>
        </w:rPr>
        <w:t xml:space="preserve">Tabula </w:t>
      </w:r>
      <w:r w:rsidR="009D5B00" w:rsidRPr="00535BDD">
        <w:rPr>
          <w:rFonts w:ascii="Times New Roman" w:eastAsiaTheme="minorHAnsi" w:hAnsi="Times New Roman"/>
          <w:b/>
          <w:bCs/>
          <w:sz w:val="18"/>
          <w:szCs w:val="18"/>
        </w:rPr>
        <w:fldChar w:fldCharType="begin"/>
      </w:r>
      <w:r w:rsidR="00C109A7" w:rsidRPr="00535BDD">
        <w:rPr>
          <w:rFonts w:ascii="Times New Roman" w:eastAsiaTheme="minorHAnsi" w:hAnsi="Times New Roman"/>
          <w:b/>
          <w:bCs/>
          <w:sz w:val="18"/>
          <w:szCs w:val="18"/>
        </w:rPr>
        <w:instrText xml:space="preserve"> SEQ Tabula \* ARABIC </w:instrText>
      </w:r>
      <w:r w:rsidR="009D5B00" w:rsidRPr="00535BDD">
        <w:rPr>
          <w:rFonts w:ascii="Times New Roman" w:eastAsiaTheme="minorHAnsi" w:hAnsi="Times New Roman"/>
          <w:b/>
          <w:bCs/>
          <w:sz w:val="18"/>
          <w:szCs w:val="18"/>
        </w:rPr>
        <w:fldChar w:fldCharType="separate"/>
      </w:r>
      <w:r w:rsidR="004522B3">
        <w:rPr>
          <w:rFonts w:ascii="Times New Roman" w:eastAsiaTheme="minorHAnsi" w:hAnsi="Times New Roman"/>
          <w:b/>
          <w:bCs/>
          <w:noProof/>
          <w:sz w:val="18"/>
          <w:szCs w:val="18"/>
        </w:rPr>
        <w:t>1</w:t>
      </w:r>
      <w:r w:rsidR="009D5B00" w:rsidRPr="00535BDD">
        <w:rPr>
          <w:rFonts w:ascii="Times New Roman" w:eastAsiaTheme="minorHAnsi" w:hAnsi="Times New Roman"/>
          <w:b/>
          <w:bCs/>
          <w:sz w:val="18"/>
          <w:szCs w:val="18"/>
        </w:rPr>
        <w:fldChar w:fldCharType="end"/>
      </w:r>
      <w:r w:rsidR="00C109A7" w:rsidRPr="00535BDD">
        <w:rPr>
          <w:rFonts w:ascii="Times New Roman" w:eastAsiaTheme="minorHAnsi" w:hAnsi="Times New Roman"/>
          <w:b/>
          <w:bCs/>
          <w:sz w:val="18"/>
          <w:szCs w:val="18"/>
        </w:rPr>
        <w:t xml:space="preserve"> Rādītāju pase investīciju prioritātes specifiskajiem mērķiem</w:t>
      </w:r>
    </w:p>
    <w:tbl>
      <w:tblPr>
        <w:tblStyle w:val="TableGrid1"/>
        <w:tblW w:w="15735" w:type="dxa"/>
        <w:tblInd w:w="-743" w:type="dxa"/>
        <w:tblLayout w:type="fixed"/>
        <w:tblLook w:val="04A0" w:firstRow="1" w:lastRow="0" w:firstColumn="1" w:lastColumn="0" w:noHBand="0" w:noVBand="1"/>
      </w:tblPr>
      <w:tblGrid>
        <w:gridCol w:w="1135"/>
        <w:gridCol w:w="1310"/>
        <w:gridCol w:w="1310"/>
        <w:gridCol w:w="5318"/>
        <w:gridCol w:w="4961"/>
        <w:gridCol w:w="1701"/>
      </w:tblGrid>
      <w:tr w:rsidR="001F0C54" w:rsidRPr="00535BDD" w14:paraId="7775E726" w14:textId="77777777" w:rsidTr="002E7FB2">
        <w:tc>
          <w:tcPr>
            <w:tcW w:w="1135" w:type="dxa"/>
          </w:tcPr>
          <w:p w14:paraId="2615C917"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Prioritārais virziens</w:t>
            </w:r>
          </w:p>
        </w:tc>
        <w:tc>
          <w:tcPr>
            <w:tcW w:w="1310" w:type="dxa"/>
          </w:tcPr>
          <w:p w14:paraId="2CD04CA0"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Investīciju prioritātes nosaukums</w:t>
            </w:r>
          </w:p>
        </w:tc>
        <w:tc>
          <w:tcPr>
            <w:tcW w:w="1310" w:type="dxa"/>
          </w:tcPr>
          <w:p w14:paraId="4E1864B9"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Specifiskie atbalsta mērķi (SAM)</w:t>
            </w:r>
          </w:p>
        </w:tc>
        <w:tc>
          <w:tcPr>
            <w:tcW w:w="5318" w:type="dxa"/>
          </w:tcPr>
          <w:p w14:paraId="18DCFBCE"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Rezultāta rādītāji</w:t>
            </w:r>
          </w:p>
        </w:tc>
        <w:tc>
          <w:tcPr>
            <w:tcW w:w="4961" w:type="dxa"/>
          </w:tcPr>
          <w:p w14:paraId="70B4C535"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Iznākuma rādītāji (IR)</w:t>
            </w:r>
          </w:p>
        </w:tc>
        <w:tc>
          <w:tcPr>
            <w:tcW w:w="1701" w:type="dxa"/>
          </w:tcPr>
          <w:p w14:paraId="61FE6502" w14:textId="77777777" w:rsidR="001F0C54" w:rsidRPr="00535BDD" w:rsidRDefault="001F0C54" w:rsidP="00C109A7">
            <w:pPr>
              <w:spacing w:after="0" w:line="240" w:lineRule="auto"/>
              <w:jc w:val="center"/>
              <w:rPr>
                <w:rFonts w:ascii="Times New Roman" w:eastAsiaTheme="minorHAnsi" w:hAnsi="Times New Roman"/>
                <w:b/>
                <w:sz w:val="16"/>
                <w:szCs w:val="16"/>
              </w:rPr>
            </w:pPr>
            <w:r w:rsidRPr="00535BDD">
              <w:rPr>
                <w:rFonts w:ascii="Times New Roman" w:eastAsiaTheme="minorHAnsi" w:hAnsi="Times New Roman"/>
                <w:b/>
                <w:sz w:val="16"/>
                <w:szCs w:val="16"/>
              </w:rPr>
              <w:t>Finanšu rādītāji</w:t>
            </w:r>
            <w:r w:rsidRPr="00535BDD">
              <w:rPr>
                <w:rFonts w:ascii="Times New Roman" w:eastAsiaTheme="minorHAnsi" w:hAnsi="Times New Roman"/>
                <w:b/>
                <w:sz w:val="16"/>
                <w:szCs w:val="16"/>
                <w:vertAlign w:val="superscript"/>
              </w:rPr>
              <w:footnoteReference w:id="1"/>
            </w:r>
          </w:p>
        </w:tc>
      </w:tr>
      <w:tr w:rsidR="006E07CA" w:rsidRPr="00535BDD" w14:paraId="4E435D76" w14:textId="77777777" w:rsidTr="005A03DA">
        <w:trPr>
          <w:trHeight w:val="1915"/>
        </w:trPr>
        <w:tc>
          <w:tcPr>
            <w:tcW w:w="1135" w:type="dxa"/>
            <w:vMerge w:val="restart"/>
          </w:tcPr>
          <w:p w14:paraId="01318C74" w14:textId="77777777" w:rsidR="006E07CA" w:rsidRPr="00535BDD" w:rsidRDefault="006E07CA" w:rsidP="001B1A4C">
            <w:pPr>
              <w:spacing w:after="0" w:line="240" w:lineRule="auto"/>
              <w:rPr>
                <w:rFonts w:ascii="Times New Roman" w:eastAsiaTheme="minorHAnsi" w:hAnsi="Times New Roman"/>
                <w:sz w:val="16"/>
                <w:szCs w:val="16"/>
              </w:rPr>
            </w:pPr>
            <w:r w:rsidRPr="00535BDD">
              <w:rPr>
                <w:rFonts w:ascii="Times New Roman" w:eastAsiaTheme="minorHAnsi" w:hAnsi="Times New Roman"/>
                <w:sz w:val="16"/>
                <w:szCs w:val="16"/>
              </w:rPr>
              <w:t>3. Mazo un vidējo komersantu konkurētspēja</w:t>
            </w:r>
          </w:p>
        </w:tc>
        <w:tc>
          <w:tcPr>
            <w:tcW w:w="1310" w:type="dxa"/>
            <w:vMerge w:val="restart"/>
          </w:tcPr>
          <w:p w14:paraId="64E5E421" w14:textId="77777777" w:rsidR="006E07CA" w:rsidRPr="00535BDD" w:rsidRDefault="006E07CA" w:rsidP="001B1A4C">
            <w:pPr>
              <w:spacing w:after="0" w:line="240" w:lineRule="auto"/>
              <w:rPr>
                <w:rFonts w:ascii="Times New Roman" w:eastAsiaTheme="minorHAnsi" w:hAnsi="Times New Roman"/>
                <w:sz w:val="16"/>
                <w:szCs w:val="16"/>
              </w:rPr>
            </w:pPr>
            <w:r w:rsidRPr="00535BDD">
              <w:rPr>
                <w:rFonts w:ascii="Times New Roman" w:eastAsiaTheme="minorHAnsi" w:hAnsi="Times New Roman"/>
                <w:sz w:val="16"/>
                <w:szCs w:val="16"/>
              </w:rPr>
              <w:t>3.4. investīcijas institucionālajās spējās un efektīvā valsts pārvaldē un publiskajos pakalpojumos valsts, reģionālajā un vietējā līmenī, lai panāktu reformas, labāku regulējumu un labu pārvaldību</w:t>
            </w:r>
          </w:p>
        </w:tc>
        <w:tc>
          <w:tcPr>
            <w:tcW w:w="1310" w:type="dxa"/>
            <w:vMerge w:val="restart"/>
          </w:tcPr>
          <w:p w14:paraId="626DA359" w14:textId="359A9D48" w:rsidR="006E07CA" w:rsidRPr="00535BDD" w:rsidRDefault="006E07CA" w:rsidP="001B1A4C">
            <w:pPr>
              <w:spacing w:after="0" w:line="240" w:lineRule="auto"/>
              <w:rPr>
                <w:rFonts w:ascii="Times New Roman" w:eastAsiaTheme="minorHAnsi" w:hAnsi="Times New Roman"/>
                <w:sz w:val="16"/>
                <w:szCs w:val="16"/>
              </w:rPr>
            </w:pPr>
            <w:r w:rsidRPr="00535BDD">
              <w:rPr>
                <w:rFonts w:ascii="Times New Roman" w:eastAsiaTheme="minorHAnsi" w:hAnsi="Times New Roman"/>
                <w:sz w:val="16"/>
                <w:szCs w:val="16"/>
              </w:rPr>
              <w:t xml:space="preserve">3.4.2. </w:t>
            </w:r>
            <w:r w:rsidRPr="00DD30F8">
              <w:rPr>
                <w:rFonts w:ascii="Times New Roman" w:eastAsiaTheme="minorHAnsi" w:hAnsi="Times New Roman"/>
                <w:sz w:val="16"/>
                <w:szCs w:val="16"/>
              </w:rPr>
              <w:t>Valsts pārvaldes profesionālā pilnveide un sociālā dialoga attīstība labāka tiesiskā regulējuma izstrādē mazo un vidējo komersantu atbalsta, korupcijas novēršanas un ēnu ekonomikas mazināšanas jomās</w:t>
            </w:r>
          </w:p>
          <w:p w14:paraId="23207F13" w14:textId="77777777" w:rsidR="006E07CA" w:rsidRPr="00535BDD" w:rsidRDefault="006E07CA" w:rsidP="001B1A4C">
            <w:pPr>
              <w:spacing w:after="0" w:line="240" w:lineRule="auto"/>
              <w:rPr>
                <w:rFonts w:ascii="Times New Roman" w:eastAsiaTheme="minorHAnsi" w:hAnsi="Times New Roman"/>
                <w:b/>
                <w:sz w:val="16"/>
                <w:szCs w:val="16"/>
              </w:rPr>
            </w:pPr>
            <w:r w:rsidRPr="00535BDD">
              <w:rPr>
                <w:rFonts w:ascii="Times New Roman" w:eastAsiaTheme="minorHAnsi" w:hAnsi="Times New Roman"/>
                <w:b/>
                <w:sz w:val="16"/>
                <w:szCs w:val="16"/>
              </w:rPr>
              <w:t>(Fonds - ESF)</w:t>
            </w:r>
          </w:p>
        </w:tc>
        <w:tc>
          <w:tcPr>
            <w:tcW w:w="5318" w:type="dxa"/>
            <w:tcBorders>
              <w:bottom w:val="single" w:sz="4" w:space="0" w:color="auto"/>
            </w:tcBorders>
          </w:tcPr>
          <w:p w14:paraId="30B7CB67"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Nosaukums un mērvienība</w:t>
            </w:r>
            <w:r w:rsidRPr="00535BDD">
              <w:rPr>
                <w:rFonts w:ascii="Times New Roman" w:eastAsiaTheme="minorHAnsi" w:hAnsi="Times New Roman"/>
                <w:sz w:val="16"/>
                <w:szCs w:val="16"/>
              </w:rPr>
              <w:t xml:space="preserve">: </w:t>
            </w:r>
          </w:p>
          <w:p w14:paraId="1602FD8C" w14:textId="6A2405BE" w:rsidR="006E07CA" w:rsidRPr="00535BDD" w:rsidRDefault="006E07CA" w:rsidP="00F133F4">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sz w:val="16"/>
                <w:szCs w:val="16"/>
              </w:rPr>
              <w:t xml:space="preserve">r.3.4.2.a </w:t>
            </w:r>
            <w:r w:rsidRPr="007C2091">
              <w:rPr>
                <w:rFonts w:ascii="Times New Roman" w:eastAsiaTheme="minorHAnsi" w:hAnsi="Times New Roman"/>
                <w:b/>
                <w:sz w:val="16"/>
                <w:szCs w:val="16"/>
              </w:rPr>
              <w:t>Profesionālo kompetenci paaugstinājušo personu skaits labāka regulējuma izstrādē MVK atbalsta, korupcijas novēršanas un ēnu ekonomikas mazināšanas jomās, personas</w:t>
            </w:r>
          </w:p>
          <w:p w14:paraId="0BC59025" w14:textId="77777777" w:rsidR="006E07CA" w:rsidRPr="00535BDD" w:rsidRDefault="006E07CA" w:rsidP="00F133F4">
            <w:pPr>
              <w:spacing w:after="0" w:line="240" w:lineRule="auto"/>
              <w:jc w:val="both"/>
              <w:rPr>
                <w:rFonts w:ascii="Times New Roman" w:eastAsiaTheme="minorHAnsi" w:hAnsi="Times New Roman"/>
                <w:i/>
                <w:sz w:val="16"/>
                <w:szCs w:val="16"/>
              </w:rPr>
            </w:pPr>
          </w:p>
          <w:p w14:paraId="35379C55" w14:textId="77777777" w:rsidR="006E07CA" w:rsidRPr="00535BDD" w:rsidRDefault="006E07CA" w:rsidP="00F133F4">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i/>
                <w:sz w:val="16"/>
                <w:szCs w:val="16"/>
              </w:rPr>
              <w:t>Definīcija</w:t>
            </w:r>
            <w:bookmarkStart w:id="0" w:name="_Ref356206606"/>
            <w:r w:rsidRPr="00535BDD">
              <w:rPr>
                <w:rFonts w:ascii="Times New Roman" w:eastAsiaTheme="minorHAnsi" w:hAnsi="Times New Roman"/>
                <w:i/>
                <w:sz w:val="16"/>
                <w:szCs w:val="16"/>
                <w:vertAlign w:val="superscript"/>
              </w:rPr>
              <w:footnoteReference w:id="2"/>
            </w:r>
            <w:bookmarkEnd w:id="0"/>
            <w:r w:rsidRPr="00535BDD">
              <w:rPr>
                <w:rFonts w:ascii="Times New Roman" w:eastAsiaTheme="minorHAnsi" w:hAnsi="Times New Roman"/>
                <w:i/>
                <w:sz w:val="16"/>
                <w:szCs w:val="16"/>
              </w:rPr>
              <w:t>:</w:t>
            </w:r>
          </w:p>
          <w:p w14:paraId="317527E5"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Rādītājs raksturo apmācību dalībniekiem  izsniegto sertifikātu par kompetences paaugstināšanu skaitu (nevis unikālo dalībnieku skaitu). Sertifikāti tiks izsniegti valsts pārvaldes darbiniekiem, kuri, apgūstot mācību programmu, mācību noslēgumā kārto zināšanu pārbaudes testu un, iegūstot sekmīgu novērtējumu, rezultātā ir paaugstinājuši profesionālo kompetenci labāka regulējuma izstrādē mazo un vidējo saimnieciskās darbības veicēju atbalsta, korupcijas novēršanas un ēnu ekonomikas mazināšanas jomās.</w:t>
            </w:r>
          </w:p>
          <w:p w14:paraId="76884CD0" w14:textId="77777777" w:rsidR="006E07CA" w:rsidRPr="00535BDD" w:rsidRDefault="006E07CA" w:rsidP="00F133F4">
            <w:pPr>
              <w:spacing w:after="0" w:line="240" w:lineRule="auto"/>
              <w:jc w:val="both"/>
              <w:rPr>
                <w:rFonts w:ascii="Times New Roman" w:eastAsiaTheme="minorHAnsi" w:hAnsi="Times New Roman"/>
                <w:sz w:val="16"/>
                <w:szCs w:val="16"/>
              </w:rPr>
            </w:pPr>
          </w:p>
          <w:p w14:paraId="65F7B27C"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Bāzes vērtība un tās noteikšanas gads</w:t>
            </w:r>
            <w:r w:rsidRPr="00535BDD">
              <w:rPr>
                <w:rFonts w:ascii="Times New Roman" w:eastAsiaTheme="minorHAnsi" w:hAnsi="Times New Roman"/>
                <w:sz w:val="16"/>
                <w:szCs w:val="16"/>
              </w:rPr>
              <w:t>:</w:t>
            </w:r>
          </w:p>
          <w:p w14:paraId="2412B303" w14:textId="77777777" w:rsidR="006E07CA" w:rsidRDefault="006E07CA" w:rsidP="00AC718F">
            <w:pPr>
              <w:spacing w:after="0" w:line="240" w:lineRule="auto"/>
              <w:jc w:val="both"/>
              <w:rPr>
                <w:rFonts w:ascii="Times New Roman" w:eastAsiaTheme="minorHAnsi" w:hAnsi="Times New Roman" w:cstheme="minorBidi"/>
                <w:sz w:val="16"/>
                <w:szCs w:val="16"/>
              </w:rPr>
            </w:pPr>
            <w:r>
              <w:rPr>
                <w:rFonts w:ascii="Times New Roman" w:eastAsiaTheme="minorHAnsi" w:hAnsi="Times New Roman" w:cstheme="minorBidi"/>
                <w:sz w:val="16"/>
                <w:szCs w:val="16"/>
              </w:rPr>
              <w:t>823</w:t>
            </w:r>
            <w:r w:rsidRPr="007D38D0">
              <w:rPr>
                <w:rFonts w:ascii="Times New Roman" w:eastAsiaTheme="minorHAnsi" w:hAnsi="Times New Roman" w:cstheme="minorBidi"/>
                <w:sz w:val="16"/>
                <w:szCs w:val="16"/>
              </w:rPr>
              <w:t xml:space="preserve"> (2013)</w:t>
            </w:r>
          </w:p>
          <w:p w14:paraId="7C6A2F49" w14:textId="77777777" w:rsidR="006E07CA" w:rsidRPr="007D38D0" w:rsidRDefault="006E07CA" w:rsidP="00AC718F">
            <w:pPr>
              <w:spacing w:after="0" w:line="240" w:lineRule="auto"/>
              <w:jc w:val="both"/>
              <w:rPr>
                <w:rFonts w:ascii="Times New Roman" w:eastAsiaTheme="minorHAnsi" w:hAnsi="Times New Roman" w:cstheme="minorBidi"/>
                <w:sz w:val="16"/>
                <w:szCs w:val="16"/>
              </w:rPr>
            </w:pPr>
            <w:r>
              <w:rPr>
                <w:rFonts w:ascii="Times New Roman" w:eastAsiaTheme="minorHAnsi" w:hAnsi="Times New Roman" w:cstheme="minorBidi"/>
                <w:sz w:val="16"/>
                <w:szCs w:val="16"/>
              </w:rPr>
              <w:t>Bāzes vērtības noteikšanā tika uzskaitīti valsts pārvaldes nodarbinātie, kuri 2013.gadā ir piedalījušies VAS organizētajos apmācību kursos (galvenokārt svešvalodu apmācības un iekšējo auditoru sertificēšanas kursi) un mācību noslēgumā kārtojuši zināšanu pārbaudes testu kā rezultātā, iegūstot sekmīgu novērtējumu, ir</w:t>
            </w:r>
            <w:r w:rsidRPr="00822648">
              <w:rPr>
                <w:rFonts w:ascii="Times New Roman" w:eastAsiaTheme="minorHAnsi" w:hAnsi="Times New Roman" w:cstheme="minorBidi"/>
                <w:sz w:val="16"/>
                <w:szCs w:val="16"/>
              </w:rPr>
              <w:t xml:space="preserve"> paaugstinājuši </w:t>
            </w:r>
            <w:r>
              <w:rPr>
                <w:rFonts w:ascii="Times New Roman" w:eastAsiaTheme="minorHAnsi" w:hAnsi="Times New Roman" w:cstheme="minorBidi"/>
                <w:sz w:val="16"/>
                <w:szCs w:val="16"/>
              </w:rPr>
              <w:t xml:space="preserve">profesionālo kompetenci. Kopumā uzskaitīti nodarbinātie no 26 institūcijām, kam ir ietekme uz </w:t>
            </w:r>
            <w:r w:rsidRPr="00822648">
              <w:rPr>
                <w:rFonts w:ascii="Times New Roman" w:eastAsiaTheme="minorHAnsi" w:hAnsi="Times New Roman" w:cstheme="minorBidi"/>
                <w:sz w:val="16"/>
                <w:szCs w:val="16"/>
              </w:rPr>
              <w:t>labāka regulējuma izstrād</w:t>
            </w:r>
            <w:r>
              <w:rPr>
                <w:rFonts w:ascii="Times New Roman" w:eastAsiaTheme="minorHAnsi" w:hAnsi="Times New Roman" w:cstheme="minorBidi"/>
                <w:sz w:val="16"/>
                <w:szCs w:val="16"/>
              </w:rPr>
              <w:t>i</w:t>
            </w:r>
            <w:r w:rsidRPr="00822648">
              <w:rPr>
                <w:rFonts w:ascii="Times New Roman" w:eastAsiaTheme="minorHAnsi" w:hAnsi="Times New Roman" w:cstheme="minorBidi"/>
                <w:sz w:val="16"/>
                <w:szCs w:val="16"/>
              </w:rPr>
              <w:t xml:space="preserve"> </w:t>
            </w:r>
            <w:r w:rsidRPr="00997C87">
              <w:rPr>
                <w:rFonts w:ascii="Times New Roman" w:eastAsiaTheme="minorHAnsi" w:hAnsi="Times New Roman" w:cstheme="minorBidi"/>
                <w:sz w:val="16"/>
                <w:szCs w:val="16"/>
              </w:rPr>
              <w:t>mazo un vidējo saimnieciskās darbības veicēju atbalsta, korupcijas novēršanas un ēnu ekonomikas mazināšanas jomās</w:t>
            </w:r>
            <w:r>
              <w:rPr>
                <w:rFonts w:ascii="Times New Roman" w:eastAsiaTheme="minorHAnsi" w:hAnsi="Times New Roman" w:cstheme="minorBidi"/>
                <w:sz w:val="16"/>
                <w:szCs w:val="16"/>
              </w:rPr>
              <w:t>.</w:t>
            </w:r>
          </w:p>
          <w:p w14:paraId="5CFD80AF" w14:textId="77777777" w:rsidR="006E07CA" w:rsidRPr="00535BDD" w:rsidRDefault="006E07CA" w:rsidP="00F133F4">
            <w:pPr>
              <w:spacing w:after="0" w:line="240" w:lineRule="auto"/>
              <w:jc w:val="both"/>
              <w:rPr>
                <w:rFonts w:ascii="Times New Roman" w:eastAsiaTheme="minorHAnsi" w:hAnsi="Times New Roman"/>
                <w:sz w:val="16"/>
                <w:szCs w:val="16"/>
              </w:rPr>
            </w:pPr>
          </w:p>
          <w:p w14:paraId="043EB2BD"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Datu avots</w:t>
            </w:r>
            <w:r w:rsidRPr="00535BDD">
              <w:rPr>
                <w:rFonts w:ascii="Times New Roman" w:eastAsiaTheme="minorHAnsi" w:hAnsi="Times New Roman"/>
                <w:sz w:val="16"/>
                <w:szCs w:val="16"/>
              </w:rPr>
              <w:t xml:space="preserve">: </w:t>
            </w:r>
          </w:p>
          <w:p w14:paraId="745BA51E"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Projektu uzraudzības dati.</w:t>
            </w:r>
          </w:p>
          <w:p w14:paraId="7ADA7365" w14:textId="77777777" w:rsidR="006E07CA" w:rsidRPr="00535BDD" w:rsidRDefault="006E07CA" w:rsidP="00F133F4">
            <w:pPr>
              <w:spacing w:after="0" w:line="240" w:lineRule="auto"/>
              <w:jc w:val="both"/>
              <w:rPr>
                <w:rFonts w:ascii="Times New Roman" w:eastAsiaTheme="minorHAnsi" w:hAnsi="Times New Roman"/>
                <w:sz w:val="16"/>
                <w:szCs w:val="16"/>
              </w:rPr>
            </w:pPr>
          </w:p>
          <w:p w14:paraId="2989E181" w14:textId="77777777" w:rsidR="006E07CA" w:rsidRPr="00535BDD" w:rsidRDefault="006E07CA" w:rsidP="00F133F4">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i/>
                <w:sz w:val="16"/>
                <w:szCs w:val="16"/>
              </w:rPr>
              <w:t>Apkopošanas biežums un ieguves metodoloģija</w:t>
            </w:r>
            <w:r w:rsidRPr="00535BDD">
              <w:rPr>
                <w:rFonts w:ascii="Times New Roman" w:eastAsiaTheme="minorHAnsi" w:hAnsi="Times New Roman"/>
                <w:i/>
                <w:sz w:val="16"/>
                <w:szCs w:val="16"/>
                <w:vertAlign w:val="superscript"/>
              </w:rPr>
              <w:footnoteReference w:id="3"/>
            </w:r>
            <w:r w:rsidRPr="00535BDD">
              <w:rPr>
                <w:rFonts w:ascii="Times New Roman" w:eastAsiaTheme="minorHAnsi" w:hAnsi="Times New Roman"/>
                <w:i/>
                <w:sz w:val="16"/>
                <w:szCs w:val="16"/>
              </w:rPr>
              <w:t>:</w:t>
            </w:r>
          </w:p>
          <w:p w14:paraId="299CD66D" w14:textId="6C2815AC" w:rsidR="006E07CA" w:rsidRPr="00535BDD" w:rsidRDefault="006E07CA" w:rsidP="00F133F4">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1. reizi gadā</w:t>
            </w:r>
            <w:r w:rsidRPr="00535BDD">
              <w:rPr>
                <w:rFonts w:ascii="Times New Roman" w:eastAsiaTheme="minorHAnsi" w:hAnsi="Times New Roman"/>
                <w:sz w:val="16"/>
                <w:szCs w:val="16"/>
              </w:rPr>
              <w:t>, veicot apmācību dalībniekiem izsniegto sertifikātu uzskaiti apmācību pasākumu laikā</w:t>
            </w:r>
            <w:r>
              <w:rPr>
                <w:rFonts w:ascii="Times New Roman" w:eastAsiaTheme="minorHAnsi" w:hAnsi="Times New Roman"/>
                <w:sz w:val="16"/>
                <w:szCs w:val="16"/>
              </w:rPr>
              <w:t>.</w:t>
            </w:r>
          </w:p>
          <w:p w14:paraId="00DACECC" w14:textId="77777777" w:rsidR="006E07CA" w:rsidRPr="00535BDD" w:rsidRDefault="006E07CA" w:rsidP="00F133F4">
            <w:pPr>
              <w:spacing w:after="0" w:line="240" w:lineRule="auto"/>
              <w:jc w:val="both"/>
              <w:rPr>
                <w:rFonts w:ascii="Times New Roman" w:eastAsiaTheme="minorHAnsi" w:hAnsi="Times New Roman"/>
                <w:sz w:val="16"/>
                <w:szCs w:val="16"/>
              </w:rPr>
            </w:pPr>
          </w:p>
          <w:p w14:paraId="653C0840" w14:textId="3E30A7B6"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Mērķis 2023</w:t>
            </w:r>
            <w:r w:rsidR="00CF6AEE">
              <w:rPr>
                <w:rFonts w:ascii="Times New Roman" w:eastAsiaTheme="minorHAnsi" w:hAnsi="Times New Roman"/>
                <w:i/>
                <w:sz w:val="16"/>
                <w:szCs w:val="16"/>
              </w:rPr>
              <w:t xml:space="preserve"> </w:t>
            </w:r>
            <w:r w:rsidR="00CF6AEE" w:rsidRPr="00CF6AEE">
              <w:rPr>
                <w:rFonts w:ascii="Times New Roman" w:eastAsiaTheme="minorHAnsi" w:hAnsi="Times New Roman"/>
                <w:sz w:val="16"/>
                <w:szCs w:val="16"/>
              </w:rPr>
              <w:t>4</w:t>
            </w:r>
            <w:r w:rsidR="00B34DDF">
              <w:rPr>
                <w:rFonts w:ascii="Times New Roman" w:eastAsiaTheme="minorHAnsi" w:hAnsi="Times New Roman"/>
                <w:sz w:val="16"/>
                <w:szCs w:val="16"/>
              </w:rPr>
              <w:t> </w:t>
            </w:r>
            <w:r w:rsidR="00CF6AEE" w:rsidRPr="00CF6AEE">
              <w:rPr>
                <w:rFonts w:ascii="Times New Roman" w:eastAsiaTheme="minorHAnsi" w:hAnsi="Times New Roman"/>
                <w:sz w:val="16"/>
                <w:szCs w:val="16"/>
              </w:rPr>
              <w:t>733</w:t>
            </w:r>
            <w:r w:rsidRPr="00535BDD">
              <w:rPr>
                <w:rFonts w:ascii="Times New Roman" w:eastAsiaTheme="minorHAnsi" w:hAnsi="Times New Roman"/>
                <w:sz w:val="16"/>
                <w:szCs w:val="16"/>
              </w:rPr>
              <w:t>sertifikāti</w:t>
            </w:r>
          </w:p>
          <w:p w14:paraId="4B157C88" w14:textId="77777777" w:rsidR="006E07CA" w:rsidRPr="00535BDD" w:rsidRDefault="006E07CA" w:rsidP="00F133F4">
            <w:pPr>
              <w:spacing w:after="0" w:line="240" w:lineRule="auto"/>
              <w:jc w:val="both"/>
              <w:rPr>
                <w:rFonts w:ascii="Times New Roman" w:eastAsiaTheme="minorHAnsi" w:hAnsi="Times New Roman"/>
                <w:sz w:val="16"/>
                <w:szCs w:val="16"/>
              </w:rPr>
            </w:pPr>
          </w:p>
          <w:p w14:paraId="12574753"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Mērķa vērtības noteikšanas principi/metodoloģija</w:t>
            </w:r>
            <w:r w:rsidRPr="00535BDD">
              <w:rPr>
                <w:rFonts w:ascii="Times New Roman" w:eastAsiaTheme="minorHAnsi" w:hAnsi="Times New Roman"/>
                <w:sz w:val="16"/>
                <w:szCs w:val="16"/>
              </w:rPr>
              <w:t xml:space="preserve">: </w:t>
            </w:r>
          </w:p>
          <w:p w14:paraId="3957ED6E"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 xml:space="preserve">Mērķis noteikts, ņemot par pamatu vēsturisko pieredzi 2007.-2013.gada plānošanas periodā apmācību organizēšanā, ņemot vērā specifisko mācību kursu apmeklējumu intensitāti un balstoties uz Valsts administrācijas skolas (VAS) sniegto informāciju par valsts pārvaldes iestāžu definētajām ikgadējām  mācību vajadzībām un VAS apmācītajiem valsts pārvaldes darbiniekiem vidēji gadā, kā arī ņemot vērā valsts tiešās pārvaldes iestādēs un to padotības iestādēs, Korupcijas novēršanas un apkarošanas birojā un ar korupcijas risku saistītajās valsts pārvaldes iestādēs nodarbināto skaitu, kuri potenciāli varētu piedalīties apmācībās. Tā kā līdzšinējā laika posmā eksaminēšanas procesa rezultātā </w:t>
            </w:r>
            <w:r w:rsidRPr="00535BDD">
              <w:rPr>
                <w:rFonts w:ascii="Times New Roman" w:eastAsiaTheme="minorHAnsi" w:hAnsi="Times New Roman"/>
                <w:sz w:val="16"/>
                <w:szCs w:val="16"/>
              </w:rPr>
              <w:lastRenderedPageBreak/>
              <w:t>profesionālo kompetenci paaugstinājušo personu skaits nav ticis uzskaitīts, tad rezultāta rādītājs noteikts, veicot indikatīvu aprēķinu un, pieņemot, ka aptuveni 25% no kopējā mācību dalībnieku skaita būs sekmīgi nokārtojuši gala pārbaudījumu mācību noslēgumā un tādējādi paaugstinājuši profesionālo kompetenci.</w:t>
            </w:r>
          </w:p>
        </w:tc>
        <w:tc>
          <w:tcPr>
            <w:tcW w:w="4961" w:type="dxa"/>
          </w:tcPr>
          <w:p w14:paraId="53D57473" w14:textId="77777777" w:rsidR="006E07CA"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b/>
                <w:i/>
                <w:sz w:val="16"/>
                <w:szCs w:val="16"/>
              </w:rPr>
              <w:lastRenderedPageBreak/>
              <w:t>IR1</w:t>
            </w:r>
            <w:r w:rsidRPr="00535BDD">
              <w:rPr>
                <w:rFonts w:ascii="Times New Roman" w:eastAsiaTheme="minorHAnsi" w:hAnsi="Times New Roman"/>
                <w:i/>
                <w:sz w:val="16"/>
                <w:szCs w:val="16"/>
              </w:rPr>
              <w:t xml:space="preserve"> nosaukums un mērvienība</w:t>
            </w:r>
            <w:r w:rsidRPr="00535BDD">
              <w:rPr>
                <w:rFonts w:ascii="Times New Roman" w:eastAsiaTheme="minorHAnsi" w:hAnsi="Times New Roman"/>
                <w:sz w:val="16"/>
                <w:szCs w:val="16"/>
              </w:rPr>
              <w:t>:</w:t>
            </w:r>
          </w:p>
          <w:p w14:paraId="7D3C6A3A" w14:textId="02FD455C"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 xml:space="preserve"> i.3.4.2.a  </w:t>
            </w:r>
            <w:r w:rsidRPr="007C2091">
              <w:rPr>
                <w:rFonts w:ascii="Times New Roman" w:eastAsiaTheme="minorHAnsi" w:hAnsi="Times New Roman"/>
                <w:b/>
                <w:sz w:val="16"/>
                <w:szCs w:val="16"/>
              </w:rPr>
              <w:t>Apmācīto personu skaits labāka regulējuma izstrādē mazo un vidējo komersantu atbalsta, korupcijas novēršanas un ēnu ekonomikas mazināšanas jomās</w:t>
            </w:r>
            <w:r>
              <w:rPr>
                <w:rFonts w:ascii="Times New Roman" w:eastAsiaTheme="minorHAnsi" w:hAnsi="Times New Roman"/>
                <w:b/>
                <w:sz w:val="16"/>
                <w:szCs w:val="16"/>
              </w:rPr>
              <w:t>,</w:t>
            </w:r>
            <w:r w:rsidRPr="007C2091">
              <w:rPr>
                <w:rFonts w:ascii="Times New Roman" w:eastAsiaTheme="minorHAnsi" w:hAnsi="Times New Roman"/>
                <w:b/>
                <w:sz w:val="16"/>
                <w:szCs w:val="16"/>
              </w:rPr>
              <w:t xml:space="preserve"> personas</w:t>
            </w:r>
          </w:p>
          <w:p w14:paraId="11C42809" w14:textId="77777777" w:rsidR="006E07CA" w:rsidRPr="00535BDD" w:rsidRDefault="006E07CA" w:rsidP="00F133F4">
            <w:pPr>
              <w:spacing w:after="0" w:line="240" w:lineRule="auto"/>
              <w:jc w:val="both"/>
              <w:rPr>
                <w:rFonts w:ascii="Times New Roman" w:eastAsiaTheme="minorHAnsi" w:hAnsi="Times New Roman"/>
                <w:sz w:val="16"/>
                <w:szCs w:val="16"/>
              </w:rPr>
            </w:pPr>
          </w:p>
          <w:p w14:paraId="2D40A994" w14:textId="72CC94F6"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Definīcija</w:t>
            </w:r>
            <w:r w:rsidRPr="00535BDD">
              <w:rPr>
                <w:rFonts w:ascii="Times New Roman" w:hAnsi="Times New Roman"/>
                <w:sz w:val="16"/>
                <w:szCs w:val="16"/>
                <w:vertAlign w:val="superscript"/>
              </w:rPr>
              <w:fldChar w:fldCharType="begin"/>
            </w:r>
            <w:r w:rsidRPr="00535BDD">
              <w:rPr>
                <w:rFonts w:ascii="Times New Roman" w:hAnsi="Times New Roman"/>
                <w:sz w:val="16"/>
                <w:szCs w:val="16"/>
                <w:vertAlign w:val="superscript"/>
              </w:rPr>
              <w:instrText xml:space="preserve"> NOTEREF _Ref356206606 \h  \* MERGEFORMAT </w:instrText>
            </w:r>
            <w:r w:rsidRPr="00535BDD">
              <w:rPr>
                <w:rFonts w:ascii="Times New Roman" w:hAnsi="Times New Roman"/>
                <w:sz w:val="16"/>
                <w:szCs w:val="16"/>
                <w:vertAlign w:val="superscript"/>
              </w:rPr>
            </w:r>
            <w:r w:rsidRPr="00535BDD">
              <w:rPr>
                <w:rFonts w:ascii="Times New Roman" w:hAnsi="Times New Roman"/>
                <w:sz w:val="16"/>
                <w:szCs w:val="16"/>
                <w:vertAlign w:val="superscript"/>
              </w:rPr>
              <w:fldChar w:fldCharType="separate"/>
            </w:r>
            <w:r w:rsidR="004522B3">
              <w:rPr>
                <w:rFonts w:ascii="Times New Roman" w:hAnsi="Times New Roman"/>
                <w:sz w:val="16"/>
                <w:szCs w:val="16"/>
                <w:vertAlign w:val="superscript"/>
              </w:rPr>
              <w:t>2</w:t>
            </w:r>
            <w:r w:rsidRPr="00535BDD">
              <w:rPr>
                <w:rFonts w:ascii="Times New Roman" w:hAnsi="Times New Roman"/>
                <w:sz w:val="16"/>
                <w:szCs w:val="16"/>
                <w:vertAlign w:val="superscript"/>
              </w:rPr>
              <w:fldChar w:fldCharType="end"/>
            </w:r>
            <w:r w:rsidRPr="00535BDD">
              <w:rPr>
                <w:rFonts w:ascii="Times New Roman" w:eastAsiaTheme="minorHAnsi" w:hAnsi="Times New Roman"/>
                <w:i/>
                <w:sz w:val="16"/>
                <w:szCs w:val="16"/>
              </w:rPr>
              <w:t xml:space="preserve">: </w:t>
            </w:r>
            <w:r w:rsidRPr="00535BDD">
              <w:rPr>
                <w:rFonts w:ascii="Times New Roman" w:eastAsiaTheme="minorHAnsi" w:hAnsi="Times New Roman"/>
                <w:sz w:val="16"/>
                <w:szCs w:val="16"/>
              </w:rPr>
              <w:t xml:space="preserve">Rādītājs raksturo apmeklējumu skaitu apmācībās (nevis unikālo dalībnieku skaitu), t.i., rādītājs parāda, cik reizes apmācību dalībnieki ir piedalījušies apmācībās par labāka regulējuma izstrādi mazo un vidējo saimnieciskās darbības veicēju atbalsta, korupcijas novēršanas un ēnu ekonomikas mazināšanas jomās. Apmācības paredzētas tiešās valsts pārvaldes iestāžu darbiniekiem un to padotības iestādēm, kā arī Korupcijas novēršanas un apkarošanas biroja un ar korupcijas risku saistīto valsts pārvaldes iestāžu nodarbinātajiem. </w:t>
            </w:r>
          </w:p>
          <w:p w14:paraId="24B6511C" w14:textId="77777777" w:rsidR="006E07CA" w:rsidRDefault="006E07CA" w:rsidP="00F133F4">
            <w:pPr>
              <w:spacing w:after="0" w:line="240" w:lineRule="auto"/>
              <w:jc w:val="both"/>
              <w:rPr>
                <w:rFonts w:ascii="Times New Roman" w:eastAsiaTheme="minorHAnsi" w:hAnsi="Times New Roman"/>
                <w:sz w:val="16"/>
                <w:szCs w:val="16"/>
              </w:rPr>
            </w:pPr>
          </w:p>
          <w:p w14:paraId="50C3B5E0" w14:textId="1EDC52B2" w:rsidR="006E07CA" w:rsidRDefault="006E07CA" w:rsidP="001E05A0">
            <w:pPr>
              <w:spacing w:after="0" w:line="240" w:lineRule="auto"/>
              <w:jc w:val="both"/>
              <w:rPr>
                <w:rFonts w:ascii="Times New Roman" w:eastAsiaTheme="minorHAnsi" w:hAnsi="Times New Roman" w:cstheme="minorBidi"/>
                <w:sz w:val="16"/>
                <w:szCs w:val="16"/>
              </w:rPr>
            </w:pPr>
            <w:r>
              <w:rPr>
                <w:rFonts w:ascii="Times New Roman" w:eastAsiaTheme="minorHAnsi" w:hAnsi="Times New Roman" w:cstheme="minorBidi"/>
                <w:sz w:val="16"/>
                <w:szCs w:val="16"/>
              </w:rPr>
              <w:t>3.4.2. specifiskā atbalsta mērķa gadījumā par darbību ir uzskatāms projekts un attiecīgi projektu līmenī notiks uzraudzības rādītāju uzskaite. Specifiskā atbalsta mērķa ietvaros tiek plānots īstenot trīs darbības/projektus:</w:t>
            </w:r>
          </w:p>
          <w:p w14:paraId="7F253846" w14:textId="77777777" w:rsidR="006E07CA" w:rsidRPr="00A46CCA" w:rsidRDefault="006E07CA" w:rsidP="001E05A0">
            <w:pPr>
              <w:spacing w:after="0" w:line="240" w:lineRule="auto"/>
              <w:ind w:left="317" w:hanging="142"/>
              <w:jc w:val="both"/>
              <w:rPr>
                <w:rFonts w:ascii="Times New Roman" w:eastAsiaTheme="minorHAnsi" w:hAnsi="Times New Roman" w:cstheme="minorBidi"/>
                <w:sz w:val="16"/>
                <w:szCs w:val="16"/>
              </w:rPr>
            </w:pPr>
            <w:r w:rsidRPr="00A46CCA">
              <w:rPr>
                <w:rFonts w:ascii="Times New Roman" w:eastAsiaTheme="minorHAnsi" w:hAnsi="Times New Roman" w:cstheme="minorBidi"/>
                <w:sz w:val="16"/>
                <w:szCs w:val="16"/>
              </w:rPr>
              <w:t>•</w:t>
            </w:r>
            <w:r>
              <w:rPr>
                <w:rFonts w:ascii="Times New Roman" w:eastAsiaTheme="minorHAnsi" w:hAnsi="Times New Roman" w:cstheme="minorBidi"/>
                <w:sz w:val="16"/>
                <w:szCs w:val="16"/>
              </w:rPr>
              <w:t xml:space="preserve"> </w:t>
            </w:r>
            <w:r w:rsidRPr="00A46CCA">
              <w:rPr>
                <w:rFonts w:ascii="Times New Roman" w:eastAsiaTheme="minorHAnsi" w:hAnsi="Times New Roman" w:cstheme="minorBidi"/>
                <w:sz w:val="16"/>
                <w:szCs w:val="16"/>
              </w:rPr>
              <w:t>valsts pārvaldes iestādēs nodarbināto profesionālās pilnveides projekt</w:t>
            </w:r>
            <w:r>
              <w:rPr>
                <w:rFonts w:ascii="Times New Roman" w:eastAsiaTheme="minorHAnsi" w:hAnsi="Times New Roman" w:cstheme="minorBidi"/>
                <w:sz w:val="16"/>
                <w:szCs w:val="16"/>
              </w:rPr>
              <w:t>s</w:t>
            </w:r>
            <w:r w:rsidRPr="00A46CCA">
              <w:rPr>
                <w:rFonts w:ascii="Times New Roman" w:eastAsiaTheme="minorHAnsi" w:hAnsi="Times New Roman" w:cstheme="minorBidi"/>
                <w:sz w:val="16"/>
                <w:szCs w:val="16"/>
              </w:rPr>
              <w:t xml:space="preserve"> labāka regulējuma izstrādē mazo un vidējo komersantu atbalsta jomā</w:t>
            </w:r>
            <w:r>
              <w:rPr>
                <w:rFonts w:ascii="Times New Roman" w:eastAsiaTheme="minorHAnsi" w:hAnsi="Times New Roman" w:cstheme="minorBidi"/>
                <w:sz w:val="16"/>
                <w:szCs w:val="16"/>
              </w:rPr>
              <w:t>;</w:t>
            </w:r>
          </w:p>
          <w:p w14:paraId="51ECD6D5" w14:textId="77777777" w:rsidR="006E07CA" w:rsidRPr="00A46CCA" w:rsidRDefault="006E07CA" w:rsidP="001E05A0">
            <w:pPr>
              <w:spacing w:after="0" w:line="240" w:lineRule="auto"/>
              <w:ind w:left="317" w:hanging="142"/>
              <w:jc w:val="both"/>
              <w:rPr>
                <w:rFonts w:ascii="Times New Roman" w:eastAsiaTheme="minorHAnsi" w:hAnsi="Times New Roman" w:cstheme="minorBidi"/>
                <w:sz w:val="16"/>
                <w:szCs w:val="16"/>
              </w:rPr>
            </w:pPr>
            <w:r w:rsidRPr="00A46CCA">
              <w:rPr>
                <w:rFonts w:ascii="Times New Roman" w:eastAsiaTheme="minorHAnsi" w:hAnsi="Times New Roman" w:cstheme="minorBidi"/>
                <w:sz w:val="16"/>
                <w:szCs w:val="16"/>
              </w:rPr>
              <w:t>•</w:t>
            </w:r>
            <w:r>
              <w:rPr>
                <w:rFonts w:ascii="Times New Roman" w:eastAsiaTheme="minorHAnsi" w:hAnsi="Times New Roman" w:cstheme="minorBidi"/>
                <w:sz w:val="16"/>
                <w:szCs w:val="16"/>
              </w:rPr>
              <w:t xml:space="preserve"> </w:t>
            </w:r>
            <w:r w:rsidRPr="00A46CCA">
              <w:rPr>
                <w:rFonts w:ascii="Times New Roman" w:eastAsiaTheme="minorHAnsi" w:hAnsi="Times New Roman" w:cstheme="minorBidi"/>
                <w:sz w:val="16"/>
                <w:szCs w:val="16"/>
              </w:rPr>
              <w:t>valsts pārvaldes iestāžu augstākā līmeņa vadītāju profesionālās pilnveides projekt</w:t>
            </w:r>
            <w:r>
              <w:rPr>
                <w:rFonts w:ascii="Times New Roman" w:eastAsiaTheme="minorHAnsi" w:hAnsi="Times New Roman" w:cstheme="minorBidi"/>
                <w:sz w:val="16"/>
                <w:szCs w:val="16"/>
              </w:rPr>
              <w:t>s</w:t>
            </w:r>
            <w:r w:rsidRPr="00A46CCA">
              <w:rPr>
                <w:rFonts w:ascii="Times New Roman" w:eastAsiaTheme="minorHAnsi" w:hAnsi="Times New Roman" w:cstheme="minorBidi"/>
                <w:sz w:val="16"/>
                <w:szCs w:val="16"/>
              </w:rPr>
              <w:t xml:space="preserve"> labāka regulējuma izstrādē mazo un vidējo komersantu atbalsta jomā</w:t>
            </w:r>
            <w:r>
              <w:rPr>
                <w:rFonts w:ascii="Times New Roman" w:eastAsiaTheme="minorHAnsi" w:hAnsi="Times New Roman" w:cstheme="minorBidi"/>
                <w:sz w:val="16"/>
                <w:szCs w:val="16"/>
              </w:rPr>
              <w:t>;</w:t>
            </w:r>
            <w:r w:rsidRPr="00A46CCA">
              <w:rPr>
                <w:rFonts w:ascii="Times New Roman" w:eastAsiaTheme="minorHAnsi" w:hAnsi="Times New Roman" w:cstheme="minorBidi"/>
                <w:sz w:val="16"/>
                <w:szCs w:val="16"/>
              </w:rPr>
              <w:t xml:space="preserve"> </w:t>
            </w:r>
          </w:p>
          <w:p w14:paraId="291975AA" w14:textId="05FA7788" w:rsidR="006E07CA" w:rsidRDefault="006E07CA" w:rsidP="001E05A0">
            <w:pPr>
              <w:spacing w:after="0" w:line="240" w:lineRule="auto"/>
              <w:ind w:left="317" w:hanging="142"/>
              <w:jc w:val="both"/>
              <w:rPr>
                <w:rFonts w:ascii="Times New Roman" w:eastAsiaTheme="minorHAnsi" w:hAnsi="Times New Roman"/>
                <w:sz w:val="16"/>
                <w:szCs w:val="16"/>
              </w:rPr>
            </w:pPr>
            <w:r w:rsidRPr="00A46CCA">
              <w:rPr>
                <w:rFonts w:ascii="Times New Roman" w:eastAsiaTheme="minorHAnsi" w:hAnsi="Times New Roman" w:cstheme="minorBidi"/>
                <w:sz w:val="16"/>
                <w:szCs w:val="16"/>
              </w:rPr>
              <w:t>•</w:t>
            </w:r>
            <w:r w:rsidRPr="00A46CCA">
              <w:rPr>
                <w:rFonts w:ascii="Times New Roman" w:eastAsiaTheme="minorHAnsi" w:hAnsi="Times New Roman" w:cstheme="minorBidi"/>
                <w:sz w:val="16"/>
                <w:szCs w:val="16"/>
              </w:rPr>
              <w:tab/>
              <w:t>valsts pārvaldes iestādēs nodarbināto profesionālās pilnveides projekt</w:t>
            </w:r>
            <w:r>
              <w:rPr>
                <w:rFonts w:ascii="Times New Roman" w:eastAsiaTheme="minorHAnsi" w:hAnsi="Times New Roman" w:cstheme="minorBidi"/>
                <w:sz w:val="16"/>
                <w:szCs w:val="16"/>
              </w:rPr>
              <w:t>s</w:t>
            </w:r>
            <w:r w:rsidRPr="00A46CCA">
              <w:rPr>
                <w:rFonts w:ascii="Times New Roman" w:eastAsiaTheme="minorHAnsi" w:hAnsi="Times New Roman" w:cstheme="minorBidi"/>
                <w:sz w:val="16"/>
                <w:szCs w:val="16"/>
              </w:rPr>
              <w:t xml:space="preserve"> korupcijas novēršanas un ēnu ekonomikas mazināšanas jomā</w:t>
            </w:r>
            <w:r>
              <w:rPr>
                <w:rFonts w:ascii="Times New Roman" w:eastAsiaTheme="minorHAnsi" w:hAnsi="Times New Roman" w:cstheme="minorBidi"/>
                <w:sz w:val="16"/>
                <w:szCs w:val="16"/>
              </w:rPr>
              <w:t>.</w:t>
            </w:r>
          </w:p>
          <w:p w14:paraId="59B8FEF2" w14:textId="77777777" w:rsidR="006E07CA" w:rsidRPr="00535BDD" w:rsidRDefault="006E07CA" w:rsidP="00F133F4">
            <w:pPr>
              <w:spacing w:after="0" w:line="240" w:lineRule="auto"/>
              <w:jc w:val="both"/>
              <w:rPr>
                <w:rFonts w:ascii="Times New Roman" w:eastAsiaTheme="minorHAnsi" w:hAnsi="Times New Roman"/>
                <w:sz w:val="16"/>
                <w:szCs w:val="16"/>
              </w:rPr>
            </w:pPr>
          </w:p>
          <w:p w14:paraId="01525772"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Datu avots</w:t>
            </w:r>
            <w:r w:rsidRPr="00535BDD">
              <w:rPr>
                <w:rFonts w:ascii="Times New Roman" w:eastAsiaTheme="minorHAnsi" w:hAnsi="Times New Roman"/>
                <w:sz w:val="16"/>
                <w:szCs w:val="16"/>
              </w:rPr>
              <w:t>: Projektu uzraudzības dati</w:t>
            </w:r>
          </w:p>
          <w:p w14:paraId="4EF173B3" w14:textId="77777777" w:rsidR="006E07CA" w:rsidRPr="00535BDD" w:rsidRDefault="006E07CA" w:rsidP="00F133F4">
            <w:pPr>
              <w:spacing w:after="0" w:line="240" w:lineRule="auto"/>
              <w:jc w:val="both"/>
              <w:rPr>
                <w:rFonts w:ascii="Times New Roman" w:eastAsiaTheme="minorHAnsi" w:hAnsi="Times New Roman"/>
                <w:sz w:val="16"/>
                <w:szCs w:val="16"/>
              </w:rPr>
            </w:pPr>
          </w:p>
          <w:p w14:paraId="1FF07837" w14:textId="1E2AC478" w:rsidR="006E07CA"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Apkopošanas biežums un ieguves metodoloģija</w:t>
            </w:r>
            <w:r w:rsidRPr="00535BDD">
              <w:rPr>
                <w:rStyle w:val="FootnoteReference"/>
                <w:rFonts w:ascii="Times New Roman" w:eastAsiaTheme="minorHAnsi" w:hAnsi="Times New Roman"/>
                <w:i/>
                <w:sz w:val="16"/>
                <w:szCs w:val="16"/>
              </w:rPr>
              <w:footnoteReference w:id="4"/>
            </w:r>
            <w:r w:rsidRPr="00535BDD">
              <w:rPr>
                <w:rFonts w:ascii="Times New Roman" w:eastAsiaTheme="minorHAnsi" w:hAnsi="Times New Roman"/>
                <w:i/>
                <w:sz w:val="16"/>
                <w:szCs w:val="16"/>
              </w:rPr>
              <w:t xml:space="preserve">: </w:t>
            </w:r>
            <w:r w:rsidR="00350086">
              <w:rPr>
                <w:rFonts w:ascii="Times New Roman" w:eastAsiaTheme="minorHAnsi" w:hAnsi="Times New Roman"/>
                <w:sz w:val="16"/>
                <w:szCs w:val="16"/>
              </w:rPr>
              <w:t>1 r</w:t>
            </w:r>
            <w:r w:rsidR="00350086" w:rsidRPr="000C3298">
              <w:rPr>
                <w:rFonts w:ascii="Times New Roman" w:eastAsiaTheme="minorHAnsi" w:hAnsi="Times New Roman"/>
                <w:sz w:val="16"/>
                <w:szCs w:val="16"/>
              </w:rPr>
              <w:t>eizi gadā</w:t>
            </w:r>
            <w:r w:rsidR="00350086">
              <w:rPr>
                <w:rFonts w:ascii="Times New Roman" w:eastAsiaTheme="minorHAnsi" w:hAnsi="Times New Roman"/>
                <w:sz w:val="16"/>
                <w:szCs w:val="16"/>
              </w:rPr>
              <w:t>, veicot</w:t>
            </w:r>
            <w:r w:rsidR="00350086" w:rsidRPr="000C3298">
              <w:rPr>
                <w:rFonts w:ascii="Times New Roman" w:eastAsiaTheme="minorHAnsi" w:hAnsi="Times New Roman"/>
                <w:sz w:val="16"/>
                <w:szCs w:val="16"/>
              </w:rPr>
              <w:t xml:space="preserve"> </w:t>
            </w:r>
            <w:r w:rsidR="00350086">
              <w:rPr>
                <w:rFonts w:ascii="Times New Roman" w:eastAsiaTheme="minorHAnsi" w:hAnsi="Times New Roman"/>
                <w:sz w:val="16"/>
                <w:szCs w:val="16"/>
              </w:rPr>
              <w:t>i</w:t>
            </w:r>
            <w:r w:rsidR="00350086" w:rsidRPr="000C3298">
              <w:rPr>
                <w:rFonts w:ascii="Times New Roman" w:eastAsiaTheme="minorHAnsi" w:hAnsi="Times New Roman"/>
                <w:sz w:val="16"/>
                <w:szCs w:val="16"/>
              </w:rPr>
              <w:t>nformācija</w:t>
            </w:r>
            <w:r w:rsidR="00350086">
              <w:rPr>
                <w:rFonts w:ascii="Times New Roman" w:eastAsiaTheme="minorHAnsi" w:hAnsi="Times New Roman"/>
                <w:sz w:val="16"/>
                <w:szCs w:val="16"/>
              </w:rPr>
              <w:t>s apkopošanu</w:t>
            </w:r>
            <w:r w:rsidR="00350086" w:rsidRPr="000C3298">
              <w:rPr>
                <w:rFonts w:ascii="Times New Roman" w:eastAsiaTheme="minorHAnsi" w:hAnsi="Times New Roman"/>
                <w:sz w:val="16"/>
                <w:szCs w:val="16"/>
              </w:rPr>
              <w:t xml:space="preserve"> n</w:t>
            </w:r>
            <w:r w:rsidR="00350086">
              <w:rPr>
                <w:rFonts w:ascii="Times New Roman" w:eastAsiaTheme="minorHAnsi" w:hAnsi="Times New Roman"/>
                <w:sz w:val="16"/>
                <w:szCs w:val="16"/>
              </w:rPr>
              <w:t>o projektu progresa pārskatiem.</w:t>
            </w:r>
          </w:p>
          <w:p w14:paraId="76566368" w14:textId="77777777" w:rsidR="006B424C" w:rsidRDefault="006B424C" w:rsidP="00F133F4">
            <w:pPr>
              <w:spacing w:after="0" w:line="240" w:lineRule="auto"/>
              <w:jc w:val="both"/>
              <w:rPr>
                <w:rFonts w:ascii="Times New Roman" w:eastAsiaTheme="minorHAnsi" w:hAnsi="Times New Roman"/>
                <w:sz w:val="16"/>
                <w:szCs w:val="16"/>
              </w:rPr>
            </w:pPr>
          </w:p>
          <w:p w14:paraId="6B3096CC" w14:textId="6D0C5B1B" w:rsidR="006B424C" w:rsidRPr="00917AF1" w:rsidRDefault="006B424C" w:rsidP="00F133F4">
            <w:pPr>
              <w:spacing w:after="0" w:line="240" w:lineRule="auto"/>
              <w:jc w:val="both"/>
              <w:rPr>
                <w:rFonts w:ascii="Times New Roman" w:eastAsiaTheme="minorHAnsi" w:hAnsi="Times New Roman"/>
                <w:sz w:val="16"/>
                <w:szCs w:val="16"/>
              </w:rPr>
            </w:pPr>
            <w:r w:rsidRPr="006B424C">
              <w:rPr>
                <w:rFonts w:ascii="Times New Roman" w:eastAsiaTheme="minorHAnsi" w:hAnsi="Times New Roman"/>
                <w:i/>
                <w:sz w:val="16"/>
                <w:szCs w:val="16"/>
              </w:rPr>
              <w:t xml:space="preserve">Informācija par datiem: </w:t>
            </w:r>
            <w:r w:rsidRPr="00917AF1">
              <w:rPr>
                <w:rFonts w:ascii="Times New Roman" w:eastAsiaTheme="minorHAnsi" w:hAnsi="Times New Roman"/>
                <w:sz w:val="16"/>
                <w:szCs w:val="16"/>
              </w:rPr>
              <w:t>3.4.2.1. pasākumā darbības līmenis ir noteikts projekts, kopumā pasākuma ietvaros ir plānoti 4 projekti.</w:t>
            </w:r>
          </w:p>
          <w:p w14:paraId="6740A148" w14:textId="77777777" w:rsidR="006E07CA" w:rsidRPr="00F930B0" w:rsidRDefault="006E07CA" w:rsidP="00F133F4">
            <w:pPr>
              <w:spacing w:after="0" w:line="240" w:lineRule="auto"/>
              <w:jc w:val="both"/>
              <w:rPr>
                <w:rFonts w:ascii="Times New Roman" w:eastAsiaTheme="minorHAnsi" w:hAnsi="Times New Roman"/>
                <w:sz w:val="16"/>
                <w:szCs w:val="16"/>
              </w:rPr>
            </w:pPr>
          </w:p>
          <w:p w14:paraId="3578360D" w14:textId="77777777"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 xml:space="preserve">Starpposma vērtība 2018: </w:t>
            </w:r>
            <w:r w:rsidRPr="00535BDD">
              <w:rPr>
                <w:rFonts w:ascii="Times New Roman" w:eastAsiaTheme="minorHAnsi" w:hAnsi="Times New Roman"/>
                <w:sz w:val="16"/>
                <w:szCs w:val="16"/>
              </w:rPr>
              <w:t xml:space="preserve">5027 </w:t>
            </w:r>
          </w:p>
          <w:p w14:paraId="5FBE63F7" w14:textId="77777777" w:rsidR="006E07CA" w:rsidRPr="00535BDD" w:rsidRDefault="006E07CA" w:rsidP="00F133F4">
            <w:pPr>
              <w:spacing w:after="0" w:line="240" w:lineRule="auto"/>
              <w:jc w:val="both"/>
              <w:rPr>
                <w:rFonts w:ascii="Times New Roman" w:eastAsiaTheme="minorHAnsi" w:hAnsi="Times New Roman"/>
                <w:i/>
                <w:sz w:val="16"/>
                <w:szCs w:val="16"/>
              </w:rPr>
            </w:pPr>
          </w:p>
          <w:p w14:paraId="260DF35E" w14:textId="5279CFF4"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Mērķis 2023</w:t>
            </w:r>
            <w:r w:rsidRPr="00535BDD">
              <w:rPr>
                <w:rFonts w:ascii="Times New Roman" w:eastAsiaTheme="minorHAnsi" w:hAnsi="Times New Roman"/>
                <w:sz w:val="16"/>
                <w:szCs w:val="16"/>
              </w:rPr>
              <w:t xml:space="preserve">: </w:t>
            </w:r>
            <w:r w:rsidR="00B55D0D" w:rsidRPr="00B55D0D">
              <w:rPr>
                <w:rFonts w:ascii="Times New Roman" w:eastAsiaTheme="minorHAnsi" w:hAnsi="Times New Roman"/>
                <w:sz w:val="16"/>
                <w:szCs w:val="16"/>
              </w:rPr>
              <w:t>29</w:t>
            </w:r>
            <w:r w:rsidR="00B34DDF">
              <w:rPr>
                <w:rFonts w:ascii="Times New Roman" w:eastAsiaTheme="minorHAnsi" w:hAnsi="Times New Roman"/>
                <w:sz w:val="16"/>
                <w:szCs w:val="16"/>
              </w:rPr>
              <w:t> </w:t>
            </w:r>
            <w:r w:rsidR="00CE50AB">
              <w:rPr>
                <w:rFonts w:ascii="Times New Roman" w:eastAsiaTheme="minorHAnsi" w:hAnsi="Times New Roman"/>
                <w:sz w:val="16"/>
                <w:szCs w:val="16"/>
              </w:rPr>
              <w:t>795</w:t>
            </w:r>
          </w:p>
          <w:p w14:paraId="003E2190" w14:textId="77777777" w:rsidR="006E07CA" w:rsidRPr="00535BDD" w:rsidRDefault="006E07CA" w:rsidP="00F133F4">
            <w:pPr>
              <w:spacing w:after="0" w:line="240" w:lineRule="auto"/>
              <w:jc w:val="both"/>
              <w:rPr>
                <w:rFonts w:ascii="Times New Roman" w:eastAsiaTheme="minorHAnsi" w:hAnsi="Times New Roman"/>
                <w:sz w:val="16"/>
                <w:szCs w:val="16"/>
              </w:rPr>
            </w:pPr>
          </w:p>
          <w:p w14:paraId="2F7D8CB9" w14:textId="54AB0F53" w:rsidR="006E07CA" w:rsidRPr="00535BDD" w:rsidRDefault="006E07CA" w:rsidP="00F133F4">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Mērķa vērtības noteikšanas principi/metodoloģija</w:t>
            </w:r>
            <w:r w:rsidRPr="00535BDD">
              <w:rPr>
                <w:rFonts w:ascii="Times New Roman" w:eastAsiaTheme="minorHAnsi" w:hAnsi="Times New Roman"/>
                <w:sz w:val="16"/>
                <w:szCs w:val="16"/>
              </w:rPr>
              <w:t xml:space="preserve">: Mērķis noteikts, ņemot par pamatu vēsturisko pieredzi 2007. -2013. gada plānošanas periodā apmācību organizēšanā - Valsts administrācijas skolas (VAS) mācību kursu kopējo dalībnieku skaitu (36 117) šajā periodā, specifisko mācību kursu apmeklējumu intensitāti un balstoties uz VAS sniegto informāciju par valsts pārvaldes iestāžu definētajām ikgadējām mācību vajadzībām un </w:t>
            </w:r>
            <w:r w:rsidRPr="00535BDD">
              <w:rPr>
                <w:rFonts w:ascii="Times New Roman" w:eastAsiaTheme="minorHAnsi" w:hAnsi="Times New Roman"/>
                <w:sz w:val="16"/>
                <w:szCs w:val="16"/>
              </w:rPr>
              <w:lastRenderedPageBreak/>
              <w:t>VAS apmācītajiem valsts pārvaldes darbiniekiem vidēji gadā, kā arī ņemot vērā valsts tiešās pārvaldes iestādēs un to padotības iestādēs, Korupcijas novēršanas un apkarošanas birojā un ar korupcijas risku saistītajās valsts pārvaldes iestādēs nodarbināto skaitu (kopējais amatpersonu skaits, kas veic kontroles funkciju ēnu ekonomikas apkarošanas kontekstā (amatu klasifikatora 26.3.saime) - 13 371), kuri potenciāli varētu piedalīties apmācībās.</w:t>
            </w:r>
          </w:p>
          <w:p w14:paraId="5EEFF22B" w14:textId="4177D651" w:rsidR="006E07CA" w:rsidRDefault="006E07CA" w:rsidP="00535BDD">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Iznākuma rādītājam sasniegšanai paredzētais finansējums</w:t>
            </w:r>
            <w:bookmarkStart w:id="1" w:name="_Ref356207115"/>
            <w:r w:rsidRPr="00535BDD">
              <w:rPr>
                <w:rFonts w:ascii="Times New Roman" w:eastAsiaTheme="minorHAnsi" w:hAnsi="Times New Roman"/>
                <w:i/>
                <w:sz w:val="16"/>
                <w:szCs w:val="16"/>
                <w:vertAlign w:val="superscript"/>
              </w:rPr>
              <w:footnoteReference w:id="5"/>
            </w:r>
            <w:bookmarkEnd w:id="1"/>
            <w:r w:rsidRPr="00535BDD">
              <w:rPr>
                <w:rFonts w:ascii="Times New Roman" w:eastAsiaTheme="minorHAnsi" w:hAnsi="Times New Roman"/>
                <w:i/>
                <w:sz w:val="16"/>
                <w:szCs w:val="16"/>
              </w:rPr>
              <w:t xml:space="preserve">: </w:t>
            </w:r>
            <w:r w:rsidR="00A7572B" w:rsidRPr="005A03DA">
              <w:rPr>
                <w:rFonts w:ascii="Times New Roman" w:eastAsiaTheme="minorHAnsi" w:hAnsi="Times New Roman"/>
                <w:sz w:val="16"/>
                <w:szCs w:val="16"/>
              </w:rPr>
              <w:t>8 </w:t>
            </w:r>
            <w:r w:rsidR="005A03DA" w:rsidRPr="005A03DA">
              <w:rPr>
                <w:rFonts w:ascii="Times New Roman" w:eastAsiaTheme="minorHAnsi" w:hAnsi="Times New Roman"/>
                <w:sz w:val="16"/>
                <w:szCs w:val="16"/>
              </w:rPr>
              <w:t>1</w:t>
            </w:r>
            <w:r w:rsidR="00A7572B" w:rsidRPr="005A03DA">
              <w:rPr>
                <w:rFonts w:ascii="Times New Roman" w:eastAsiaTheme="minorHAnsi" w:hAnsi="Times New Roman"/>
                <w:sz w:val="16"/>
                <w:szCs w:val="16"/>
              </w:rPr>
              <w:t xml:space="preserve">81 616 </w:t>
            </w:r>
            <w:r w:rsidRPr="005A03DA">
              <w:rPr>
                <w:rFonts w:ascii="Times New Roman" w:eastAsiaTheme="minorHAnsi" w:hAnsi="Times New Roman"/>
                <w:sz w:val="16"/>
                <w:szCs w:val="16"/>
              </w:rPr>
              <w:t>EUR</w:t>
            </w:r>
          </w:p>
          <w:p w14:paraId="7AACD831" w14:textId="77777777" w:rsidR="009C78E6" w:rsidRDefault="009C78E6" w:rsidP="00535BDD">
            <w:pPr>
              <w:spacing w:after="0" w:line="240" w:lineRule="auto"/>
              <w:jc w:val="both"/>
              <w:rPr>
                <w:rFonts w:ascii="Times New Roman" w:eastAsiaTheme="minorHAnsi" w:hAnsi="Times New Roman"/>
                <w:sz w:val="16"/>
                <w:szCs w:val="16"/>
              </w:rPr>
            </w:pPr>
          </w:p>
          <w:p w14:paraId="0CD1EAD5" w14:textId="77777777" w:rsidR="009C78E6" w:rsidRDefault="009C78E6" w:rsidP="009C78E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3.4.2.1.pasākuma ietvaros iznākuma un rezultāta rādītāju sasniegšana ir savstarpēji cieši saistīta, piedaloties apmācībās, apmācītajai personai tiek izsniegts apliecinājums par dalību vai sertifikāts par kompetences paaugstināšanu. </w:t>
            </w:r>
          </w:p>
          <w:p w14:paraId="2B2CCB90" w14:textId="262BAEA4" w:rsidR="007B58FB" w:rsidRDefault="009C78E6" w:rsidP="009C78E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Sertifikāts par kompetences paaugstināšanu tiek izsniegts, ja mācību </w:t>
            </w:r>
            <w:r w:rsidR="006C5435">
              <w:rPr>
                <w:rFonts w:ascii="Times New Roman" w:eastAsiaTheme="minorHAnsi" w:hAnsi="Times New Roman"/>
                <w:sz w:val="16"/>
                <w:szCs w:val="16"/>
              </w:rPr>
              <w:t xml:space="preserve">moduļa </w:t>
            </w:r>
            <w:r>
              <w:rPr>
                <w:rFonts w:ascii="Times New Roman" w:eastAsiaTheme="minorHAnsi" w:hAnsi="Times New Roman"/>
                <w:sz w:val="16"/>
                <w:szCs w:val="16"/>
              </w:rPr>
              <w:t xml:space="preserve">ietvaros ir vidēji noklausīti </w:t>
            </w:r>
            <w:r w:rsidR="00F742B6">
              <w:rPr>
                <w:rFonts w:ascii="Times New Roman" w:eastAsiaTheme="minorHAnsi" w:hAnsi="Times New Roman"/>
                <w:sz w:val="16"/>
                <w:szCs w:val="16"/>
              </w:rPr>
              <w:t>3</w:t>
            </w:r>
            <w:r>
              <w:rPr>
                <w:rFonts w:ascii="Times New Roman" w:eastAsiaTheme="minorHAnsi" w:hAnsi="Times New Roman"/>
                <w:sz w:val="16"/>
                <w:szCs w:val="16"/>
              </w:rPr>
              <w:t xml:space="preserve"> apmācību kursi un ir veiksmīgi nokārtots gala pārbaudījums. </w:t>
            </w:r>
            <w:r w:rsidR="006C5435">
              <w:rPr>
                <w:rFonts w:ascii="Times New Roman" w:eastAsiaTheme="minorHAnsi" w:hAnsi="Times New Roman"/>
                <w:sz w:val="16"/>
                <w:szCs w:val="16"/>
              </w:rPr>
              <w:t xml:space="preserve">Katrs apmācību kurss tiek klasificēts pa mācību tēmām, kopā veidojot kompleksu apmācību programmu, ko ietver apmācību modulī, tāpēc </w:t>
            </w:r>
            <w:r w:rsidR="00566280">
              <w:rPr>
                <w:rFonts w:ascii="Times New Roman" w:eastAsiaTheme="minorHAnsi" w:hAnsi="Times New Roman"/>
                <w:sz w:val="16"/>
                <w:szCs w:val="16"/>
              </w:rPr>
              <w:t>aprēķinā tiek pieņemts, ka katra apmācību kursa izmaksas ir skatāmas atsevišķi un apmācību kursu kopskaits</w:t>
            </w:r>
            <w:r w:rsidR="006C5435">
              <w:rPr>
                <w:rFonts w:ascii="Times New Roman" w:eastAsiaTheme="minorHAnsi" w:hAnsi="Times New Roman"/>
                <w:sz w:val="16"/>
                <w:szCs w:val="16"/>
              </w:rPr>
              <w:t xml:space="preserve"> </w:t>
            </w:r>
            <w:r w:rsidR="00566280">
              <w:rPr>
                <w:rFonts w:ascii="Times New Roman" w:eastAsiaTheme="minorHAnsi" w:hAnsi="Times New Roman"/>
                <w:sz w:val="16"/>
                <w:szCs w:val="16"/>
              </w:rPr>
              <w:t>ietekmē moduļa kopējās izmaksas.</w:t>
            </w:r>
          </w:p>
          <w:p w14:paraId="1279FFFA" w14:textId="6EA9DA9A" w:rsidR="00636115" w:rsidRDefault="00636115" w:rsidP="009C78E6">
            <w:pPr>
              <w:spacing w:after="0" w:line="240" w:lineRule="auto"/>
              <w:jc w:val="both"/>
              <w:rPr>
                <w:rFonts w:ascii="Times New Roman" w:eastAsiaTheme="minorHAnsi" w:hAnsi="Times New Roman"/>
                <w:sz w:val="16"/>
                <w:szCs w:val="16"/>
              </w:rPr>
            </w:pPr>
            <w:r w:rsidRPr="00636115">
              <w:rPr>
                <w:rFonts w:ascii="Times New Roman" w:eastAsiaTheme="minorHAnsi" w:hAnsi="Times New Roman"/>
                <w:sz w:val="16"/>
                <w:szCs w:val="16"/>
              </w:rPr>
              <w:t>Iznākuma rādītāj</w:t>
            </w:r>
            <w:r w:rsidR="000F2516">
              <w:rPr>
                <w:rFonts w:ascii="Times New Roman" w:eastAsiaTheme="minorHAnsi" w:hAnsi="Times New Roman"/>
                <w:sz w:val="16"/>
                <w:szCs w:val="16"/>
              </w:rPr>
              <w:t>ā</w:t>
            </w:r>
            <w:r w:rsidRPr="00636115">
              <w:rPr>
                <w:rFonts w:ascii="Times New Roman" w:eastAsiaTheme="minorHAnsi" w:hAnsi="Times New Roman"/>
                <w:sz w:val="16"/>
                <w:szCs w:val="16"/>
              </w:rPr>
              <w:t xml:space="preserve"> uzskaita visas projekta ietvaros apmācītās personas, arī tās, kuras ir apmācītas un kārtojušas pārbaudījumu, tas nozīmē, ka visi rezultāta rādītāji </w:t>
            </w:r>
            <w:r w:rsidR="000F2516">
              <w:rPr>
                <w:rFonts w:ascii="Times New Roman" w:eastAsiaTheme="minorHAnsi" w:hAnsi="Times New Roman"/>
                <w:sz w:val="16"/>
                <w:szCs w:val="16"/>
              </w:rPr>
              <w:t>tiek</w:t>
            </w:r>
            <w:r w:rsidRPr="00636115">
              <w:rPr>
                <w:rFonts w:ascii="Times New Roman" w:eastAsiaTheme="minorHAnsi" w:hAnsi="Times New Roman"/>
                <w:sz w:val="16"/>
                <w:szCs w:val="16"/>
              </w:rPr>
              <w:t xml:space="preserve"> uzskait</w:t>
            </w:r>
            <w:r w:rsidR="000F2516">
              <w:rPr>
                <w:rFonts w:ascii="Times New Roman" w:eastAsiaTheme="minorHAnsi" w:hAnsi="Times New Roman"/>
                <w:sz w:val="16"/>
                <w:szCs w:val="16"/>
              </w:rPr>
              <w:t>īti</w:t>
            </w:r>
            <w:r w:rsidRPr="00636115">
              <w:rPr>
                <w:rFonts w:ascii="Times New Roman" w:eastAsiaTheme="minorHAnsi" w:hAnsi="Times New Roman"/>
                <w:sz w:val="16"/>
                <w:szCs w:val="16"/>
              </w:rPr>
              <w:t xml:space="preserve"> arī iznākuma rādītājos</w:t>
            </w:r>
            <w:r w:rsidR="000F2516">
              <w:rPr>
                <w:rFonts w:ascii="Times New Roman" w:eastAsiaTheme="minorHAnsi" w:hAnsi="Times New Roman"/>
                <w:sz w:val="16"/>
                <w:szCs w:val="16"/>
              </w:rPr>
              <w:t>.</w:t>
            </w:r>
          </w:p>
          <w:p w14:paraId="6C2A9F47" w14:textId="4B18DD08" w:rsidR="009C78E6" w:rsidRDefault="00566280" w:rsidP="009C78E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 </w:t>
            </w:r>
            <w:r w:rsidR="009C78E6">
              <w:rPr>
                <w:rFonts w:ascii="Times New Roman" w:eastAsiaTheme="minorHAnsi" w:hAnsi="Times New Roman"/>
                <w:sz w:val="16"/>
                <w:szCs w:val="16"/>
              </w:rPr>
              <w:t xml:space="preserve">3.4.2.1. pasākuma rezultāta rādītājs ir noteikts </w:t>
            </w:r>
            <w:r w:rsidR="00B34DDF">
              <w:rPr>
                <w:rFonts w:ascii="Times New Roman" w:eastAsiaTheme="minorHAnsi" w:hAnsi="Times New Roman"/>
                <w:sz w:val="16"/>
                <w:szCs w:val="16"/>
              </w:rPr>
              <w:t>4 733</w:t>
            </w:r>
            <w:r w:rsidR="009C78E6">
              <w:rPr>
                <w:rFonts w:ascii="Times New Roman" w:eastAsiaTheme="minorHAnsi" w:hAnsi="Times New Roman"/>
                <w:sz w:val="16"/>
                <w:szCs w:val="16"/>
              </w:rPr>
              <w:t xml:space="preserve"> sertifikāti, līdz ar to</w:t>
            </w:r>
            <w:r w:rsidR="00CF12B7">
              <w:rPr>
                <w:rFonts w:ascii="Times New Roman" w:eastAsiaTheme="minorHAnsi" w:hAnsi="Times New Roman"/>
                <w:sz w:val="16"/>
                <w:szCs w:val="16"/>
              </w:rPr>
              <w:t xml:space="preserve"> tas</w:t>
            </w:r>
            <w:r w:rsidR="009C78E6">
              <w:rPr>
                <w:rFonts w:ascii="Times New Roman" w:eastAsiaTheme="minorHAnsi" w:hAnsi="Times New Roman"/>
                <w:sz w:val="16"/>
                <w:szCs w:val="16"/>
              </w:rPr>
              <w:t xml:space="preserve"> sastāda </w:t>
            </w:r>
            <w:r w:rsidR="00CF12B7">
              <w:rPr>
                <w:rFonts w:ascii="Times New Roman" w:eastAsiaTheme="minorHAnsi" w:hAnsi="Times New Roman"/>
                <w:sz w:val="16"/>
                <w:szCs w:val="16"/>
              </w:rPr>
              <w:t>14 199</w:t>
            </w:r>
            <w:r w:rsidR="009C78E6">
              <w:rPr>
                <w:rFonts w:ascii="Times New Roman" w:eastAsiaTheme="minorHAnsi" w:hAnsi="Times New Roman"/>
                <w:sz w:val="16"/>
                <w:szCs w:val="16"/>
              </w:rPr>
              <w:t xml:space="preserve"> vienības</w:t>
            </w:r>
            <w:r w:rsidR="006C5435">
              <w:rPr>
                <w:rFonts w:ascii="Times New Roman" w:eastAsiaTheme="minorHAnsi" w:hAnsi="Times New Roman"/>
                <w:sz w:val="16"/>
                <w:szCs w:val="16"/>
              </w:rPr>
              <w:t xml:space="preserve"> (</w:t>
            </w:r>
            <w:r w:rsidR="00CF12B7">
              <w:rPr>
                <w:rFonts w:ascii="Times New Roman" w:eastAsiaTheme="minorHAnsi" w:hAnsi="Times New Roman"/>
                <w:sz w:val="16"/>
                <w:szCs w:val="16"/>
              </w:rPr>
              <w:t>4 733</w:t>
            </w:r>
            <w:r w:rsidR="006C5435">
              <w:rPr>
                <w:rFonts w:ascii="Times New Roman" w:eastAsiaTheme="minorHAnsi" w:hAnsi="Times New Roman"/>
                <w:sz w:val="16"/>
                <w:szCs w:val="16"/>
              </w:rPr>
              <w:t xml:space="preserve"> sertifikāti x </w:t>
            </w:r>
            <w:r w:rsidR="00CF12B7">
              <w:rPr>
                <w:rFonts w:ascii="Times New Roman" w:eastAsiaTheme="minorHAnsi" w:hAnsi="Times New Roman"/>
                <w:sz w:val="16"/>
                <w:szCs w:val="16"/>
              </w:rPr>
              <w:t>3</w:t>
            </w:r>
            <w:r w:rsidR="006C5435">
              <w:rPr>
                <w:rFonts w:ascii="Times New Roman" w:eastAsiaTheme="minorHAnsi" w:hAnsi="Times New Roman"/>
                <w:sz w:val="16"/>
                <w:szCs w:val="16"/>
              </w:rPr>
              <w:t xml:space="preserve"> apmācību kursi)</w:t>
            </w:r>
            <w:r w:rsidR="009C78E6">
              <w:rPr>
                <w:rFonts w:ascii="Times New Roman" w:eastAsiaTheme="minorHAnsi" w:hAnsi="Times New Roman"/>
                <w:sz w:val="16"/>
                <w:szCs w:val="16"/>
              </w:rPr>
              <w:t>.</w:t>
            </w:r>
          </w:p>
          <w:p w14:paraId="3A2D65F2" w14:textId="6749ACEC" w:rsidR="009C78E6" w:rsidRDefault="009C78E6" w:rsidP="009C78E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 Vienas vienības izmaksas veidojas no noteiktā iznākuma rādītāja, kas sastāda </w:t>
            </w:r>
            <w:r w:rsidR="004B475B" w:rsidRPr="004B475B">
              <w:rPr>
                <w:rFonts w:ascii="Times New Roman" w:eastAsiaTheme="minorHAnsi" w:hAnsi="Times New Roman"/>
                <w:sz w:val="16"/>
                <w:szCs w:val="16"/>
              </w:rPr>
              <w:t>29</w:t>
            </w:r>
            <w:r w:rsidR="004B475B">
              <w:rPr>
                <w:rFonts w:ascii="Times New Roman" w:eastAsiaTheme="minorHAnsi" w:hAnsi="Times New Roman"/>
                <w:sz w:val="16"/>
                <w:szCs w:val="16"/>
              </w:rPr>
              <w:t> </w:t>
            </w:r>
            <w:r w:rsidR="007E2A4E">
              <w:rPr>
                <w:rFonts w:ascii="Times New Roman" w:eastAsiaTheme="minorHAnsi" w:hAnsi="Times New Roman"/>
                <w:sz w:val="16"/>
                <w:szCs w:val="16"/>
              </w:rPr>
              <w:t>7</w:t>
            </w:r>
            <w:r w:rsidR="004B475B" w:rsidRPr="004B475B">
              <w:rPr>
                <w:rFonts w:ascii="Times New Roman" w:eastAsiaTheme="minorHAnsi" w:hAnsi="Times New Roman"/>
                <w:sz w:val="16"/>
                <w:szCs w:val="16"/>
              </w:rPr>
              <w:t>9</w:t>
            </w:r>
            <w:r w:rsidR="007E2A4E">
              <w:rPr>
                <w:rFonts w:ascii="Times New Roman" w:eastAsiaTheme="minorHAnsi" w:hAnsi="Times New Roman"/>
                <w:sz w:val="16"/>
                <w:szCs w:val="16"/>
              </w:rPr>
              <w:t>5</w:t>
            </w:r>
            <w:r w:rsidR="004B475B">
              <w:rPr>
                <w:rFonts w:ascii="Times New Roman" w:eastAsiaTheme="minorHAnsi" w:hAnsi="Times New Roman"/>
                <w:sz w:val="16"/>
                <w:szCs w:val="16"/>
              </w:rPr>
              <w:t>, kur 4 733 ir rezultāta rādītājs (29 983-4</w:t>
            </w:r>
            <w:r w:rsidR="00DE4B77">
              <w:rPr>
                <w:rFonts w:ascii="Times New Roman" w:eastAsiaTheme="minorHAnsi" w:hAnsi="Times New Roman"/>
                <w:sz w:val="16"/>
                <w:szCs w:val="16"/>
              </w:rPr>
              <w:t> </w:t>
            </w:r>
            <w:r w:rsidR="004B475B">
              <w:rPr>
                <w:rFonts w:ascii="Times New Roman" w:eastAsiaTheme="minorHAnsi" w:hAnsi="Times New Roman"/>
                <w:sz w:val="16"/>
                <w:szCs w:val="16"/>
              </w:rPr>
              <w:t>733</w:t>
            </w:r>
            <w:r w:rsidR="00DE4B77">
              <w:rPr>
                <w:rFonts w:ascii="Times New Roman" w:eastAsiaTheme="minorHAnsi" w:hAnsi="Times New Roman"/>
                <w:sz w:val="16"/>
                <w:szCs w:val="16"/>
              </w:rPr>
              <w:t>=25</w:t>
            </w:r>
            <w:r w:rsidR="00600373">
              <w:rPr>
                <w:rFonts w:ascii="Times New Roman" w:eastAsiaTheme="minorHAnsi" w:hAnsi="Times New Roman"/>
                <w:sz w:val="16"/>
                <w:szCs w:val="16"/>
              </w:rPr>
              <w:t> </w:t>
            </w:r>
            <w:r w:rsidR="007E2A4E">
              <w:rPr>
                <w:rFonts w:ascii="Times New Roman" w:eastAsiaTheme="minorHAnsi" w:hAnsi="Times New Roman"/>
                <w:sz w:val="16"/>
                <w:szCs w:val="16"/>
              </w:rPr>
              <w:t>06</w:t>
            </w:r>
            <w:r w:rsidR="00DE4B77">
              <w:rPr>
                <w:rFonts w:ascii="Times New Roman" w:eastAsiaTheme="minorHAnsi" w:hAnsi="Times New Roman"/>
                <w:sz w:val="16"/>
                <w:szCs w:val="16"/>
              </w:rPr>
              <w:t>2, rādītājs bez rezultāta rādītāja),</w:t>
            </w:r>
            <w:r w:rsidR="004B475B">
              <w:rPr>
                <w:rFonts w:ascii="Times New Roman" w:eastAsiaTheme="minorHAnsi" w:hAnsi="Times New Roman"/>
                <w:sz w:val="16"/>
                <w:szCs w:val="16"/>
              </w:rPr>
              <w:t xml:space="preserve"> </w:t>
            </w:r>
            <w:r>
              <w:rPr>
                <w:rFonts w:ascii="Times New Roman" w:eastAsiaTheme="minorHAnsi" w:hAnsi="Times New Roman"/>
                <w:sz w:val="16"/>
                <w:szCs w:val="16"/>
              </w:rPr>
              <w:t>apmācītas personas</w:t>
            </w:r>
            <w:r w:rsidR="00DE4B77">
              <w:rPr>
                <w:rFonts w:ascii="Times New Roman" w:eastAsiaTheme="minorHAnsi" w:hAnsi="Times New Roman"/>
                <w:sz w:val="16"/>
                <w:szCs w:val="16"/>
              </w:rPr>
              <w:t xml:space="preserve">. </w:t>
            </w:r>
            <w:r>
              <w:rPr>
                <w:rFonts w:ascii="Times New Roman" w:eastAsiaTheme="minorHAnsi" w:hAnsi="Times New Roman"/>
                <w:sz w:val="16"/>
                <w:szCs w:val="16"/>
              </w:rPr>
              <w:t xml:space="preserve">Vienas vienības izmaksu aprēķins: 8 181 616 </w:t>
            </w:r>
            <w:proofErr w:type="spellStart"/>
            <w:r>
              <w:rPr>
                <w:rFonts w:ascii="Times New Roman" w:eastAsiaTheme="minorHAnsi" w:hAnsi="Times New Roman"/>
                <w:sz w:val="16"/>
                <w:szCs w:val="16"/>
              </w:rPr>
              <w:t>euro</w:t>
            </w:r>
            <w:proofErr w:type="spellEnd"/>
            <w:r>
              <w:rPr>
                <w:rFonts w:ascii="Times New Roman" w:eastAsiaTheme="minorHAnsi" w:hAnsi="Times New Roman"/>
                <w:sz w:val="16"/>
                <w:szCs w:val="16"/>
              </w:rPr>
              <w:t xml:space="preserve"> /</w:t>
            </w:r>
            <w:r w:rsidR="00DE4B77">
              <w:rPr>
                <w:rFonts w:ascii="Times New Roman" w:eastAsiaTheme="minorHAnsi" w:hAnsi="Times New Roman"/>
                <w:sz w:val="16"/>
                <w:szCs w:val="16"/>
              </w:rPr>
              <w:t>(25 </w:t>
            </w:r>
            <w:r w:rsidR="003117FD">
              <w:rPr>
                <w:rFonts w:ascii="Times New Roman" w:eastAsiaTheme="minorHAnsi" w:hAnsi="Times New Roman"/>
                <w:sz w:val="16"/>
                <w:szCs w:val="16"/>
              </w:rPr>
              <w:t>06</w:t>
            </w:r>
            <w:r w:rsidR="00DE4B77">
              <w:rPr>
                <w:rFonts w:ascii="Times New Roman" w:eastAsiaTheme="minorHAnsi" w:hAnsi="Times New Roman"/>
                <w:sz w:val="16"/>
                <w:szCs w:val="16"/>
              </w:rPr>
              <w:t>2+14 199)</w:t>
            </w:r>
            <w:r>
              <w:rPr>
                <w:rFonts w:ascii="Times New Roman" w:eastAsiaTheme="minorHAnsi" w:hAnsi="Times New Roman"/>
                <w:sz w:val="16"/>
                <w:szCs w:val="16"/>
              </w:rPr>
              <w:t xml:space="preserve"> apmācīto personu skait</w:t>
            </w:r>
            <w:r w:rsidR="0012282D">
              <w:rPr>
                <w:rFonts w:ascii="Times New Roman" w:eastAsiaTheme="minorHAnsi" w:hAnsi="Times New Roman"/>
                <w:sz w:val="16"/>
                <w:szCs w:val="16"/>
              </w:rPr>
              <w:t>s</w:t>
            </w:r>
            <w:r>
              <w:rPr>
                <w:rFonts w:ascii="Times New Roman" w:eastAsiaTheme="minorHAnsi" w:hAnsi="Times New Roman"/>
                <w:sz w:val="16"/>
                <w:szCs w:val="16"/>
              </w:rPr>
              <w:t xml:space="preserve"> = </w:t>
            </w:r>
            <w:r w:rsidRPr="00904778">
              <w:rPr>
                <w:rFonts w:ascii="Times New Roman" w:eastAsiaTheme="minorHAnsi" w:hAnsi="Times New Roman"/>
                <w:b/>
                <w:sz w:val="16"/>
                <w:szCs w:val="16"/>
              </w:rPr>
              <w:t>2</w:t>
            </w:r>
            <w:r w:rsidR="00E1308A">
              <w:rPr>
                <w:rFonts w:ascii="Times New Roman" w:eastAsiaTheme="minorHAnsi" w:hAnsi="Times New Roman"/>
                <w:b/>
                <w:sz w:val="16"/>
                <w:szCs w:val="16"/>
              </w:rPr>
              <w:t>0</w:t>
            </w:r>
            <w:r w:rsidR="00C72D57">
              <w:rPr>
                <w:rFonts w:ascii="Times New Roman" w:eastAsiaTheme="minorHAnsi" w:hAnsi="Times New Roman"/>
                <w:b/>
                <w:sz w:val="16"/>
                <w:szCs w:val="16"/>
              </w:rPr>
              <w:t>8</w:t>
            </w:r>
            <w:r w:rsidRPr="00904778">
              <w:rPr>
                <w:rFonts w:ascii="Times New Roman" w:eastAsiaTheme="minorHAnsi" w:hAnsi="Times New Roman"/>
                <w:b/>
                <w:sz w:val="16"/>
                <w:szCs w:val="16"/>
              </w:rPr>
              <w:t>,</w:t>
            </w:r>
            <w:r w:rsidR="00E1308A">
              <w:rPr>
                <w:rFonts w:ascii="Times New Roman" w:eastAsiaTheme="minorHAnsi" w:hAnsi="Times New Roman"/>
                <w:b/>
                <w:sz w:val="16"/>
                <w:szCs w:val="16"/>
              </w:rPr>
              <w:t>40</w:t>
            </w:r>
            <w:r w:rsidRPr="00904778">
              <w:rPr>
                <w:rFonts w:ascii="Times New Roman" w:eastAsiaTheme="minorHAnsi" w:hAnsi="Times New Roman"/>
                <w:b/>
                <w:sz w:val="16"/>
                <w:szCs w:val="16"/>
              </w:rPr>
              <w:t xml:space="preserve"> </w:t>
            </w:r>
            <w:proofErr w:type="spellStart"/>
            <w:r w:rsidRPr="00904778">
              <w:rPr>
                <w:rFonts w:ascii="Times New Roman" w:eastAsiaTheme="minorHAnsi" w:hAnsi="Times New Roman"/>
                <w:b/>
                <w:sz w:val="16"/>
                <w:szCs w:val="16"/>
              </w:rPr>
              <w:t>euro</w:t>
            </w:r>
            <w:proofErr w:type="spellEnd"/>
            <w:r w:rsidRPr="00904778">
              <w:rPr>
                <w:rFonts w:ascii="Times New Roman" w:eastAsiaTheme="minorHAnsi" w:hAnsi="Times New Roman"/>
                <w:b/>
                <w:sz w:val="16"/>
                <w:szCs w:val="16"/>
              </w:rPr>
              <w:t xml:space="preserve"> par</w:t>
            </w:r>
            <w:r w:rsidR="00566280">
              <w:rPr>
                <w:rFonts w:ascii="Times New Roman" w:eastAsiaTheme="minorHAnsi" w:hAnsi="Times New Roman"/>
                <w:b/>
                <w:sz w:val="16"/>
                <w:szCs w:val="16"/>
              </w:rPr>
              <w:t xml:space="preserve"> apmācību</w:t>
            </w:r>
            <w:r w:rsidRPr="00904778">
              <w:rPr>
                <w:rFonts w:ascii="Times New Roman" w:eastAsiaTheme="minorHAnsi" w:hAnsi="Times New Roman"/>
                <w:b/>
                <w:sz w:val="16"/>
                <w:szCs w:val="16"/>
              </w:rPr>
              <w:t xml:space="preserve"> vienību</w:t>
            </w:r>
            <w:r>
              <w:rPr>
                <w:rFonts w:ascii="Times New Roman" w:eastAsiaTheme="minorHAnsi" w:hAnsi="Times New Roman"/>
                <w:sz w:val="16"/>
                <w:szCs w:val="16"/>
              </w:rPr>
              <w:t>.</w:t>
            </w:r>
          </w:p>
          <w:p w14:paraId="719F6AEF" w14:textId="5FABCDBA" w:rsidR="006E07CA" w:rsidRPr="00535BDD" w:rsidRDefault="006E07CA" w:rsidP="00535BDD">
            <w:pPr>
              <w:spacing w:after="0" w:line="240" w:lineRule="auto"/>
              <w:jc w:val="both"/>
              <w:rPr>
                <w:rFonts w:ascii="Times New Roman" w:eastAsiaTheme="minorHAnsi" w:hAnsi="Times New Roman"/>
                <w:i/>
                <w:iCs/>
                <w:color w:val="243F60" w:themeColor="accent1" w:themeShade="7F"/>
                <w:sz w:val="16"/>
                <w:szCs w:val="16"/>
              </w:rPr>
            </w:pPr>
          </w:p>
        </w:tc>
        <w:tc>
          <w:tcPr>
            <w:tcW w:w="1701" w:type="dxa"/>
            <w:vMerge w:val="restart"/>
          </w:tcPr>
          <w:p w14:paraId="6925B599" w14:textId="309F0B7F" w:rsidR="006E07CA" w:rsidRPr="00535BDD" w:rsidRDefault="006E07CA" w:rsidP="00766B11">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i/>
                <w:sz w:val="16"/>
                <w:szCs w:val="16"/>
              </w:rPr>
              <w:lastRenderedPageBreak/>
              <w:t xml:space="preserve">Starpposma vērtība 2018. gadam: </w:t>
            </w:r>
            <w:r w:rsidR="00350086" w:rsidRPr="00535BDD">
              <w:rPr>
                <w:rFonts w:ascii="Times New Roman" w:eastAsiaTheme="minorHAnsi" w:hAnsi="Times New Roman"/>
                <w:sz w:val="16"/>
                <w:szCs w:val="16"/>
              </w:rPr>
              <w:t>3 3</w:t>
            </w:r>
            <w:r w:rsidR="00350086">
              <w:rPr>
                <w:rFonts w:ascii="Times New Roman" w:eastAsiaTheme="minorHAnsi" w:hAnsi="Times New Roman"/>
                <w:sz w:val="16"/>
                <w:szCs w:val="16"/>
              </w:rPr>
              <w:t>39 851</w:t>
            </w:r>
            <w:r w:rsidRPr="00535BDD">
              <w:rPr>
                <w:rFonts w:ascii="Times New Roman" w:eastAsiaTheme="minorHAnsi" w:hAnsi="Times New Roman"/>
                <w:sz w:val="16"/>
                <w:szCs w:val="16"/>
              </w:rPr>
              <w:t xml:space="preserve"> EUR</w:t>
            </w:r>
          </w:p>
          <w:p w14:paraId="66B49648" w14:textId="77777777" w:rsidR="006E07CA" w:rsidRPr="00535BDD" w:rsidRDefault="006E07CA" w:rsidP="00766B11">
            <w:pPr>
              <w:spacing w:after="0" w:line="240" w:lineRule="auto"/>
              <w:jc w:val="both"/>
              <w:rPr>
                <w:rFonts w:ascii="Times New Roman" w:eastAsiaTheme="minorHAnsi" w:hAnsi="Times New Roman"/>
                <w:i/>
                <w:sz w:val="16"/>
                <w:szCs w:val="16"/>
              </w:rPr>
            </w:pPr>
          </w:p>
          <w:p w14:paraId="38F630FB" w14:textId="2258EC4E" w:rsidR="006E07CA" w:rsidRPr="00535BDD" w:rsidRDefault="006E07CA" w:rsidP="00766B11">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i/>
                <w:sz w:val="16"/>
                <w:szCs w:val="16"/>
              </w:rPr>
              <w:t xml:space="preserve">Mērķis 2023. gadam (vienāds ar 100 % no SAM paredzētā kopējā finansējuma): </w:t>
            </w:r>
            <w:r w:rsidR="00A7572B">
              <w:rPr>
                <w:rFonts w:ascii="Times New Roman" w:eastAsiaTheme="minorHAnsi" w:hAnsi="Times New Roman"/>
                <w:sz w:val="16"/>
                <w:szCs w:val="16"/>
              </w:rPr>
              <w:t xml:space="preserve"> </w:t>
            </w:r>
            <w:r w:rsidR="00A7572B" w:rsidRPr="005A03DA">
              <w:rPr>
                <w:rFonts w:ascii="Times New Roman" w:eastAsiaTheme="minorHAnsi" w:hAnsi="Times New Roman"/>
                <w:sz w:val="16"/>
                <w:szCs w:val="16"/>
              </w:rPr>
              <w:t xml:space="preserve">10 081 616 </w:t>
            </w:r>
            <w:r w:rsidRPr="005A03DA">
              <w:rPr>
                <w:rFonts w:ascii="Times New Roman" w:eastAsiaTheme="minorHAnsi" w:hAnsi="Times New Roman"/>
                <w:sz w:val="16"/>
                <w:szCs w:val="16"/>
              </w:rPr>
              <w:t>EUR</w:t>
            </w:r>
          </w:p>
          <w:p w14:paraId="57C1EB71" w14:textId="77777777" w:rsidR="006E07CA" w:rsidRPr="00535BDD" w:rsidRDefault="006E07CA" w:rsidP="00766B11">
            <w:pPr>
              <w:spacing w:after="0" w:line="240" w:lineRule="auto"/>
              <w:jc w:val="both"/>
              <w:rPr>
                <w:rFonts w:ascii="Times New Roman" w:eastAsiaTheme="minorHAnsi" w:hAnsi="Times New Roman"/>
                <w:i/>
                <w:sz w:val="16"/>
                <w:szCs w:val="16"/>
              </w:rPr>
            </w:pPr>
          </w:p>
          <w:p w14:paraId="45723B39" w14:textId="2D576376" w:rsidR="006E07CA" w:rsidRPr="00535BDD" w:rsidRDefault="006E07CA" w:rsidP="00766B11">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 xml:space="preserve">Starpposma vērtības noteikšanas aprēķins: </w:t>
            </w:r>
            <w:r w:rsidRPr="00535BDD">
              <w:rPr>
                <w:rFonts w:ascii="Times New Roman" w:eastAsiaTheme="minorHAnsi" w:hAnsi="Times New Roman"/>
                <w:sz w:val="16"/>
                <w:szCs w:val="16"/>
              </w:rPr>
              <w:t>Aprēķina pamatā ir pieņēmums, ka paredzamais ES fondu finanšu rādītāju progress līdzināsies vēsturiskajam 2007.-2013.gada apguves tempam, kā arī pieņēmums, ka 2014.-2020. plānošanas periodā līdzekļu apguve uzsāksies ātrākais 2015.gada vidū. 2011.gadā izmaksātais ES fondu apmērs bija 33%</w:t>
            </w:r>
            <w:r w:rsidR="00350086">
              <w:rPr>
                <w:rFonts w:ascii="Times New Roman" w:eastAsiaTheme="minorHAnsi" w:hAnsi="Times New Roman"/>
                <w:sz w:val="16"/>
                <w:szCs w:val="16"/>
              </w:rPr>
              <w:t>, kas ir ņemts vērā aprēķinot starpposma vērtību</w:t>
            </w:r>
            <w:r w:rsidR="007E4330">
              <w:rPr>
                <w:rFonts w:ascii="Times New Roman" w:eastAsiaTheme="minorHAnsi" w:hAnsi="Times New Roman"/>
                <w:sz w:val="16"/>
                <w:szCs w:val="16"/>
              </w:rPr>
              <w:t xml:space="preserve"> 2018.gadam, bet papildus tā ir palielināta par</w:t>
            </w:r>
            <w:r w:rsidR="00995482">
              <w:rPr>
                <w:rFonts w:ascii="Times New Roman" w:eastAsiaTheme="minorHAnsi" w:hAnsi="Times New Roman"/>
                <w:sz w:val="16"/>
                <w:szCs w:val="16"/>
              </w:rPr>
              <w:t xml:space="preserve"> </w:t>
            </w:r>
            <w:r w:rsidR="007E4330">
              <w:rPr>
                <w:rFonts w:ascii="Times New Roman" w:eastAsiaTheme="minorHAnsi" w:hAnsi="Times New Roman"/>
                <w:sz w:val="16"/>
                <w:szCs w:val="16"/>
              </w:rPr>
              <w:t>207 687 EUR</w:t>
            </w:r>
            <w:r w:rsidR="00995482">
              <w:rPr>
                <w:rFonts w:ascii="Times New Roman" w:eastAsiaTheme="minorHAnsi" w:hAnsi="Times New Roman"/>
                <w:sz w:val="16"/>
                <w:szCs w:val="16"/>
              </w:rPr>
              <w:t xml:space="preserve">, </w:t>
            </w:r>
            <w:r w:rsidR="007E4330">
              <w:rPr>
                <w:rFonts w:ascii="Times New Roman" w:eastAsiaTheme="minorHAnsi" w:hAnsi="Times New Roman"/>
                <w:sz w:val="16"/>
                <w:szCs w:val="16"/>
              </w:rPr>
              <w:t>ņemot vērā, ka 3.4.2.SAM ietvaros tiek</w:t>
            </w:r>
            <w:r w:rsidR="00993600">
              <w:rPr>
                <w:rFonts w:ascii="Times New Roman" w:eastAsiaTheme="minorHAnsi" w:hAnsi="Times New Roman"/>
                <w:sz w:val="16"/>
                <w:szCs w:val="16"/>
              </w:rPr>
              <w:t xml:space="preserve"> </w:t>
            </w:r>
            <w:r w:rsidR="00993600" w:rsidRPr="005A03DA">
              <w:rPr>
                <w:rFonts w:ascii="Times New Roman" w:eastAsiaTheme="minorHAnsi" w:hAnsi="Times New Roman"/>
                <w:sz w:val="16"/>
                <w:szCs w:val="16"/>
              </w:rPr>
              <w:t>palielināts finansējums</w:t>
            </w:r>
            <w:r w:rsidR="007E4330" w:rsidRPr="005A03DA">
              <w:rPr>
                <w:rFonts w:ascii="Times New Roman" w:eastAsiaTheme="minorHAnsi" w:hAnsi="Times New Roman"/>
                <w:sz w:val="16"/>
                <w:szCs w:val="16"/>
              </w:rPr>
              <w:t xml:space="preserve"> </w:t>
            </w:r>
            <w:r w:rsidR="00993600" w:rsidRPr="005A03DA">
              <w:rPr>
                <w:rFonts w:ascii="Times New Roman" w:eastAsiaTheme="minorHAnsi" w:hAnsi="Times New Roman"/>
                <w:sz w:val="16"/>
                <w:szCs w:val="16"/>
              </w:rPr>
              <w:t xml:space="preserve">un </w:t>
            </w:r>
            <w:r w:rsidR="007E4330" w:rsidRPr="005A03DA">
              <w:rPr>
                <w:rFonts w:ascii="Times New Roman" w:eastAsiaTheme="minorHAnsi" w:hAnsi="Times New Roman"/>
                <w:sz w:val="16"/>
                <w:szCs w:val="16"/>
              </w:rPr>
              <w:t>iesaistīti papildus</w:t>
            </w:r>
            <w:r w:rsidR="007E4330">
              <w:rPr>
                <w:rFonts w:ascii="Times New Roman" w:eastAsiaTheme="minorHAnsi" w:hAnsi="Times New Roman"/>
                <w:sz w:val="16"/>
                <w:szCs w:val="16"/>
              </w:rPr>
              <w:t xml:space="preserve"> finansējuma saņēmēji – sociālie partneri LBAS un LDDK</w:t>
            </w:r>
            <w:r w:rsidRPr="00535BDD">
              <w:rPr>
                <w:rFonts w:ascii="Times New Roman" w:eastAsiaTheme="minorHAnsi" w:hAnsi="Times New Roman"/>
                <w:sz w:val="16"/>
                <w:szCs w:val="16"/>
              </w:rPr>
              <w:t xml:space="preserve">. Balstoties uz iepriekšminēto informāciju, tiek </w:t>
            </w:r>
            <w:r w:rsidRPr="00535BDD">
              <w:rPr>
                <w:rFonts w:ascii="Times New Roman" w:eastAsiaTheme="minorHAnsi" w:hAnsi="Times New Roman"/>
                <w:sz w:val="16"/>
                <w:szCs w:val="16"/>
              </w:rPr>
              <w:lastRenderedPageBreak/>
              <w:t>aprēķināta arī starpposma vērtība 2018.gadam.</w:t>
            </w:r>
          </w:p>
          <w:p w14:paraId="3AF02524" w14:textId="46CCD388" w:rsidR="006E07CA" w:rsidRDefault="00A7572B"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 xml:space="preserve">10 081 616 </w:t>
            </w:r>
            <w:r w:rsidR="006E07CA" w:rsidRPr="005A03DA">
              <w:rPr>
                <w:rFonts w:ascii="Times New Roman" w:eastAsiaTheme="minorHAnsi" w:hAnsi="Times New Roman"/>
                <w:sz w:val="16"/>
                <w:szCs w:val="16"/>
              </w:rPr>
              <w:t>*3</w:t>
            </w:r>
            <w:r w:rsidR="00993600" w:rsidRPr="005A03DA">
              <w:rPr>
                <w:rFonts w:ascii="Times New Roman" w:eastAsiaTheme="minorHAnsi" w:hAnsi="Times New Roman"/>
                <w:sz w:val="16"/>
                <w:szCs w:val="16"/>
              </w:rPr>
              <w:t>3</w:t>
            </w:r>
            <w:r w:rsidR="00CC57F7" w:rsidRPr="005A03DA">
              <w:rPr>
                <w:rFonts w:ascii="Times New Roman" w:eastAsiaTheme="minorHAnsi" w:hAnsi="Times New Roman"/>
                <w:sz w:val="16"/>
                <w:szCs w:val="16"/>
              </w:rPr>
              <w:t>,13</w:t>
            </w:r>
            <w:r w:rsidR="006E07CA" w:rsidRPr="005A03DA">
              <w:rPr>
                <w:rFonts w:ascii="Times New Roman" w:eastAsiaTheme="minorHAnsi" w:hAnsi="Times New Roman"/>
                <w:sz w:val="16"/>
                <w:szCs w:val="16"/>
              </w:rPr>
              <w:t>% =</w:t>
            </w:r>
            <w:r w:rsidR="006E07CA" w:rsidRPr="00535BDD">
              <w:rPr>
                <w:rFonts w:ascii="Times New Roman" w:eastAsiaTheme="minorHAnsi" w:hAnsi="Times New Roman"/>
                <w:sz w:val="16"/>
                <w:szCs w:val="16"/>
              </w:rPr>
              <w:t xml:space="preserve"> 3 3</w:t>
            </w:r>
            <w:r w:rsidR="00350086">
              <w:rPr>
                <w:rFonts w:ascii="Times New Roman" w:eastAsiaTheme="minorHAnsi" w:hAnsi="Times New Roman"/>
                <w:sz w:val="16"/>
                <w:szCs w:val="16"/>
              </w:rPr>
              <w:t>39</w:t>
            </w:r>
            <w:r w:rsidR="00995482">
              <w:rPr>
                <w:rFonts w:ascii="Times New Roman" w:eastAsiaTheme="minorHAnsi" w:hAnsi="Times New Roman"/>
                <w:sz w:val="16"/>
                <w:szCs w:val="16"/>
              </w:rPr>
              <w:t> </w:t>
            </w:r>
            <w:r w:rsidR="00350086">
              <w:rPr>
                <w:rFonts w:ascii="Times New Roman" w:eastAsiaTheme="minorHAnsi" w:hAnsi="Times New Roman"/>
                <w:sz w:val="16"/>
                <w:szCs w:val="16"/>
              </w:rPr>
              <w:t>851</w:t>
            </w:r>
            <w:r w:rsidR="00995482">
              <w:rPr>
                <w:rFonts w:ascii="Times New Roman" w:eastAsiaTheme="minorHAnsi" w:hAnsi="Times New Roman"/>
                <w:sz w:val="16"/>
                <w:szCs w:val="16"/>
              </w:rPr>
              <w:t xml:space="preserve"> </w:t>
            </w:r>
            <w:r w:rsidR="006E07CA" w:rsidRPr="00535BDD">
              <w:rPr>
                <w:rFonts w:ascii="Times New Roman" w:eastAsiaTheme="minorHAnsi" w:hAnsi="Times New Roman"/>
                <w:sz w:val="16"/>
                <w:szCs w:val="16"/>
              </w:rPr>
              <w:t>EUR</w:t>
            </w:r>
          </w:p>
          <w:p w14:paraId="29CDAF78" w14:textId="77777777" w:rsidR="006E07CA" w:rsidRDefault="006E07CA" w:rsidP="00766B11">
            <w:pPr>
              <w:spacing w:after="0" w:line="240" w:lineRule="auto"/>
              <w:jc w:val="both"/>
              <w:rPr>
                <w:rFonts w:ascii="Times New Roman" w:eastAsiaTheme="minorHAnsi" w:hAnsi="Times New Roman"/>
                <w:sz w:val="16"/>
                <w:szCs w:val="16"/>
              </w:rPr>
            </w:pPr>
          </w:p>
          <w:p w14:paraId="52D15CD1" w14:textId="77777777" w:rsidR="006E07CA" w:rsidRDefault="006E07CA" w:rsidP="00766B11">
            <w:pPr>
              <w:spacing w:after="0" w:line="240" w:lineRule="auto"/>
              <w:jc w:val="both"/>
              <w:rPr>
                <w:rFonts w:ascii="Times New Roman" w:eastAsiaTheme="minorHAnsi" w:hAnsi="Times New Roman"/>
                <w:sz w:val="16"/>
                <w:szCs w:val="16"/>
              </w:rPr>
            </w:pPr>
          </w:p>
          <w:p w14:paraId="44E2B00B" w14:textId="77777777" w:rsidR="006E07CA" w:rsidRDefault="006E07CA" w:rsidP="00766B11">
            <w:pPr>
              <w:spacing w:after="0" w:line="240" w:lineRule="auto"/>
              <w:jc w:val="both"/>
              <w:rPr>
                <w:rFonts w:ascii="Times New Roman" w:eastAsiaTheme="minorHAnsi" w:hAnsi="Times New Roman"/>
                <w:sz w:val="16"/>
                <w:szCs w:val="16"/>
              </w:rPr>
            </w:pPr>
          </w:p>
          <w:p w14:paraId="478861F9" w14:textId="77777777" w:rsidR="006E07CA" w:rsidRDefault="006E07CA" w:rsidP="00766B11">
            <w:pPr>
              <w:spacing w:after="0" w:line="240" w:lineRule="auto"/>
              <w:jc w:val="both"/>
              <w:rPr>
                <w:rFonts w:ascii="Times New Roman" w:eastAsiaTheme="minorHAnsi" w:hAnsi="Times New Roman"/>
                <w:sz w:val="16"/>
                <w:szCs w:val="16"/>
              </w:rPr>
            </w:pPr>
          </w:p>
          <w:p w14:paraId="56236E57" w14:textId="77777777" w:rsidR="006E07CA" w:rsidRDefault="006E07CA" w:rsidP="00766B11">
            <w:pPr>
              <w:spacing w:after="0" w:line="240" w:lineRule="auto"/>
              <w:jc w:val="both"/>
              <w:rPr>
                <w:rFonts w:ascii="Times New Roman" w:eastAsiaTheme="minorHAnsi" w:hAnsi="Times New Roman"/>
                <w:sz w:val="16"/>
                <w:szCs w:val="16"/>
              </w:rPr>
            </w:pPr>
          </w:p>
          <w:p w14:paraId="284CD420" w14:textId="77777777" w:rsidR="006E07CA" w:rsidRDefault="006E07CA" w:rsidP="00766B11">
            <w:pPr>
              <w:spacing w:after="0" w:line="240" w:lineRule="auto"/>
              <w:jc w:val="both"/>
              <w:rPr>
                <w:rFonts w:ascii="Times New Roman" w:eastAsiaTheme="minorHAnsi" w:hAnsi="Times New Roman"/>
                <w:sz w:val="16"/>
                <w:szCs w:val="16"/>
              </w:rPr>
            </w:pPr>
          </w:p>
          <w:p w14:paraId="2672A545" w14:textId="77777777" w:rsidR="006E07CA" w:rsidRDefault="006E07CA" w:rsidP="00766B11">
            <w:pPr>
              <w:spacing w:after="0" w:line="240" w:lineRule="auto"/>
              <w:jc w:val="both"/>
              <w:rPr>
                <w:rFonts w:ascii="Times New Roman" w:eastAsiaTheme="minorHAnsi" w:hAnsi="Times New Roman"/>
                <w:sz w:val="16"/>
                <w:szCs w:val="16"/>
              </w:rPr>
            </w:pPr>
          </w:p>
          <w:p w14:paraId="173B1326" w14:textId="77777777" w:rsidR="006E07CA" w:rsidRDefault="006E07CA" w:rsidP="00766B11">
            <w:pPr>
              <w:spacing w:after="0" w:line="240" w:lineRule="auto"/>
              <w:jc w:val="both"/>
              <w:rPr>
                <w:rFonts w:ascii="Times New Roman" w:eastAsiaTheme="minorHAnsi" w:hAnsi="Times New Roman"/>
                <w:sz w:val="16"/>
                <w:szCs w:val="16"/>
              </w:rPr>
            </w:pPr>
          </w:p>
          <w:p w14:paraId="505A4C6E" w14:textId="77777777" w:rsidR="006E07CA" w:rsidRDefault="006E07CA" w:rsidP="00766B11">
            <w:pPr>
              <w:spacing w:after="0" w:line="240" w:lineRule="auto"/>
              <w:jc w:val="both"/>
              <w:rPr>
                <w:rFonts w:ascii="Times New Roman" w:eastAsiaTheme="minorHAnsi" w:hAnsi="Times New Roman"/>
                <w:sz w:val="16"/>
                <w:szCs w:val="16"/>
              </w:rPr>
            </w:pPr>
          </w:p>
          <w:p w14:paraId="3332F792" w14:textId="77777777" w:rsidR="006E07CA" w:rsidRDefault="006E07CA" w:rsidP="00766B11">
            <w:pPr>
              <w:spacing w:after="0" w:line="240" w:lineRule="auto"/>
              <w:jc w:val="both"/>
              <w:rPr>
                <w:rFonts w:ascii="Times New Roman" w:eastAsiaTheme="minorHAnsi" w:hAnsi="Times New Roman"/>
                <w:sz w:val="16"/>
                <w:szCs w:val="16"/>
              </w:rPr>
            </w:pPr>
          </w:p>
          <w:p w14:paraId="45506D30" w14:textId="77777777" w:rsidR="006E07CA" w:rsidRDefault="006E07CA" w:rsidP="00766B11">
            <w:pPr>
              <w:spacing w:after="0" w:line="240" w:lineRule="auto"/>
              <w:jc w:val="both"/>
              <w:rPr>
                <w:rFonts w:ascii="Times New Roman" w:eastAsiaTheme="minorHAnsi" w:hAnsi="Times New Roman"/>
                <w:sz w:val="16"/>
                <w:szCs w:val="16"/>
              </w:rPr>
            </w:pPr>
          </w:p>
          <w:p w14:paraId="3979996A" w14:textId="77777777" w:rsidR="006E07CA" w:rsidRDefault="006E07CA" w:rsidP="00766B11">
            <w:pPr>
              <w:spacing w:after="0" w:line="240" w:lineRule="auto"/>
              <w:jc w:val="both"/>
              <w:rPr>
                <w:rFonts w:ascii="Times New Roman" w:eastAsiaTheme="minorHAnsi" w:hAnsi="Times New Roman"/>
                <w:sz w:val="16"/>
                <w:szCs w:val="16"/>
              </w:rPr>
            </w:pPr>
          </w:p>
          <w:p w14:paraId="08FF3C39" w14:textId="77777777" w:rsidR="006E07CA" w:rsidRDefault="006E07CA" w:rsidP="00766B11">
            <w:pPr>
              <w:spacing w:after="0" w:line="240" w:lineRule="auto"/>
              <w:jc w:val="both"/>
              <w:rPr>
                <w:rFonts w:ascii="Times New Roman" w:eastAsiaTheme="minorHAnsi" w:hAnsi="Times New Roman"/>
                <w:sz w:val="16"/>
                <w:szCs w:val="16"/>
              </w:rPr>
            </w:pPr>
          </w:p>
          <w:p w14:paraId="42B5F979" w14:textId="77777777" w:rsidR="006E07CA" w:rsidRDefault="006E07CA" w:rsidP="00766B11">
            <w:pPr>
              <w:spacing w:after="0" w:line="240" w:lineRule="auto"/>
              <w:jc w:val="both"/>
              <w:rPr>
                <w:rFonts w:ascii="Times New Roman" w:eastAsiaTheme="minorHAnsi" w:hAnsi="Times New Roman"/>
                <w:sz w:val="16"/>
                <w:szCs w:val="16"/>
              </w:rPr>
            </w:pPr>
          </w:p>
          <w:p w14:paraId="5A307B96" w14:textId="77777777" w:rsidR="006E07CA" w:rsidRDefault="006E07CA" w:rsidP="00766B11">
            <w:pPr>
              <w:spacing w:after="0" w:line="240" w:lineRule="auto"/>
              <w:jc w:val="both"/>
              <w:rPr>
                <w:rFonts w:ascii="Times New Roman" w:eastAsiaTheme="minorHAnsi" w:hAnsi="Times New Roman"/>
                <w:sz w:val="16"/>
                <w:szCs w:val="16"/>
              </w:rPr>
            </w:pPr>
          </w:p>
          <w:p w14:paraId="11020129" w14:textId="77777777" w:rsidR="006E07CA" w:rsidRDefault="006E07CA" w:rsidP="00766B11">
            <w:pPr>
              <w:spacing w:after="0" w:line="240" w:lineRule="auto"/>
              <w:jc w:val="both"/>
              <w:rPr>
                <w:rFonts w:ascii="Times New Roman" w:eastAsiaTheme="minorHAnsi" w:hAnsi="Times New Roman"/>
                <w:sz w:val="16"/>
                <w:szCs w:val="16"/>
              </w:rPr>
            </w:pPr>
          </w:p>
          <w:p w14:paraId="14F3494E" w14:textId="77777777" w:rsidR="006E07CA" w:rsidRDefault="006E07CA" w:rsidP="00766B11">
            <w:pPr>
              <w:spacing w:after="0" w:line="240" w:lineRule="auto"/>
              <w:jc w:val="both"/>
              <w:rPr>
                <w:rFonts w:ascii="Times New Roman" w:eastAsiaTheme="minorHAnsi" w:hAnsi="Times New Roman"/>
                <w:sz w:val="16"/>
                <w:szCs w:val="16"/>
              </w:rPr>
            </w:pPr>
          </w:p>
          <w:p w14:paraId="4E5C8411" w14:textId="7DFBEAAD" w:rsidR="006E07CA" w:rsidRPr="00535BDD" w:rsidRDefault="006E07CA" w:rsidP="00766B11">
            <w:pPr>
              <w:spacing w:after="0" w:line="240" w:lineRule="auto"/>
              <w:jc w:val="both"/>
              <w:rPr>
                <w:rFonts w:ascii="Times New Roman" w:eastAsiaTheme="minorHAnsi" w:hAnsi="Times New Roman"/>
                <w:sz w:val="16"/>
                <w:szCs w:val="16"/>
              </w:rPr>
            </w:pPr>
          </w:p>
        </w:tc>
      </w:tr>
      <w:tr w:rsidR="006E07CA" w:rsidRPr="00535BDD" w14:paraId="68A1001F" w14:textId="77777777" w:rsidTr="005A03DA">
        <w:trPr>
          <w:trHeight w:val="204"/>
        </w:trPr>
        <w:tc>
          <w:tcPr>
            <w:tcW w:w="1135" w:type="dxa"/>
            <w:vMerge/>
          </w:tcPr>
          <w:p w14:paraId="04258CD3" w14:textId="77777777" w:rsidR="006E07CA" w:rsidRPr="00535BDD" w:rsidRDefault="006E07CA" w:rsidP="001B1A4C">
            <w:pPr>
              <w:spacing w:after="0" w:line="240" w:lineRule="auto"/>
              <w:rPr>
                <w:rFonts w:ascii="Times New Roman" w:eastAsiaTheme="minorHAnsi" w:hAnsi="Times New Roman"/>
                <w:sz w:val="16"/>
                <w:szCs w:val="16"/>
              </w:rPr>
            </w:pPr>
          </w:p>
        </w:tc>
        <w:tc>
          <w:tcPr>
            <w:tcW w:w="1310" w:type="dxa"/>
            <w:vMerge/>
          </w:tcPr>
          <w:p w14:paraId="2F982344" w14:textId="77777777" w:rsidR="006E07CA" w:rsidRPr="00535BDD" w:rsidRDefault="006E07CA" w:rsidP="001B1A4C">
            <w:pPr>
              <w:spacing w:after="0" w:line="240" w:lineRule="auto"/>
              <w:rPr>
                <w:rFonts w:ascii="Times New Roman" w:eastAsiaTheme="minorHAnsi" w:hAnsi="Times New Roman"/>
                <w:sz w:val="16"/>
                <w:szCs w:val="16"/>
              </w:rPr>
            </w:pPr>
          </w:p>
        </w:tc>
        <w:tc>
          <w:tcPr>
            <w:tcW w:w="1310" w:type="dxa"/>
            <w:vMerge/>
          </w:tcPr>
          <w:p w14:paraId="7A8DAC69" w14:textId="77777777" w:rsidR="006E07CA" w:rsidRPr="00535BDD" w:rsidRDefault="006E07CA" w:rsidP="001B1A4C">
            <w:pPr>
              <w:spacing w:after="0" w:line="240" w:lineRule="auto"/>
              <w:rPr>
                <w:rFonts w:ascii="Times New Roman" w:eastAsiaTheme="minorHAnsi" w:hAnsi="Times New Roman"/>
                <w:sz w:val="16"/>
                <w:szCs w:val="16"/>
              </w:rPr>
            </w:pPr>
          </w:p>
        </w:tc>
        <w:tc>
          <w:tcPr>
            <w:tcW w:w="5318" w:type="dxa"/>
            <w:shd w:val="clear" w:color="auto" w:fill="auto"/>
          </w:tcPr>
          <w:p w14:paraId="0C5C312A" w14:textId="77777777" w:rsidR="006E07CA" w:rsidRPr="005A03DA" w:rsidRDefault="006E07CA"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i/>
                <w:sz w:val="16"/>
                <w:szCs w:val="16"/>
              </w:rPr>
              <w:t>Nosaukums un mērvienība</w:t>
            </w:r>
            <w:r w:rsidRPr="005A03DA">
              <w:rPr>
                <w:rFonts w:ascii="Times New Roman" w:eastAsiaTheme="minorHAnsi" w:hAnsi="Times New Roman"/>
                <w:sz w:val="16"/>
                <w:szCs w:val="16"/>
              </w:rPr>
              <w:t xml:space="preserve">: </w:t>
            </w:r>
          </w:p>
          <w:p w14:paraId="47D6DB18" w14:textId="5A0221EC" w:rsidR="006E07CA" w:rsidRPr="005A03DA" w:rsidRDefault="006E07CA" w:rsidP="00766B11">
            <w:pPr>
              <w:spacing w:after="0" w:line="240" w:lineRule="auto"/>
              <w:jc w:val="both"/>
              <w:rPr>
                <w:rFonts w:ascii="Times New Roman" w:eastAsiaTheme="minorHAnsi" w:hAnsi="Times New Roman"/>
                <w:b/>
                <w:sz w:val="16"/>
                <w:szCs w:val="16"/>
              </w:rPr>
            </w:pPr>
            <w:r w:rsidRPr="005A03DA">
              <w:rPr>
                <w:rFonts w:ascii="Times New Roman" w:eastAsiaTheme="minorHAnsi" w:hAnsi="Times New Roman"/>
                <w:sz w:val="16"/>
                <w:szCs w:val="16"/>
              </w:rPr>
              <w:t xml:space="preserve">r.3.4.2.b </w:t>
            </w:r>
            <w:r w:rsidRPr="005A03DA">
              <w:rPr>
                <w:rFonts w:ascii="Times New Roman" w:eastAsiaTheme="minorHAnsi" w:hAnsi="Times New Roman"/>
                <w:b/>
                <w:sz w:val="16"/>
                <w:szCs w:val="16"/>
              </w:rPr>
              <w:t>Nozaru darba devēju un darba ņēmēju organizāciju noslēgto ģenerālvienošanās skaits</w:t>
            </w:r>
          </w:p>
          <w:p w14:paraId="18A00276" w14:textId="77777777" w:rsidR="006E07CA" w:rsidRPr="005A03DA" w:rsidRDefault="006E07CA" w:rsidP="00766B11">
            <w:pPr>
              <w:spacing w:after="0" w:line="240" w:lineRule="auto"/>
              <w:jc w:val="both"/>
              <w:rPr>
                <w:rFonts w:ascii="Times New Roman" w:eastAsiaTheme="minorHAnsi" w:hAnsi="Times New Roman"/>
                <w:b/>
                <w:sz w:val="16"/>
                <w:szCs w:val="16"/>
              </w:rPr>
            </w:pPr>
          </w:p>
          <w:p w14:paraId="4D8B1B12" w14:textId="77777777" w:rsidR="006E07CA" w:rsidRPr="005A03DA" w:rsidRDefault="006E07CA" w:rsidP="00766B11">
            <w:pPr>
              <w:spacing w:after="0" w:line="240" w:lineRule="auto"/>
              <w:jc w:val="both"/>
              <w:rPr>
                <w:rFonts w:ascii="Times New Roman" w:eastAsiaTheme="minorHAnsi" w:hAnsi="Times New Roman"/>
                <w:i/>
                <w:sz w:val="16"/>
                <w:szCs w:val="16"/>
              </w:rPr>
            </w:pPr>
            <w:r w:rsidRPr="005A03DA">
              <w:rPr>
                <w:rFonts w:ascii="Times New Roman" w:eastAsiaTheme="minorHAnsi" w:hAnsi="Times New Roman"/>
                <w:i/>
                <w:sz w:val="16"/>
                <w:szCs w:val="16"/>
              </w:rPr>
              <w:t>Definīcija</w:t>
            </w:r>
            <w:r w:rsidRPr="005A03DA">
              <w:rPr>
                <w:rFonts w:ascii="Times New Roman" w:eastAsiaTheme="minorHAnsi" w:hAnsi="Times New Roman"/>
                <w:i/>
                <w:sz w:val="16"/>
                <w:szCs w:val="16"/>
                <w:vertAlign w:val="superscript"/>
              </w:rPr>
              <w:footnoteReference w:id="6"/>
            </w:r>
            <w:r w:rsidRPr="005A03DA">
              <w:rPr>
                <w:rFonts w:ascii="Times New Roman" w:eastAsiaTheme="minorHAnsi" w:hAnsi="Times New Roman"/>
                <w:i/>
                <w:sz w:val="16"/>
                <w:szCs w:val="16"/>
              </w:rPr>
              <w:t>:</w:t>
            </w:r>
          </w:p>
          <w:p w14:paraId="6C9A4FD6" w14:textId="624D7599" w:rsidR="006E07CA" w:rsidRPr="005A03DA" w:rsidRDefault="006E07CA"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 xml:space="preserve">Rādītājs raksturo </w:t>
            </w:r>
            <w:r w:rsidR="00D5549B" w:rsidRPr="005A03DA">
              <w:rPr>
                <w:rFonts w:ascii="Times New Roman" w:eastAsiaTheme="minorHAnsi" w:hAnsi="Times New Roman"/>
                <w:sz w:val="16"/>
                <w:szCs w:val="16"/>
              </w:rPr>
              <w:t>noslēgto ģenerālvienošanos attiecīgo nozaru darba devēju un darba ņēmēju organizāciju starpā skaitu</w:t>
            </w:r>
            <w:r w:rsidRPr="005A03DA">
              <w:rPr>
                <w:rFonts w:ascii="Times New Roman" w:eastAsiaTheme="minorHAnsi" w:hAnsi="Times New Roman"/>
                <w:sz w:val="16"/>
                <w:szCs w:val="16"/>
              </w:rPr>
              <w:t>.</w:t>
            </w:r>
          </w:p>
          <w:p w14:paraId="633DC295" w14:textId="77777777" w:rsidR="006E07CA" w:rsidRPr="005A03DA" w:rsidRDefault="006E07CA" w:rsidP="00766B11">
            <w:pPr>
              <w:spacing w:after="0" w:line="240" w:lineRule="auto"/>
              <w:jc w:val="both"/>
              <w:rPr>
                <w:rFonts w:ascii="Times New Roman" w:eastAsiaTheme="minorHAnsi" w:hAnsi="Times New Roman"/>
                <w:i/>
                <w:sz w:val="16"/>
                <w:szCs w:val="16"/>
              </w:rPr>
            </w:pPr>
          </w:p>
          <w:p w14:paraId="76F5BDD3" w14:textId="1203266B" w:rsidR="006E07CA" w:rsidRPr="005A03DA" w:rsidRDefault="006E07CA"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i/>
                <w:sz w:val="16"/>
                <w:szCs w:val="16"/>
              </w:rPr>
              <w:t>Bāzes vērtība un tās noteikšanas gads</w:t>
            </w:r>
            <w:r w:rsidRPr="005A03DA">
              <w:rPr>
                <w:rFonts w:ascii="Times New Roman" w:eastAsiaTheme="minorHAnsi" w:hAnsi="Times New Roman"/>
                <w:sz w:val="16"/>
                <w:szCs w:val="16"/>
              </w:rPr>
              <w:t>: 1</w:t>
            </w:r>
            <w:r w:rsidR="008167AC" w:rsidRPr="005A03DA">
              <w:rPr>
                <w:rFonts w:ascii="Times New Roman" w:eastAsiaTheme="minorHAnsi" w:hAnsi="Times New Roman"/>
                <w:sz w:val="16"/>
                <w:szCs w:val="16"/>
              </w:rPr>
              <w:t xml:space="preserve"> (2013)</w:t>
            </w:r>
          </w:p>
          <w:p w14:paraId="4C8035DF" w14:textId="77777777" w:rsidR="006E07CA" w:rsidRPr="005A03DA" w:rsidRDefault="006E07CA" w:rsidP="00766B11">
            <w:pPr>
              <w:spacing w:after="0" w:line="240" w:lineRule="auto"/>
              <w:jc w:val="both"/>
              <w:rPr>
                <w:rFonts w:ascii="Times New Roman" w:eastAsiaTheme="minorHAnsi" w:hAnsi="Times New Roman"/>
                <w:sz w:val="16"/>
                <w:szCs w:val="16"/>
              </w:rPr>
            </w:pPr>
          </w:p>
          <w:p w14:paraId="03CFF365" w14:textId="77777777" w:rsidR="006E07CA" w:rsidRPr="005A03DA" w:rsidRDefault="006E07CA" w:rsidP="00AA08C8">
            <w:pPr>
              <w:spacing w:after="0" w:line="240" w:lineRule="auto"/>
              <w:jc w:val="both"/>
              <w:rPr>
                <w:rFonts w:ascii="Times New Roman" w:eastAsiaTheme="minorHAnsi" w:hAnsi="Times New Roman"/>
                <w:sz w:val="16"/>
                <w:szCs w:val="16"/>
              </w:rPr>
            </w:pPr>
            <w:r w:rsidRPr="005A03DA">
              <w:rPr>
                <w:rFonts w:ascii="Times New Roman" w:eastAsiaTheme="minorHAnsi" w:hAnsi="Times New Roman"/>
                <w:i/>
                <w:sz w:val="16"/>
                <w:szCs w:val="16"/>
              </w:rPr>
              <w:t>Datu avots</w:t>
            </w:r>
            <w:r w:rsidRPr="005A03DA">
              <w:rPr>
                <w:rFonts w:ascii="Times New Roman" w:eastAsiaTheme="minorHAnsi" w:hAnsi="Times New Roman"/>
                <w:sz w:val="16"/>
                <w:szCs w:val="16"/>
              </w:rPr>
              <w:t>: Projektu uzraudzības dati</w:t>
            </w:r>
          </w:p>
          <w:p w14:paraId="1CFE40F0" w14:textId="0431C144" w:rsidR="006E07CA" w:rsidRPr="005A03DA" w:rsidRDefault="006E07CA" w:rsidP="00766B11">
            <w:pPr>
              <w:spacing w:after="0" w:line="240" w:lineRule="auto"/>
              <w:jc w:val="both"/>
              <w:rPr>
                <w:rFonts w:ascii="Times New Roman" w:eastAsiaTheme="minorHAnsi" w:hAnsi="Times New Roman"/>
                <w:sz w:val="16"/>
                <w:szCs w:val="16"/>
              </w:rPr>
            </w:pPr>
          </w:p>
          <w:p w14:paraId="63A86FD0" w14:textId="68AB3029" w:rsidR="00077486" w:rsidRPr="005A03DA" w:rsidRDefault="006E07CA" w:rsidP="00077486">
            <w:pPr>
              <w:spacing w:after="0" w:line="240" w:lineRule="auto"/>
              <w:jc w:val="both"/>
              <w:rPr>
                <w:rFonts w:ascii="Times New Roman" w:eastAsiaTheme="minorHAnsi" w:hAnsi="Times New Roman"/>
                <w:i/>
                <w:sz w:val="16"/>
                <w:szCs w:val="16"/>
              </w:rPr>
            </w:pPr>
            <w:r w:rsidRPr="005A03DA">
              <w:rPr>
                <w:rFonts w:ascii="Times New Roman" w:eastAsiaTheme="minorHAnsi" w:hAnsi="Times New Roman"/>
                <w:i/>
                <w:sz w:val="16"/>
                <w:szCs w:val="16"/>
              </w:rPr>
              <w:t>Apkopošanas biežums un ieguves metodoloģija</w:t>
            </w:r>
            <w:r w:rsidRPr="005A03DA">
              <w:rPr>
                <w:rFonts w:ascii="Times New Roman" w:eastAsiaTheme="minorHAnsi" w:hAnsi="Times New Roman"/>
                <w:i/>
                <w:sz w:val="16"/>
                <w:szCs w:val="16"/>
                <w:vertAlign w:val="superscript"/>
              </w:rPr>
              <w:footnoteReference w:id="7"/>
            </w:r>
            <w:r w:rsidRPr="005A03DA">
              <w:rPr>
                <w:rFonts w:ascii="Times New Roman" w:eastAsiaTheme="minorHAnsi" w:hAnsi="Times New Roman"/>
                <w:i/>
                <w:sz w:val="16"/>
                <w:szCs w:val="16"/>
              </w:rPr>
              <w:t>:</w:t>
            </w:r>
            <w:r w:rsidRPr="005A03DA">
              <w:rPr>
                <w:rFonts w:ascii="Times New Roman" w:eastAsiaTheme="minorHAnsi" w:hAnsi="Times New Roman"/>
                <w:sz w:val="16"/>
                <w:szCs w:val="16"/>
              </w:rPr>
              <w:t xml:space="preserve"> </w:t>
            </w:r>
            <w:r w:rsidR="008167AC" w:rsidRPr="005A03DA">
              <w:rPr>
                <w:rFonts w:ascii="Times New Roman" w:eastAsiaTheme="minorHAnsi" w:hAnsi="Times New Roman"/>
                <w:sz w:val="16"/>
                <w:szCs w:val="16"/>
              </w:rPr>
              <w:t>1 r</w:t>
            </w:r>
            <w:r w:rsidRPr="005A03DA">
              <w:rPr>
                <w:rFonts w:ascii="Times New Roman" w:eastAsiaTheme="minorHAnsi" w:hAnsi="Times New Roman"/>
                <w:sz w:val="16"/>
                <w:szCs w:val="16"/>
              </w:rPr>
              <w:t>eizi gadā</w:t>
            </w:r>
            <w:r w:rsidR="008167AC" w:rsidRPr="005A03DA">
              <w:rPr>
                <w:rFonts w:ascii="Times New Roman" w:eastAsiaTheme="minorHAnsi" w:hAnsi="Times New Roman"/>
                <w:sz w:val="16"/>
                <w:szCs w:val="16"/>
              </w:rPr>
              <w:t>, veicot</w:t>
            </w:r>
            <w:r w:rsidRPr="005A03DA">
              <w:rPr>
                <w:rFonts w:ascii="Times New Roman" w:eastAsiaTheme="minorHAnsi" w:hAnsi="Times New Roman"/>
                <w:sz w:val="16"/>
                <w:szCs w:val="16"/>
              </w:rPr>
              <w:t xml:space="preserve"> </w:t>
            </w:r>
            <w:r w:rsidR="008167AC" w:rsidRPr="005A03DA">
              <w:rPr>
                <w:rFonts w:ascii="Times New Roman" w:eastAsiaTheme="minorHAnsi" w:hAnsi="Times New Roman"/>
                <w:sz w:val="16"/>
                <w:szCs w:val="16"/>
              </w:rPr>
              <w:t>i</w:t>
            </w:r>
            <w:r w:rsidR="00077486" w:rsidRPr="005A03DA">
              <w:rPr>
                <w:rFonts w:ascii="Times New Roman" w:eastAsiaTheme="minorHAnsi" w:hAnsi="Times New Roman"/>
                <w:sz w:val="16"/>
                <w:szCs w:val="16"/>
              </w:rPr>
              <w:t>nformācija</w:t>
            </w:r>
            <w:r w:rsidR="008167AC" w:rsidRPr="005A03DA">
              <w:rPr>
                <w:rFonts w:ascii="Times New Roman" w:eastAsiaTheme="minorHAnsi" w:hAnsi="Times New Roman"/>
                <w:sz w:val="16"/>
                <w:szCs w:val="16"/>
              </w:rPr>
              <w:t>s apkopošanu</w:t>
            </w:r>
            <w:r w:rsidR="00077486" w:rsidRPr="005A03DA">
              <w:rPr>
                <w:rFonts w:ascii="Times New Roman" w:eastAsiaTheme="minorHAnsi" w:hAnsi="Times New Roman"/>
                <w:sz w:val="16"/>
                <w:szCs w:val="16"/>
              </w:rPr>
              <w:t xml:space="preserve"> n</w:t>
            </w:r>
            <w:r w:rsidR="008167AC" w:rsidRPr="005A03DA">
              <w:rPr>
                <w:rFonts w:ascii="Times New Roman" w:eastAsiaTheme="minorHAnsi" w:hAnsi="Times New Roman"/>
                <w:sz w:val="16"/>
                <w:szCs w:val="16"/>
              </w:rPr>
              <w:t>o projektu progresa pārskatiem.</w:t>
            </w:r>
          </w:p>
          <w:p w14:paraId="6F603CE0" w14:textId="6F9FE1DB" w:rsidR="006E07CA" w:rsidRPr="005A03DA" w:rsidRDefault="006E07CA" w:rsidP="00766B11">
            <w:pPr>
              <w:spacing w:after="0" w:line="240" w:lineRule="auto"/>
              <w:jc w:val="both"/>
              <w:rPr>
                <w:rFonts w:ascii="Times New Roman" w:eastAsiaTheme="minorHAnsi" w:hAnsi="Times New Roman"/>
                <w:sz w:val="16"/>
                <w:szCs w:val="16"/>
              </w:rPr>
            </w:pPr>
          </w:p>
          <w:p w14:paraId="5A0C405B" w14:textId="244BCC56" w:rsidR="006E07CA" w:rsidRPr="005A03DA" w:rsidRDefault="006E07CA"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i/>
                <w:sz w:val="16"/>
                <w:szCs w:val="16"/>
              </w:rPr>
              <w:t>Mērķis 2023</w:t>
            </w:r>
            <w:r w:rsidRPr="005A03DA">
              <w:rPr>
                <w:rFonts w:ascii="Times New Roman" w:eastAsiaTheme="minorHAnsi" w:hAnsi="Times New Roman"/>
                <w:sz w:val="16"/>
                <w:szCs w:val="16"/>
              </w:rPr>
              <w:t>: 5</w:t>
            </w:r>
            <w:r w:rsidR="00191F5F" w:rsidRPr="005A03DA">
              <w:rPr>
                <w:rFonts w:ascii="Times New Roman" w:eastAsiaTheme="minorHAnsi" w:hAnsi="Times New Roman"/>
                <w:sz w:val="16"/>
                <w:szCs w:val="16"/>
              </w:rPr>
              <w:t xml:space="preserve"> ģenerālvienošanās</w:t>
            </w:r>
          </w:p>
          <w:p w14:paraId="230DBAF4" w14:textId="77777777" w:rsidR="006E07CA" w:rsidRPr="005A03DA" w:rsidRDefault="006E07CA" w:rsidP="00766B11">
            <w:pPr>
              <w:spacing w:after="0" w:line="240" w:lineRule="auto"/>
              <w:jc w:val="both"/>
              <w:rPr>
                <w:rFonts w:ascii="Times New Roman" w:eastAsiaTheme="minorHAnsi" w:hAnsi="Times New Roman"/>
                <w:sz w:val="16"/>
                <w:szCs w:val="16"/>
              </w:rPr>
            </w:pPr>
          </w:p>
          <w:p w14:paraId="60C9D896" w14:textId="77777777" w:rsidR="006E07CA" w:rsidRPr="005A03DA" w:rsidRDefault="006E07CA" w:rsidP="00766B11">
            <w:pPr>
              <w:spacing w:after="0" w:line="240" w:lineRule="auto"/>
              <w:jc w:val="both"/>
              <w:rPr>
                <w:rFonts w:ascii="Times New Roman" w:eastAsiaTheme="minorHAnsi" w:hAnsi="Times New Roman"/>
                <w:sz w:val="16"/>
                <w:szCs w:val="16"/>
              </w:rPr>
            </w:pPr>
            <w:r w:rsidRPr="005A03DA">
              <w:rPr>
                <w:rFonts w:ascii="Times New Roman" w:eastAsiaTheme="minorHAnsi" w:hAnsi="Times New Roman"/>
                <w:i/>
                <w:sz w:val="16"/>
                <w:szCs w:val="16"/>
              </w:rPr>
              <w:lastRenderedPageBreak/>
              <w:t>Mērķa vērtības noteikšanas principi/metodoloģija</w:t>
            </w:r>
            <w:r w:rsidRPr="005A03DA">
              <w:rPr>
                <w:rFonts w:ascii="Times New Roman" w:eastAsiaTheme="minorHAnsi" w:hAnsi="Times New Roman"/>
                <w:sz w:val="16"/>
                <w:szCs w:val="16"/>
              </w:rPr>
              <w:t xml:space="preserve">: </w:t>
            </w:r>
          </w:p>
          <w:p w14:paraId="29C6C9A1" w14:textId="77777777" w:rsidR="00650DF0" w:rsidRPr="005A03DA" w:rsidRDefault="000C3298" w:rsidP="008E28E8">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Ģenerālvienošanās paredzēts noslēgt p</w:t>
            </w:r>
            <w:r w:rsidR="00D5549B" w:rsidRPr="005A03DA">
              <w:rPr>
                <w:rFonts w:ascii="Times New Roman" w:eastAsiaTheme="minorHAnsi" w:hAnsi="Times New Roman"/>
                <w:sz w:val="16"/>
                <w:szCs w:val="16"/>
              </w:rPr>
              <w:t>ie</w:t>
            </w:r>
            <w:r w:rsidRPr="005A03DA">
              <w:rPr>
                <w:rFonts w:ascii="Times New Roman" w:eastAsiaTheme="minorHAnsi" w:hAnsi="Times New Roman"/>
                <w:sz w:val="16"/>
                <w:szCs w:val="16"/>
              </w:rPr>
              <w:t>cās</w:t>
            </w:r>
            <w:r w:rsidR="00D5549B" w:rsidRPr="005A03DA">
              <w:rPr>
                <w:rFonts w:ascii="Times New Roman" w:eastAsiaTheme="minorHAnsi" w:hAnsi="Times New Roman"/>
                <w:sz w:val="16"/>
                <w:szCs w:val="16"/>
              </w:rPr>
              <w:t xml:space="preserve"> nozar</w:t>
            </w:r>
            <w:r w:rsidRPr="005A03DA">
              <w:rPr>
                <w:rFonts w:ascii="Times New Roman" w:eastAsiaTheme="minorHAnsi" w:hAnsi="Times New Roman"/>
                <w:sz w:val="16"/>
                <w:szCs w:val="16"/>
              </w:rPr>
              <w:t>ē</w:t>
            </w:r>
            <w:r w:rsidR="00D5549B" w:rsidRPr="005A03DA">
              <w:rPr>
                <w:rFonts w:ascii="Times New Roman" w:eastAsiaTheme="minorHAnsi" w:hAnsi="Times New Roman"/>
                <w:sz w:val="16"/>
                <w:szCs w:val="16"/>
              </w:rPr>
              <w:t>s (kokrūpniecība, ķīmiskā rūpniecība un tās saskarnozares, būvniecība, transports un loģistika, telekomunikācijas un sakari</w:t>
            </w:r>
            <w:r w:rsidR="00077486" w:rsidRPr="005A03DA">
              <w:rPr>
                <w:rFonts w:ascii="Times New Roman" w:eastAsiaTheme="minorHAnsi" w:hAnsi="Times New Roman"/>
                <w:sz w:val="16"/>
                <w:szCs w:val="16"/>
              </w:rPr>
              <w:t>)</w:t>
            </w:r>
            <w:r w:rsidRPr="005A03DA">
              <w:rPr>
                <w:rFonts w:ascii="Times New Roman" w:eastAsiaTheme="minorHAnsi" w:hAnsi="Times New Roman"/>
                <w:sz w:val="16"/>
                <w:szCs w:val="16"/>
              </w:rPr>
              <w:t>, kuras identificētas</w:t>
            </w:r>
            <w:r w:rsidR="00D5549B" w:rsidRPr="005A03DA">
              <w:rPr>
                <w:rFonts w:ascii="Times New Roman" w:eastAsiaTheme="minorHAnsi" w:hAnsi="Times New Roman"/>
                <w:sz w:val="16"/>
                <w:szCs w:val="16"/>
              </w:rPr>
              <w:t xml:space="preserve"> k</w:t>
            </w:r>
            <w:r w:rsidRPr="005A03DA">
              <w:rPr>
                <w:rFonts w:ascii="Times New Roman" w:eastAsiaTheme="minorHAnsi" w:hAnsi="Times New Roman"/>
                <w:sz w:val="16"/>
                <w:szCs w:val="16"/>
              </w:rPr>
              <w:t>ā problemātiskas un</w:t>
            </w:r>
            <w:r w:rsidR="00D5549B" w:rsidRPr="005A03DA">
              <w:rPr>
                <w:rFonts w:ascii="Times New Roman" w:eastAsiaTheme="minorHAnsi" w:hAnsi="Times New Roman"/>
                <w:sz w:val="16"/>
                <w:szCs w:val="16"/>
              </w:rPr>
              <w:t xml:space="preserve"> kuru ietvaros pastiprināti nepieciešams veicināt sociālā dialoga attīstību</w:t>
            </w:r>
            <w:r w:rsidRPr="005A03DA">
              <w:rPr>
                <w:rFonts w:ascii="Times New Roman" w:eastAsiaTheme="minorHAnsi" w:hAnsi="Times New Roman"/>
                <w:sz w:val="16"/>
                <w:szCs w:val="16"/>
              </w:rPr>
              <w:t>,</w:t>
            </w:r>
            <w:r w:rsidR="00D5549B" w:rsidRPr="005A03DA">
              <w:rPr>
                <w:rFonts w:ascii="Times New Roman" w:eastAsiaTheme="minorHAnsi" w:hAnsi="Times New Roman"/>
                <w:sz w:val="16"/>
                <w:szCs w:val="16"/>
              </w:rPr>
              <w:t xml:space="preserve"> un par ko vienlaikus vienojušās arī darba devēju</w:t>
            </w:r>
            <w:r w:rsidRPr="005A03DA">
              <w:rPr>
                <w:rFonts w:ascii="Times New Roman" w:eastAsiaTheme="minorHAnsi" w:hAnsi="Times New Roman"/>
                <w:sz w:val="16"/>
                <w:szCs w:val="16"/>
              </w:rPr>
              <w:t xml:space="preserve"> un darba ņēmēju organizācijas.</w:t>
            </w:r>
          </w:p>
          <w:p w14:paraId="5F948E90" w14:textId="7DAE6A74" w:rsidR="00650DF0" w:rsidRPr="005A03DA" w:rsidRDefault="008E28E8" w:rsidP="005A03DA">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 xml:space="preserve"> Lai varētu uzskatīt, ka ģenerālvienošanās noslēgšana ir sasniegusi plānoto rezultātu un ir veicinājusi godīgu uzņēmējdarbību un konkurētspēju starp uzņēmumiem nozarē, kā arī efektīvu nodokļu kontroli, tad</w:t>
            </w:r>
            <w:r w:rsidR="00650DF0" w:rsidRPr="005A03DA">
              <w:rPr>
                <w:rFonts w:ascii="Times New Roman" w:eastAsiaTheme="minorHAnsi" w:hAnsi="Times New Roman"/>
                <w:sz w:val="16"/>
                <w:szCs w:val="16"/>
              </w:rPr>
              <w:t>:</w:t>
            </w:r>
          </w:p>
          <w:p w14:paraId="1908775B" w14:textId="20C68CB5" w:rsidR="00650DF0" w:rsidRPr="005A03DA" w:rsidRDefault="00650DF0">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w:t>
            </w:r>
            <w:r w:rsidR="008E28E8" w:rsidRPr="005A03DA">
              <w:rPr>
                <w:rFonts w:ascii="Times New Roman" w:eastAsiaTheme="minorHAnsi" w:hAnsi="Times New Roman"/>
                <w:sz w:val="16"/>
                <w:szCs w:val="16"/>
              </w:rPr>
              <w:t xml:space="preserve"> ģenerālvienošanās obligāti ir jāiekļauj nosacījums par minimālo darba samaksu nozarē, kā arī vismaz vēl viens no sekojošiem nosacījumiem, bet tā izvēle i</w:t>
            </w:r>
            <w:r w:rsidRPr="005A03DA">
              <w:rPr>
                <w:rFonts w:ascii="Times New Roman" w:eastAsiaTheme="minorHAnsi" w:hAnsi="Times New Roman"/>
                <w:sz w:val="16"/>
                <w:szCs w:val="16"/>
              </w:rPr>
              <w:t>r atkarīga no nozares specifikas</w:t>
            </w:r>
            <w:r w:rsidR="008E28E8" w:rsidRPr="005A03DA">
              <w:rPr>
                <w:rFonts w:ascii="Times New Roman" w:eastAsiaTheme="minorHAnsi" w:hAnsi="Times New Roman"/>
                <w:sz w:val="16"/>
                <w:szCs w:val="16"/>
              </w:rPr>
              <w:t>: darba laiks, apmācības un kvalifikācijas celšanas iespējas, profesionālās kvalifikācijas un izglītības standarti, atvaļinājumi, apdrošināšana, bezdarba un pensiju fondi, darba aizsardzības regulējums, darba un ģimenes dzīves saskaņošana, bērnu pieskatīšanas iespējas</w:t>
            </w:r>
            <w:r w:rsidRPr="005A03DA">
              <w:rPr>
                <w:rFonts w:ascii="Times New Roman" w:eastAsiaTheme="minorHAnsi" w:hAnsi="Times New Roman"/>
                <w:sz w:val="16"/>
                <w:szCs w:val="16"/>
              </w:rPr>
              <w:t>;</w:t>
            </w:r>
          </w:p>
          <w:p w14:paraId="24A894A4" w14:textId="77777777" w:rsidR="006E07CA" w:rsidRPr="005A03DA" w:rsidRDefault="00650DF0">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 xml:space="preserve">- </w:t>
            </w:r>
            <w:r w:rsidR="008E28E8" w:rsidRPr="005A03DA">
              <w:rPr>
                <w:rFonts w:ascii="Times New Roman" w:eastAsiaTheme="minorHAnsi" w:hAnsi="Times New Roman"/>
                <w:sz w:val="16"/>
                <w:szCs w:val="16"/>
              </w:rPr>
              <w:t>tām ir jābūt spēkā trīs gadus pēc projekta beigām</w:t>
            </w:r>
            <w:r w:rsidRPr="005A03DA">
              <w:rPr>
                <w:rFonts w:ascii="Times New Roman" w:eastAsiaTheme="minorHAnsi" w:hAnsi="Times New Roman"/>
                <w:sz w:val="16"/>
                <w:szCs w:val="16"/>
              </w:rPr>
              <w:t>;</w:t>
            </w:r>
          </w:p>
          <w:p w14:paraId="7A7092F2" w14:textId="3108F3AF" w:rsidR="00650DF0" w:rsidRPr="005A03DA" w:rsidRDefault="00650DF0">
            <w:pPr>
              <w:spacing w:after="0" w:line="240" w:lineRule="auto"/>
              <w:jc w:val="both"/>
              <w:rPr>
                <w:rFonts w:ascii="Times New Roman" w:eastAsiaTheme="minorHAnsi" w:hAnsi="Times New Roman"/>
                <w:sz w:val="16"/>
                <w:szCs w:val="16"/>
              </w:rPr>
            </w:pPr>
            <w:r w:rsidRPr="005A03DA">
              <w:rPr>
                <w:rFonts w:ascii="Times New Roman" w:eastAsiaTheme="minorHAnsi" w:hAnsi="Times New Roman"/>
                <w:sz w:val="16"/>
                <w:szCs w:val="16"/>
              </w:rPr>
              <w:t xml:space="preserve">- nozares </w:t>
            </w:r>
            <w:proofErr w:type="spellStart"/>
            <w:r w:rsidRPr="005A03DA">
              <w:rPr>
                <w:rFonts w:ascii="Times New Roman" w:eastAsiaTheme="minorHAnsi" w:hAnsi="Times New Roman"/>
                <w:sz w:val="16"/>
                <w:szCs w:val="16"/>
              </w:rPr>
              <w:t>ģenerālvienošanās</w:t>
            </w:r>
            <w:proofErr w:type="spellEnd"/>
            <w:r w:rsidRPr="005A03DA">
              <w:rPr>
                <w:rFonts w:ascii="Times New Roman" w:eastAsiaTheme="minorHAnsi" w:hAnsi="Times New Roman"/>
                <w:sz w:val="16"/>
                <w:szCs w:val="16"/>
              </w:rPr>
              <w:t xml:space="preserve"> parakstītāju pušu </w:t>
            </w:r>
            <w:proofErr w:type="spellStart"/>
            <w:r w:rsidRPr="005A03DA">
              <w:rPr>
                <w:rFonts w:ascii="Times New Roman" w:eastAsiaTheme="minorHAnsi" w:hAnsi="Times New Roman"/>
                <w:sz w:val="16"/>
                <w:szCs w:val="16"/>
              </w:rPr>
              <w:t>reprezentivitātes</w:t>
            </w:r>
            <w:proofErr w:type="spellEnd"/>
            <w:r w:rsidRPr="005A03DA">
              <w:rPr>
                <w:rFonts w:ascii="Times New Roman" w:eastAsiaTheme="minorHAnsi" w:hAnsi="Times New Roman"/>
                <w:sz w:val="16"/>
                <w:szCs w:val="16"/>
              </w:rPr>
              <w:t xml:space="preserve"> procents ir vismaz 20%.</w:t>
            </w:r>
          </w:p>
          <w:p w14:paraId="281C27A4" w14:textId="0F9D67EC" w:rsidR="00650DF0" w:rsidRPr="005A03DA" w:rsidRDefault="00650DF0" w:rsidP="00650DF0">
            <w:pPr>
              <w:spacing w:after="0" w:line="240" w:lineRule="auto"/>
              <w:jc w:val="both"/>
              <w:rPr>
                <w:rFonts w:ascii="Times New Roman" w:eastAsiaTheme="minorHAnsi" w:hAnsi="Times New Roman"/>
                <w:sz w:val="16"/>
                <w:szCs w:val="16"/>
              </w:rPr>
            </w:pPr>
          </w:p>
        </w:tc>
        <w:tc>
          <w:tcPr>
            <w:tcW w:w="4961" w:type="dxa"/>
          </w:tcPr>
          <w:p w14:paraId="668E625B" w14:textId="77777777" w:rsidR="006E07CA" w:rsidRDefault="006E07CA" w:rsidP="00766B11">
            <w:pPr>
              <w:spacing w:after="0" w:line="240" w:lineRule="auto"/>
              <w:jc w:val="both"/>
              <w:rPr>
                <w:rFonts w:ascii="Times New Roman" w:eastAsiaTheme="minorHAnsi" w:hAnsi="Times New Roman"/>
                <w:sz w:val="16"/>
                <w:szCs w:val="16"/>
              </w:rPr>
            </w:pPr>
            <w:r w:rsidRPr="00535BDD">
              <w:rPr>
                <w:rFonts w:ascii="Times New Roman" w:eastAsiaTheme="minorHAnsi" w:hAnsi="Times New Roman"/>
                <w:b/>
                <w:i/>
                <w:sz w:val="16"/>
                <w:szCs w:val="16"/>
              </w:rPr>
              <w:lastRenderedPageBreak/>
              <w:t>IR1</w:t>
            </w:r>
            <w:r w:rsidRPr="00535BDD">
              <w:rPr>
                <w:rFonts w:ascii="Times New Roman" w:eastAsiaTheme="minorHAnsi" w:hAnsi="Times New Roman"/>
                <w:i/>
                <w:sz w:val="16"/>
                <w:szCs w:val="16"/>
              </w:rPr>
              <w:t xml:space="preserve"> nosaukums un mērvienība</w:t>
            </w:r>
            <w:r w:rsidRPr="00535BDD">
              <w:rPr>
                <w:rFonts w:ascii="Times New Roman" w:eastAsiaTheme="minorHAnsi" w:hAnsi="Times New Roman"/>
                <w:sz w:val="16"/>
                <w:szCs w:val="16"/>
              </w:rPr>
              <w:t>:</w:t>
            </w:r>
          </w:p>
          <w:p w14:paraId="7F602A86" w14:textId="06C54CEE" w:rsidR="006E07CA" w:rsidRPr="00535BDD" w:rsidRDefault="006E07CA" w:rsidP="00766B11">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 xml:space="preserve"> i.3.4.2.</w:t>
            </w:r>
            <w:r>
              <w:rPr>
                <w:rFonts w:ascii="Times New Roman" w:eastAsiaTheme="minorHAnsi" w:hAnsi="Times New Roman"/>
                <w:sz w:val="16"/>
                <w:szCs w:val="16"/>
              </w:rPr>
              <w:t>b</w:t>
            </w:r>
            <w:r w:rsidRPr="00535BDD">
              <w:rPr>
                <w:rFonts w:ascii="Times New Roman" w:eastAsiaTheme="minorHAnsi" w:hAnsi="Times New Roman"/>
                <w:sz w:val="16"/>
                <w:szCs w:val="16"/>
              </w:rPr>
              <w:t xml:space="preserve"> </w:t>
            </w:r>
            <w:r w:rsidRPr="00766B11">
              <w:rPr>
                <w:rFonts w:ascii="Times New Roman" w:eastAsiaTheme="minorHAnsi" w:hAnsi="Times New Roman"/>
                <w:b/>
                <w:sz w:val="16"/>
                <w:szCs w:val="16"/>
              </w:rPr>
              <w:t>Noorganizēto pasākumu skaits nozaru darba devēju un darba ņēmēju organizāciju iesaistē sociālajā dialogā</w:t>
            </w:r>
          </w:p>
          <w:p w14:paraId="274C6558" w14:textId="77777777" w:rsidR="006E07CA" w:rsidRPr="00535BDD" w:rsidRDefault="006E07CA" w:rsidP="00766B11">
            <w:pPr>
              <w:spacing w:after="0" w:line="240" w:lineRule="auto"/>
              <w:jc w:val="both"/>
              <w:rPr>
                <w:rFonts w:ascii="Times New Roman" w:eastAsiaTheme="minorHAnsi" w:hAnsi="Times New Roman"/>
                <w:sz w:val="16"/>
                <w:szCs w:val="16"/>
              </w:rPr>
            </w:pPr>
          </w:p>
          <w:p w14:paraId="38D8B4D0" w14:textId="78AD89E8" w:rsidR="006E07CA" w:rsidRPr="00535BDD" w:rsidRDefault="006E07CA" w:rsidP="00766B11">
            <w:pPr>
              <w:spacing w:after="0" w:line="240" w:lineRule="auto"/>
              <w:jc w:val="both"/>
              <w:rPr>
                <w:rFonts w:ascii="Times New Roman" w:eastAsiaTheme="minorHAnsi" w:hAnsi="Times New Roman"/>
                <w:sz w:val="16"/>
                <w:szCs w:val="16"/>
              </w:rPr>
            </w:pPr>
            <w:r w:rsidRPr="00CE0898">
              <w:rPr>
                <w:rFonts w:ascii="Times New Roman" w:eastAsiaTheme="minorHAnsi" w:hAnsi="Times New Roman"/>
                <w:i/>
                <w:sz w:val="16"/>
                <w:szCs w:val="16"/>
              </w:rPr>
              <w:t>Definīcija</w:t>
            </w:r>
            <w:r w:rsidRPr="00CE0898">
              <w:rPr>
                <w:rFonts w:ascii="Times New Roman" w:hAnsi="Times New Roman"/>
                <w:sz w:val="16"/>
                <w:szCs w:val="16"/>
                <w:vertAlign w:val="superscript"/>
              </w:rPr>
              <w:fldChar w:fldCharType="begin"/>
            </w:r>
            <w:r w:rsidRPr="00CE0898">
              <w:rPr>
                <w:rFonts w:ascii="Times New Roman" w:hAnsi="Times New Roman"/>
                <w:sz w:val="16"/>
                <w:szCs w:val="16"/>
                <w:vertAlign w:val="superscript"/>
              </w:rPr>
              <w:instrText xml:space="preserve"> NOTEREF _Ref356206606 \h  \* MERGEFORMAT </w:instrText>
            </w:r>
            <w:r w:rsidRPr="00CE0898">
              <w:rPr>
                <w:rFonts w:ascii="Times New Roman" w:hAnsi="Times New Roman"/>
                <w:sz w:val="16"/>
                <w:szCs w:val="16"/>
                <w:vertAlign w:val="superscript"/>
              </w:rPr>
            </w:r>
            <w:r w:rsidRPr="00CE0898">
              <w:rPr>
                <w:rFonts w:ascii="Times New Roman" w:hAnsi="Times New Roman"/>
                <w:sz w:val="16"/>
                <w:szCs w:val="16"/>
                <w:vertAlign w:val="superscript"/>
              </w:rPr>
              <w:fldChar w:fldCharType="separate"/>
            </w:r>
            <w:r w:rsidR="004522B3">
              <w:rPr>
                <w:rFonts w:ascii="Times New Roman" w:hAnsi="Times New Roman"/>
                <w:sz w:val="16"/>
                <w:szCs w:val="16"/>
                <w:vertAlign w:val="superscript"/>
              </w:rPr>
              <w:t>2</w:t>
            </w:r>
            <w:r w:rsidRPr="00CE0898">
              <w:rPr>
                <w:rFonts w:ascii="Times New Roman" w:hAnsi="Times New Roman"/>
                <w:sz w:val="16"/>
                <w:szCs w:val="16"/>
                <w:vertAlign w:val="superscript"/>
              </w:rPr>
              <w:fldChar w:fldCharType="end"/>
            </w:r>
            <w:r w:rsidRPr="00CE0898">
              <w:rPr>
                <w:rFonts w:ascii="Times New Roman" w:eastAsiaTheme="minorHAnsi" w:hAnsi="Times New Roman"/>
                <w:i/>
                <w:sz w:val="16"/>
                <w:szCs w:val="16"/>
              </w:rPr>
              <w:t xml:space="preserve">: </w:t>
            </w:r>
            <w:r w:rsidRPr="00CE0898">
              <w:rPr>
                <w:rFonts w:ascii="Times New Roman" w:eastAsiaTheme="minorHAnsi" w:hAnsi="Times New Roman"/>
                <w:sz w:val="16"/>
                <w:szCs w:val="16"/>
              </w:rPr>
              <w:t xml:space="preserve">Rādītājs raksturo </w:t>
            </w:r>
            <w:r w:rsidR="000C3298" w:rsidRPr="00CE0898">
              <w:rPr>
                <w:rFonts w:ascii="Times New Roman" w:eastAsiaTheme="minorHAnsi" w:hAnsi="Times New Roman"/>
                <w:sz w:val="16"/>
                <w:szCs w:val="16"/>
              </w:rPr>
              <w:t>organizēto apmācību, semināru, konferenču un citu pasākumu skaitu</w:t>
            </w:r>
            <w:r w:rsidR="00CE0898" w:rsidRPr="00CE0898">
              <w:rPr>
                <w:rFonts w:ascii="Times New Roman" w:eastAsiaTheme="minorHAnsi" w:hAnsi="Times New Roman"/>
                <w:sz w:val="16"/>
                <w:szCs w:val="16"/>
              </w:rPr>
              <w:t xml:space="preserve"> nozaru darba devēju un da</w:t>
            </w:r>
            <w:r w:rsidR="008167AC">
              <w:rPr>
                <w:rFonts w:ascii="Times New Roman" w:eastAsiaTheme="minorHAnsi" w:hAnsi="Times New Roman"/>
                <w:sz w:val="16"/>
                <w:szCs w:val="16"/>
              </w:rPr>
              <w:t>rba ņēmēju organizāciju iesaistei</w:t>
            </w:r>
            <w:r w:rsidR="00CE0898" w:rsidRPr="00CE0898">
              <w:rPr>
                <w:rFonts w:ascii="Times New Roman" w:eastAsiaTheme="minorHAnsi" w:hAnsi="Times New Roman"/>
                <w:sz w:val="16"/>
                <w:szCs w:val="16"/>
              </w:rPr>
              <w:t xml:space="preserve"> sociālajā dialogā</w:t>
            </w:r>
            <w:r w:rsidRPr="00CE0898">
              <w:rPr>
                <w:rFonts w:ascii="Times New Roman" w:eastAsiaTheme="minorHAnsi" w:hAnsi="Times New Roman"/>
                <w:sz w:val="16"/>
                <w:szCs w:val="16"/>
              </w:rPr>
              <w:t>.</w:t>
            </w:r>
            <w:r w:rsidRPr="00535BDD">
              <w:rPr>
                <w:rFonts w:ascii="Times New Roman" w:eastAsiaTheme="minorHAnsi" w:hAnsi="Times New Roman"/>
                <w:sz w:val="16"/>
                <w:szCs w:val="16"/>
              </w:rPr>
              <w:t xml:space="preserve"> </w:t>
            </w:r>
          </w:p>
          <w:p w14:paraId="285E2B3E" w14:textId="77777777" w:rsidR="006E07CA" w:rsidRDefault="006E07CA" w:rsidP="00535BDD">
            <w:pPr>
              <w:spacing w:after="0" w:line="240" w:lineRule="auto"/>
              <w:jc w:val="both"/>
              <w:rPr>
                <w:rFonts w:ascii="Times New Roman" w:eastAsiaTheme="minorHAnsi" w:hAnsi="Times New Roman"/>
                <w:b/>
                <w:i/>
                <w:sz w:val="16"/>
                <w:szCs w:val="16"/>
              </w:rPr>
            </w:pPr>
          </w:p>
          <w:p w14:paraId="3FADA6E4" w14:textId="77777777" w:rsidR="006E07CA" w:rsidRPr="00535BDD" w:rsidRDefault="006E07CA" w:rsidP="00AA08C8">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Datu avots</w:t>
            </w:r>
            <w:r w:rsidRPr="00535BDD">
              <w:rPr>
                <w:rFonts w:ascii="Times New Roman" w:eastAsiaTheme="minorHAnsi" w:hAnsi="Times New Roman"/>
                <w:sz w:val="16"/>
                <w:szCs w:val="16"/>
              </w:rPr>
              <w:t>: Projektu uzraudzības dati</w:t>
            </w:r>
          </w:p>
          <w:p w14:paraId="1CC2B5A3" w14:textId="77777777" w:rsidR="006E07CA" w:rsidRDefault="006E07CA" w:rsidP="00535BDD">
            <w:pPr>
              <w:spacing w:after="0" w:line="240" w:lineRule="auto"/>
              <w:jc w:val="both"/>
              <w:rPr>
                <w:rFonts w:ascii="Times New Roman" w:eastAsiaTheme="minorHAnsi" w:hAnsi="Times New Roman"/>
                <w:b/>
                <w:i/>
                <w:sz w:val="16"/>
                <w:szCs w:val="16"/>
              </w:rPr>
            </w:pPr>
          </w:p>
          <w:p w14:paraId="00252617" w14:textId="5E4F8005" w:rsidR="00302EA7" w:rsidRDefault="006E07CA" w:rsidP="00AA08C8">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Apkopošanas biežums un ieguves metodoloģija</w:t>
            </w:r>
            <w:r w:rsidRPr="00535BDD">
              <w:rPr>
                <w:rStyle w:val="FootnoteReference"/>
                <w:rFonts w:ascii="Times New Roman" w:eastAsiaTheme="minorHAnsi" w:hAnsi="Times New Roman"/>
                <w:i/>
                <w:sz w:val="16"/>
                <w:szCs w:val="16"/>
              </w:rPr>
              <w:footnoteReference w:id="8"/>
            </w:r>
            <w:r w:rsidRPr="00535BDD">
              <w:rPr>
                <w:rFonts w:ascii="Times New Roman" w:eastAsiaTheme="minorHAnsi" w:hAnsi="Times New Roman"/>
                <w:i/>
                <w:sz w:val="16"/>
                <w:szCs w:val="16"/>
              </w:rPr>
              <w:t xml:space="preserve">: </w:t>
            </w:r>
            <w:r w:rsidR="00350086">
              <w:rPr>
                <w:rFonts w:ascii="Times New Roman" w:eastAsiaTheme="minorHAnsi" w:hAnsi="Times New Roman"/>
                <w:sz w:val="16"/>
                <w:szCs w:val="16"/>
              </w:rPr>
              <w:t>1 r</w:t>
            </w:r>
            <w:r w:rsidR="00350086" w:rsidRPr="000C3298">
              <w:rPr>
                <w:rFonts w:ascii="Times New Roman" w:eastAsiaTheme="minorHAnsi" w:hAnsi="Times New Roman"/>
                <w:sz w:val="16"/>
                <w:szCs w:val="16"/>
              </w:rPr>
              <w:t>eizi gadā</w:t>
            </w:r>
            <w:r w:rsidR="00350086">
              <w:rPr>
                <w:rFonts w:ascii="Times New Roman" w:eastAsiaTheme="minorHAnsi" w:hAnsi="Times New Roman"/>
                <w:sz w:val="16"/>
                <w:szCs w:val="16"/>
              </w:rPr>
              <w:t>, veicot</w:t>
            </w:r>
            <w:r w:rsidR="00350086" w:rsidRPr="000C3298">
              <w:rPr>
                <w:rFonts w:ascii="Times New Roman" w:eastAsiaTheme="minorHAnsi" w:hAnsi="Times New Roman"/>
                <w:sz w:val="16"/>
                <w:szCs w:val="16"/>
              </w:rPr>
              <w:t xml:space="preserve"> </w:t>
            </w:r>
            <w:r w:rsidR="00350086">
              <w:rPr>
                <w:rFonts w:ascii="Times New Roman" w:eastAsiaTheme="minorHAnsi" w:hAnsi="Times New Roman"/>
                <w:sz w:val="16"/>
                <w:szCs w:val="16"/>
              </w:rPr>
              <w:t>i</w:t>
            </w:r>
            <w:r w:rsidR="00350086" w:rsidRPr="000C3298">
              <w:rPr>
                <w:rFonts w:ascii="Times New Roman" w:eastAsiaTheme="minorHAnsi" w:hAnsi="Times New Roman"/>
                <w:sz w:val="16"/>
                <w:szCs w:val="16"/>
              </w:rPr>
              <w:t>nformācija</w:t>
            </w:r>
            <w:r w:rsidR="00350086">
              <w:rPr>
                <w:rFonts w:ascii="Times New Roman" w:eastAsiaTheme="minorHAnsi" w:hAnsi="Times New Roman"/>
                <w:sz w:val="16"/>
                <w:szCs w:val="16"/>
              </w:rPr>
              <w:t>s apkopošanu</w:t>
            </w:r>
            <w:r w:rsidR="00350086" w:rsidRPr="000C3298">
              <w:rPr>
                <w:rFonts w:ascii="Times New Roman" w:eastAsiaTheme="minorHAnsi" w:hAnsi="Times New Roman"/>
                <w:sz w:val="16"/>
                <w:szCs w:val="16"/>
              </w:rPr>
              <w:t xml:space="preserve"> n</w:t>
            </w:r>
            <w:r w:rsidR="00350086">
              <w:rPr>
                <w:rFonts w:ascii="Times New Roman" w:eastAsiaTheme="minorHAnsi" w:hAnsi="Times New Roman"/>
                <w:sz w:val="16"/>
                <w:szCs w:val="16"/>
              </w:rPr>
              <w:t>o projektu progresa pārskatiem.</w:t>
            </w:r>
          </w:p>
          <w:p w14:paraId="651B05FE" w14:textId="77777777" w:rsidR="004344A9" w:rsidRDefault="004344A9" w:rsidP="00AA08C8">
            <w:pPr>
              <w:spacing w:after="0" w:line="240" w:lineRule="auto"/>
              <w:jc w:val="both"/>
              <w:rPr>
                <w:rFonts w:ascii="Times New Roman" w:eastAsiaTheme="minorHAnsi" w:hAnsi="Times New Roman"/>
                <w:sz w:val="16"/>
                <w:szCs w:val="16"/>
              </w:rPr>
            </w:pPr>
          </w:p>
          <w:p w14:paraId="58C1E0A6" w14:textId="470A26B6" w:rsidR="004344A9" w:rsidRPr="00535BDD" w:rsidRDefault="00302EA7" w:rsidP="00AA08C8">
            <w:pPr>
              <w:spacing w:after="0" w:line="240" w:lineRule="auto"/>
              <w:jc w:val="both"/>
              <w:rPr>
                <w:rFonts w:ascii="Times New Roman" w:eastAsiaTheme="minorHAnsi" w:hAnsi="Times New Roman"/>
                <w:i/>
                <w:sz w:val="16"/>
                <w:szCs w:val="16"/>
              </w:rPr>
            </w:pPr>
            <w:r>
              <w:rPr>
                <w:rFonts w:ascii="Times New Roman" w:eastAsiaTheme="minorHAnsi" w:hAnsi="Times New Roman"/>
                <w:i/>
                <w:sz w:val="16"/>
                <w:szCs w:val="16"/>
              </w:rPr>
              <w:t xml:space="preserve">Informācija par datiem: </w:t>
            </w:r>
            <w:r w:rsidRPr="00917AF1">
              <w:rPr>
                <w:rFonts w:ascii="Times New Roman" w:eastAsiaTheme="minorHAnsi" w:hAnsi="Times New Roman"/>
                <w:sz w:val="16"/>
                <w:szCs w:val="16"/>
              </w:rPr>
              <w:t>3.4.2.2</w:t>
            </w:r>
            <w:r w:rsidR="004344A9" w:rsidRPr="00917AF1">
              <w:rPr>
                <w:rFonts w:ascii="Times New Roman" w:eastAsiaTheme="minorHAnsi" w:hAnsi="Times New Roman"/>
                <w:sz w:val="16"/>
                <w:szCs w:val="16"/>
              </w:rPr>
              <w:t xml:space="preserve">. pasākumā darbības līmenis ir noteikts projekts, kopumā pasākuma ietvaros ir plānoti </w:t>
            </w:r>
            <w:r w:rsidR="00336DFE" w:rsidRPr="00917AF1">
              <w:rPr>
                <w:rFonts w:ascii="Times New Roman" w:eastAsiaTheme="minorHAnsi" w:hAnsi="Times New Roman"/>
                <w:sz w:val="16"/>
                <w:szCs w:val="16"/>
              </w:rPr>
              <w:t>2</w:t>
            </w:r>
            <w:r w:rsidR="004344A9" w:rsidRPr="00917AF1">
              <w:rPr>
                <w:rFonts w:ascii="Times New Roman" w:eastAsiaTheme="minorHAnsi" w:hAnsi="Times New Roman"/>
                <w:sz w:val="16"/>
                <w:szCs w:val="16"/>
              </w:rPr>
              <w:t xml:space="preserve"> projekti.</w:t>
            </w:r>
          </w:p>
          <w:p w14:paraId="5D0CD0A1" w14:textId="77777777" w:rsidR="006E07CA" w:rsidRPr="00535BDD" w:rsidRDefault="006E07CA" w:rsidP="00AA08C8">
            <w:pPr>
              <w:spacing w:after="0" w:line="240" w:lineRule="auto"/>
              <w:jc w:val="both"/>
              <w:rPr>
                <w:rFonts w:ascii="Times New Roman" w:eastAsiaTheme="minorHAnsi" w:hAnsi="Times New Roman"/>
                <w:sz w:val="16"/>
                <w:szCs w:val="16"/>
              </w:rPr>
            </w:pPr>
          </w:p>
          <w:p w14:paraId="4FACA932" w14:textId="7917E5B9" w:rsidR="006E07CA" w:rsidRPr="00535BDD" w:rsidRDefault="006E07CA" w:rsidP="00AA08C8">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 xml:space="preserve">Starpposma vērtība 2018: </w:t>
            </w:r>
            <w:r w:rsidR="000C3298">
              <w:rPr>
                <w:rFonts w:ascii="Times New Roman" w:eastAsiaTheme="minorHAnsi" w:hAnsi="Times New Roman"/>
                <w:sz w:val="16"/>
                <w:szCs w:val="16"/>
              </w:rPr>
              <w:t>5</w:t>
            </w:r>
            <w:r w:rsidRPr="00535BDD">
              <w:rPr>
                <w:rFonts w:ascii="Times New Roman" w:eastAsiaTheme="minorHAnsi" w:hAnsi="Times New Roman"/>
                <w:sz w:val="16"/>
                <w:szCs w:val="16"/>
              </w:rPr>
              <w:t xml:space="preserve"> </w:t>
            </w:r>
          </w:p>
          <w:p w14:paraId="2DE3D4E8" w14:textId="77777777" w:rsidR="006E07CA" w:rsidRPr="00535BDD" w:rsidRDefault="006E07CA" w:rsidP="00AA08C8">
            <w:pPr>
              <w:spacing w:after="0" w:line="240" w:lineRule="auto"/>
              <w:jc w:val="both"/>
              <w:rPr>
                <w:rFonts w:ascii="Times New Roman" w:eastAsiaTheme="minorHAnsi" w:hAnsi="Times New Roman"/>
                <w:i/>
                <w:sz w:val="16"/>
                <w:szCs w:val="16"/>
              </w:rPr>
            </w:pPr>
          </w:p>
          <w:p w14:paraId="186B97C8" w14:textId="6D2520D1" w:rsidR="006E07CA" w:rsidRPr="00535BDD" w:rsidRDefault="006E07CA" w:rsidP="00AA08C8">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Mērķis 2023</w:t>
            </w:r>
            <w:r w:rsidRPr="00535BDD">
              <w:rPr>
                <w:rFonts w:ascii="Times New Roman" w:eastAsiaTheme="minorHAnsi" w:hAnsi="Times New Roman"/>
                <w:sz w:val="16"/>
                <w:szCs w:val="16"/>
              </w:rPr>
              <w:t xml:space="preserve">: </w:t>
            </w:r>
            <w:r w:rsidRPr="00AA08C8">
              <w:rPr>
                <w:rFonts w:ascii="Times New Roman" w:eastAsiaTheme="minorHAnsi" w:hAnsi="Times New Roman"/>
                <w:sz w:val="16"/>
                <w:szCs w:val="16"/>
              </w:rPr>
              <w:t>25</w:t>
            </w:r>
          </w:p>
          <w:p w14:paraId="72AAA2C7" w14:textId="77777777" w:rsidR="006E07CA" w:rsidRPr="00535BDD" w:rsidRDefault="006E07CA" w:rsidP="00AA08C8">
            <w:pPr>
              <w:spacing w:after="0" w:line="240" w:lineRule="auto"/>
              <w:jc w:val="both"/>
              <w:rPr>
                <w:rFonts w:ascii="Times New Roman" w:eastAsiaTheme="minorHAnsi" w:hAnsi="Times New Roman"/>
                <w:sz w:val="16"/>
                <w:szCs w:val="16"/>
              </w:rPr>
            </w:pPr>
          </w:p>
          <w:p w14:paraId="3359624D" w14:textId="31464119" w:rsidR="006E07CA" w:rsidRPr="00917AF1" w:rsidRDefault="006E07CA" w:rsidP="00AA08C8">
            <w:pPr>
              <w:spacing w:after="0" w:line="240" w:lineRule="auto"/>
              <w:jc w:val="both"/>
              <w:rPr>
                <w:rFonts w:ascii="Times New Roman" w:eastAsiaTheme="minorHAnsi" w:hAnsi="Times New Roman"/>
                <w:b/>
                <w:sz w:val="16"/>
                <w:szCs w:val="16"/>
              </w:rPr>
            </w:pPr>
            <w:r w:rsidRPr="005C5024">
              <w:rPr>
                <w:rFonts w:ascii="Times New Roman" w:eastAsiaTheme="minorHAnsi" w:hAnsi="Times New Roman"/>
                <w:i/>
                <w:sz w:val="16"/>
                <w:szCs w:val="16"/>
              </w:rPr>
              <w:t>Mērķa vērtības noteikšanas principi/metodoloģija</w:t>
            </w:r>
            <w:r w:rsidRPr="005C5024">
              <w:rPr>
                <w:rFonts w:ascii="Times New Roman" w:eastAsiaTheme="minorHAnsi" w:hAnsi="Times New Roman"/>
                <w:sz w:val="16"/>
                <w:szCs w:val="16"/>
              </w:rPr>
              <w:t xml:space="preserve">: Mērķis noteikts, ņemot par pamatu </w:t>
            </w:r>
            <w:r w:rsidR="00CE0898" w:rsidRPr="005C5024">
              <w:rPr>
                <w:rFonts w:ascii="Times New Roman" w:eastAsiaTheme="minorHAnsi" w:hAnsi="Times New Roman"/>
                <w:sz w:val="16"/>
                <w:szCs w:val="16"/>
              </w:rPr>
              <w:t xml:space="preserve">sociālo partneru kapacitāti un </w:t>
            </w:r>
            <w:r w:rsidRPr="005C5024">
              <w:rPr>
                <w:rFonts w:ascii="Times New Roman" w:eastAsiaTheme="minorHAnsi" w:hAnsi="Times New Roman"/>
                <w:sz w:val="16"/>
                <w:szCs w:val="16"/>
              </w:rPr>
              <w:t xml:space="preserve">vēsturisko pieredzi </w:t>
            </w:r>
            <w:r w:rsidR="00CE0898" w:rsidRPr="005C5024">
              <w:rPr>
                <w:rFonts w:ascii="Times New Roman" w:eastAsiaTheme="minorHAnsi" w:hAnsi="Times New Roman"/>
                <w:sz w:val="16"/>
                <w:szCs w:val="16"/>
              </w:rPr>
              <w:t>sadarbībā ar š</w:t>
            </w:r>
            <w:r w:rsidR="00593AF3">
              <w:rPr>
                <w:rFonts w:ascii="Times New Roman" w:eastAsiaTheme="minorHAnsi" w:hAnsi="Times New Roman"/>
                <w:sz w:val="16"/>
                <w:szCs w:val="16"/>
              </w:rPr>
              <w:t>ī</w:t>
            </w:r>
            <w:r w:rsidR="00CE0898" w:rsidRPr="005C5024">
              <w:rPr>
                <w:rFonts w:ascii="Times New Roman" w:eastAsiaTheme="minorHAnsi" w:hAnsi="Times New Roman"/>
                <w:sz w:val="16"/>
                <w:szCs w:val="16"/>
              </w:rPr>
              <w:t xml:space="preserve">m organizācijām </w:t>
            </w:r>
            <w:r w:rsidRPr="005C5024">
              <w:rPr>
                <w:rFonts w:ascii="Times New Roman" w:eastAsiaTheme="minorHAnsi" w:hAnsi="Times New Roman"/>
                <w:sz w:val="16"/>
                <w:szCs w:val="16"/>
              </w:rPr>
              <w:t>2007. -2013. gada plānošanas periodā</w:t>
            </w:r>
            <w:r w:rsidR="00CE0898" w:rsidRPr="005C5024">
              <w:rPr>
                <w:rFonts w:ascii="Times New Roman" w:eastAsiaTheme="minorHAnsi" w:hAnsi="Times New Roman"/>
                <w:sz w:val="16"/>
                <w:szCs w:val="16"/>
              </w:rPr>
              <w:t xml:space="preserve"> ESF projektu ieviešanā</w:t>
            </w:r>
            <w:r w:rsidR="005C5024" w:rsidRPr="005C5024">
              <w:rPr>
                <w:rFonts w:ascii="Times New Roman" w:eastAsiaTheme="minorHAnsi" w:hAnsi="Times New Roman"/>
                <w:sz w:val="16"/>
                <w:szCs w:val="16"/>
              </w:rPr>
              <w:t>, kā arī</w:t>
            </w:r>
            <w:r w:rsidR="00593AF3">
              <w:rPr>
                <w:rFonts w:ascii="Times New Roman" w:eastAsiaTheme="minorHAnsi" w:hAnsi="Times New Roman"/>
                <w:sz w:val="16"/>
                <w:szCs w:val="16"/>
              </w:rPr>
              <w:t xml:space="preserve"> pasākuma ietvaros</w:t>
            </w:r>
            <w:r w:rsidR="005C5024" w:rsidRPr="005C5024">
              <w:rPr>
                <w:rFonts w:ascii="Times New Roman" w:eastAsiaTheme="minorHAnsi" w:hAnsi="Times New Roman"/>
                <w:sz w:val="16"/>
                <w:szCs w:val="16"/>
              </w:rPr>
              <w:t xml:space="preserve"> noslēdzamo ģenerālvienošanos skaitu</w:t>
            </w:r>
            <w:r w:rsidR="007E4330">
              <w:rPr>
                <w:rFonts w:ascii="Times New Roman" w:eastAsiaTheme="minorHAnsi" w:hAnsi="Times New Roman"/>
                <w:sz w:val="16"/>
                <w:szCs w:val="16"/>
              </w:rPr>
              <w:t>, pieejamo finansējumu un pr</w:t>
            </w:r>
            <w:r w:rsidR="00A95C6D">
              <w:rPr>
                <w:rFonts w:ascii="Times New Roman" w:eastAsiaTheme="minorHAnsi" w:hAnsi="Times New Roman"/>
                <w:sz w:val="16"/>
                <w:szCs w:val="16"/>
              </w:rPr>
              <w:t xml:space="preserve">ojektu īstenošanas </w:t>
            </w:r>
            <w:r w:rsidR="00210BC1">
              <w:rPr>
                <w:rFonts w:ascii="Times New Roman" w:eastAsiaTheme="minorHAnsi" w:hAnsi="Times New Roman"/>
                <w:sz w:val="16"/>
                <w:szCs w:val="16"/>
              </w:rPr>
              <w:t xml:space="preserve">kopējo </w:t>
            </w:r>
            <w:r w:rsidR="00A95C6D">
              <w:rPr>
                <w:rFonts w:ascii="Times New Roman" w:eastAsiaTheme="minorHAnsi" w:hAnsi="Times New Roman"/>
                <w:sz w:val="16"/>
                <w:szCs w:val="16"/>
              </w:rPr>
              <w:t>laiku un</w:t>
            </w:r>
            <w:r w:rsidR="007E4330">
              <w:rPr>
                <w:rFonts w:ascii="Times New Roman" w:eastAsiaTheme="minorHAnsi" w:hAnsi="Times New Roman"/>
                <w:sz w:val="16"/>
                <w:szCs w:val="16"/>
              </w:rPr>
              <w:t xml:space="preserve"> faktu, ka projektu</w:t>
            </w:r>
            <w:r w:rsidR="00A95C6D">
              <w:rPr>
                <w:rFonts w:ascii="Times New Roman" w:eastAsiaTheme="minorHAnsi" w:hAnsi="Times New Roman"/>
                <w:sz w:val="16"/>
                <w:szCs w:val="16"/>
              </w:rPr>
              <w:t xml:space="preserve"> prognozējamais uzsākšanas laiks ir 2017.gada pirmais ceturksnis</w:t>
            </w:r>
            <w:r w:rsidR="005C5024" w:rsidRPr="005C5024">
              <w:rPr>
                <w:rFonts w:ascii="Times New Roman" w:eastAsiaTheme="minorHAnsi" w:hAnsi="Times New Roman"/>
                <w:sz w:val="16"/>
                <w:szCs w:val="16"/>
              </w:rPr>
              <w:t xml:space="preserve">. </w:t>
            </w:r>
          </w:p>
          <w:p w14:paraId="7D9BFF53" w14:textId="77777777" w:rsidR="006E07CA" w:rsidRDefault="006E07CA" w:rsidP="00535BDD">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Iznākuma rādītājam sasniegšanai paredzētais finansējums</w:t>
            </w:r>
            <w:r w:rsidRPr="00535BDD">
              <w:rPr>
                <w:rFonts w:ascii="Times New Roman" w:eastAsiaTheme="minorHAnsi" w:hAnsi="Times New Roman"/>
                <w:i/>
                <w:sz w:val="16"/>
                <w:szCs w:val="16"/>
                <w:vertAlign w:val="superscript"/>
              </w:rPr>
              <w:footnoteReference w:id="9"/>
            </w:r>
            <w:r w:rsidRPr="00535BDD">
              <w:rPr>
                <w:rFonts w:ascii="Times New Roman" w:eastAsiaTheme="minorHAnsi" w:hAnsi="Times New Roman"/>
                <w:i/>
                <w:sz w:val="16"/>
                <w:szCs w:val="16"/>
              </w:rPr>
              <w:t>:</w:t>
            </w:r>
            <w:r w:rsidRPr="00AA08C8">
              <w:rPr>
                <w:rFonts w:ascii="Times New Roman" w:eastAsiaTheme="minorHAnsi" w:hAnsi="Times New Roman"/>
                <w:sz w:val="16"/>
                <w:szCs w:val="16"/>
              </w:rPr>
              <w:t>1 500 000 EUR</w:t>
            </w:r>
          </w:p>
          <w:p w14:paraId="649EFC5A" w14:textId="77777777" w:rsidR="00AE1DD2" w:rsidRDefault="00AE1DD2" w:rsidP="00535BDD">
            <w:pPr>
              <w:spacing w:after="0" w:line="240" w:lineRule="auto"/>
              <w:jc w:val="both"/>
              <w:rPr>
                <w:rFonts w:ascii="Times New Roman" w:eastAsiaTheme="minorHAnsi" w:hAnsi="Times New Roman"/>
                <w:sz w:val="16"/>
                <w:szCs w:val="16"/>
              </w:rPr>
            </w:pPr>
          </w:p>
          <w:p w14:paraId="1D9311C2" w14:textId="4FDF2E56" w:rsidR="009C78E6" w:rsidRDefault="009C78E6" w:rsidP="009C78E6">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3.4.2.2.pasākuma ietvaros, lai tiktu sasniegts rezultāta rādītājs noslēgtas 5 ģenerālvienošanās ir nepieciešams veikt virkni pasākumu</w:t>
            </w:r>
            <w:r w:rsidR="00F930B0">
              <w:rPr>
                <w:rFonts w:ascii="Times New Roman" w:eastAsiaTheme="minorHAnsi" w:hAnsi="Times New Roman"/>
                <w:sz w:val="16"/>
                <w:szCs w:val="16"/>
              </w:rPr>
              <w:t>, kas ir noteikts kā iznākuma rādītājs šī pasākuma ietvaros</w:t>
            </w:r>
            <w:r w:rsidR="001354A7">
              <w:rPr>
                <w:rFonts w:ascii="Times New Roman" w:eastAsiaTheme="minorHAnsi" w:hAnsi="Times New Roman"/>
                <w:sz w:val="16"/>
                <w:szCs w:val="16"/>
              </w:rPr>
              <w:t xml:space="preserve"> un </w:t>
            </w:r>
            <w:r>
              <w:rPr>
                <w:rFonts w:ascii="Times New Roman" w:eastAsiaTheme="minorHAnsi" w:hAnsi="Times New Roman"/>
                <w:sz w:val="16"/>
                <w:szCs w:val="16"/>
              </w:rPr>
              <w:t>kas veicinās izpratni par ģenerālvienošanās nepieciešamību, nodrošinās ģenerālvienošanās iekļaujamā satura kvalitatīvu izstrādi un nodrošinās tās noslēgšanu prioritāri noteiktajās nozarēs.</w:t>
            </w:r>
          </w:p>
          <w:p w14:paraId="2E1D0F47" w14:textId="0E76A168" w:rsidR="009C78E6" w:rsidRPr="00ED7913" w:rsidRDefault="009C78E6" w:rsidP="009C78E6">
            <w:pPr>
              <w:spacing w:after="0" w:line="240" w:lineRule="auto"/>
              <w:jc w:val="both"/>
              <w:rPr>
                <w:rFonts w:ascii="Times New Roman" w:eastAsiaTheme="minorHAnsi" w:hAnsi="Times New Roman"/>
                <w:b/>
                <w:sz w:val="16"/>
                <w:szCs w:val="16"/>
              </w:rPr>
            </w:pPr>
            <w:r>
              <w:rPr>
                <w:rFonts w:ascii="Times New Roman" w:eastAsiaTheme="minorHAnsi" w:hAnsi="Times New Roman"/>
                <w:sz w:val="16"/>
                <w:szCs w:val="16"/>
              </w:rPr>
              <w:t xml:space="preserve">Vienas vienības izmaksas aprēķins: 1 500 000 euro / 5 ģenerālvienošanās = </w:t>
            </w:r>
            <w:r w:rsidRPr="00ED7913">
              <w:rPr>
                <w:rFonts w:ascii="Times New Roman" w:eastAsiaTheme="minorHAnsi" w:hAnsi="Times New Roman"/>
                <w:b/>
                <w:sz w:val="16"/>
                <w:szCs w:val="16"/>
              </w:rPr>
              <w:t>300 000 euro par vienību</w:t>
            </w:r>
            <w:r w:rsidR="0012282D">
              <w:rPr>
                <w:rFonts w:ascii="Times New Roman" w:eastAsiaTheme="minorHAnsi" w:hAnsi="Times New Roman"/>
                <w:b/>
                <w:sz w:val="16"/>
                <w:szCs w:val="16"/>
              </w:rPr>
              <w:t>.</w:t>
            </w:r>
          </w:p>
          <w:p w14:paraId="5B297CD8" w14:textId="254AD606" w:rsidR="00AE1DD2" w:rsidRPr="002E7FB2" w:rsidRDefault="00AE1DD2" w:rsidP="00535BDD">
            <w:pPr>
              <w:spacing w:after="0" w:line="240" w:lineRule="auto"/>
              <w:jc w:val="both"/>
              <w:rPr>
                <w:rFonts w:ascii="Times New Roman" w:eastAsiaTheme="minorHAnsi" w:hAnsi="Times New Roman"/>
                <w:sz w:val="16"/>
                <w:szCs w:val="16"/>
              </w:rPr>
            </w:pPr>
          </w:p>
        </w:tc>
        <w:tc>
          <w:tcPr>
            <w:tcW w:w="1701" w:type="dxa"/>
            <w:vMerge/>
          </w:tcPr>
          <w:p w14:paraId="61A74222" w14:textId="7EC27B4C" w:rsidR="006E07CA" w:rsidRPr="00535BDD" w:rsidRDefault="006E07CA" w:rsidP="006E07CA">
            <w:pPr>
              <w:spacing w:after="0" w:line="240" w:lineRule="auto"/>
              <w:jc w:val="both"/>
              <w:rPr>
                <w:rFonts w:ascii="Times New Roman" w:eastAsiaTheme="minorHAnsi" w:hAnsi="Times New Roman"/>
                <w:i/>
                <w:sz w:val="16"/>
                <w:szCs w:val="16"/>
              </w:rPr>
            </w:pPr>
          </w:p>
        </w:tc>
      </w:tr>
      <w:tr w:rsidR="004E51A1" w:rsidRPr="00535BDD" w14:paraId="566997AD" w14:textId="77777777" w:rsidTr="002E7FB2">
        <w:trPr>
          <w:trHeight w:val="204"/>
        </w:trPr>
        <w:tc>
          <w:tcPr>
            <w:tcW w:w="1135" w:type="dxa"/>
          </w:tcPr>
          <w:p w14:paraId="12927EE1" w14:textId="69C37A39" w:rsidR="004E51A1" w:rsidRPr="00535BDD" w:rsidRDefault="004E51A1" w:rsidP="001B1A4C">
            <w:pPr>
              <w:spacing w:after="0" w:line="240" w:lineRule="auto"/>
              <w:rPr>
                <w:rFonts w:ascii="Times New Roman" w:eastAsiaTheme="minorHAnsi" w:hAnsi="Times New Roman"/>
                <w:sz w:val="16"/>
                <w:szCs w:val="16"/>
              </w:rPr>
            </w:pPr>
          </w:p>
        </w:tc>
        <w:tc>
          <w:tcPr>
            <w:tcW w:w="1310" w:type="dxa"/>
          </w:tcPr>
          <w:p w14:paraId="191A27B3" w14:textId="77777777" w:rsidR="004E51A1" w:rsidRPr="00535BDD" w:rsidRDefault="004E51A1" w:rsidP="001B1A4C">
            <w:pPr>
              <w:spacing w:after="0" w:line="240" w:lineRule="auto"/>
              <w:rPr>
                <w:rFonts w:ascii="Times New Roman" w:eastAsiaTheme="minorHAnsi" w:hAnsi="Times New Roman"/>
                <w:sz w:val="16"/>
                <w:szCs w:val="16"/>
              </w:rPr>
            </w:pPr>
          </w:p>
        </w:tc>
        <w:tc>
          <w:tcPr>
            <w:tcW w:w="1310" w:type="dxa"/>
          </w:tcPr>
          <w:p w14:paraId="1B71CD14" w14:textId="77777777" w:rsidR="004E51A1" w:rsidRPr="00535BDD" w:rsidRDefault="004E51A1" w:rsidP="001B1A4C">
            <w:pPr>
              <w:spacing w:after="0" w:line="240" w:lineRule="auto"/>
              <w:rPr>
                <w:rFonts w:ascii="Times New Roman" w:eastAsiaTheme="minorHAnsi" w:hAnsi="Times New Roman"/>
                <w:sz w:val="16"/>
                <w:szCs w:val="16"/>
              </w:rPr>
            </w:pPr>
          </w:p>
        </w:tc>
        <w:tc>
          <w:tcPr>
            <w:tcW w:w="5318" w:type="dxa"/>
          </w:tcPr>
          <w:p w14:paraId="77D543F1" w14:textId="77777777" w:rsidR="004E51A1" w:rsidRPr="00535BDD" w:rsidRDefault="004E51A1" w:rsidP="00766B11">
            <w:pPr>
              <w:spacing w:after="0" w:line="240" w:lineRule="auto"/>
              <w:jc w:val="both"/>
              <w:rPr>
                <w:rFonts w:ascii="Times New Roman" w:eastAsiaTheme="minorHAnsi" w:hAnsi="Times New Roman"/>
                <w:i/>
                <w:sz w:val="16"/>
                <w:szCs w:val="16"/>
              </w:rPr>
            </w:pPr>
          </w:p>
        </w:tc>
        <w:tc>
          <w:tcPr>
            <w:tcW w:w="4961" w:type="dxa"/>
          </w:tcPr>
          <w:p w14:paraId="5AD0E1B5" w14:textId="77777777" w:rsidR="004E51A1" w:rsidRDefault="004E51A1" w:rsidP="004E51A1">
            <w:pPr>
              <w:spacing w:after="0" w:line="240" w:lineRule="auto"/>
              <w:jc w:val="both"/>
              <w:rPr>
                <w:rFonts w:ascii="Times New Roman" w:eastAsiaTheme="minorHAnsi" w:hAnsi="Times New Roman"/>
                <w:sz w:val="16"/>
                <w:szCs w:val="16"/>
              </w:rPr>
            </w:pPr>
            <w:r w:rsidRPr="00535BDD">
              <w:rPr>
                <w:rFonts w:ascii="Times New Roman" w:eastAsiaTheme="minorHAnsi" w:hAnsi="Times New Roman"/>
                <w:b/>
                <w:i/>
                <w:sz w:val="16"/>
                <w:szCs w:val="16"/>
              </w:rPr>
              <w:t>IR1</w:t>
            </w:r>
            <w:r w:rsidRPr="00535BDD">
              <w:rPr>
                <w:rFonts w:ascii="Times New Roman" w:eastAsiaTheme="minorHAnsi" w:hAnsi="Times New Roman"/>
                <w:i/>
                <w:sz w:val="16"/>
                <w:szCs w:val="16"/>
              </w:rPr>
              <w:t xml:space="preserve"> nosaukums un mērvienība</w:t>
            </w:r>
            <w:r w:rsidRPr="00535BDD">
              <w:rPr>
                <w:rFonts w:ascii="Times New Roman" w:eastAsiaTheme="minorHAnsi" w:hAnsi="Times New Roman"/>
                <w:sz w:val="16"/>
                <w:szCs w:val="16"/>
              </w:rPr>
              <w:t>:</w:t>
            </w:r>
          </w:p>
          <w:p w14:paraId="1A6FB925" w14:textId="672567FE" w:rsidR="004E51A1" w:rsidRPr="00535BDD" w:rsidRDefault="004E51A1" w:rsidP="004E51A1">
            <w:pPr>
              <w:spacing w:after="0" w:line="240" w:lineRule="auto"/>
              <w:jc w:val="both"/>
              <w:rPr>
                <w:rFonts w:ascii="Times New Roman" w:eastAsiaTheme="minorHAnsi" w:hAnsi="Times New Roman"/>
                <w:sz w:val="16"/>
                <w:szCs w:val="16"/>
              </w:rPr>
            </w:pPr>
            <w:r w:rsidRPr="00535BDD">
              <w:rPr>
                <w:rFonts w:ascii="Times New Roman" w:eastAsiaTheme="minorHAnsi" w:hAnsi="Times New Roman"/>
                <w:sz w:val="16"/>
                <w:szCs w:val="16"/>
              </w:rPr>
              <w:t xml:space="preserve"> i.3.4.2.</w:t>
            </w:r>
            <w:r w:rsidR="004B6393">
              <w:rPr>
                <w:rFonts w:ascii="Times New Roman" w:eastAsiaTheme="minorHAnsi" w:hAnsi="Times New Roman"/>
                <w:sz w:val="16"/>
                <w:szCs w:val="16"/>
              </w:rPr>
              <w:t>c</w:t>
            </w:r>
            <w:r w:rsidRPr="00535BDD">
              <w:rPr>
                <w:rFonts w:ascii="Times New Roman" w:eastAsiaTheme="minorHAnsi" w:hAnsi="Times New Roman"/>
                <w:sz w:val="16"/>
                <w:szCs w:val="16"/>
              </w:rPr>
              <w:t xml:space="preserve"> </w:t>
            </w:r>
            <w:r w:rsidR="004B6393" w:rsidRPr="004B6393">
              <w:rPr>
                <w:rFonts w:ascii="Times New Roman" w:eastAsiaTheme="minorHAnsi" w:hAnsi="Times New Roman"/>
                <w:b/>
                <w:sz w:val="16"/>
                <w:szCs w:val="16"/>
              </w:rPr>
              <w:t>Institūciju skaits, kurā īstenota pakalpojumu sniegšanas organizēšanas pārveide</w:t>
            </w:r>
          </w:p>
          <w:p w14:paraId="4B1E727E" w14:textId="77777777" w:rsidR="004E51A1" w:rsidRPr="00535BDD" w:rsidRDefault="004E51A1" w:rsidP="004E51A1">
            <w:pPr>
              <w:spacing w:after="0" w:line="240" w:lineRule="auto"/>
              <w:jc w:val="both"/>
              <w:rPr>
                <w:rFonts w:ascii="Times New Roman" w:eastAsiaTheme="minorHAnsi" w:hAnsi="Times New Roman"/>
                <w:sz w:val="16"/>
                <w:szCs w:val="16"/>
              </w:rPr>
            </w:pPr>
          </w:p>
          <w:p w14:paraId="6A1B327F" w14:textId="27369463" w:rsidR="004E51A1" w:rsidRPr="00535BDD" w:rsidRDefault="004E51A1" w:rsidP="004E51A1">
            <w:pPr>
              <w:spacing w:after="0" w:line="240" w:lineRule="auto"/>
              <w:jc w:val="both"/>
              <w:rPr>
                <w:rFonts w:ascii="Times New Roman" w:eastAsiaTheme="minorHAnsi" w:hAnsi="Times New Roman"/>
                <w:sz w:val="16"/>
                <w:szCs w:val="16"/>
              </w:rPr>
            </w:pPr>
            <w:r w:rsidRPr="00CE0898">
              <w:rPr>
                <w:rFonts w:ascii="Times New Roman" w:eastAsiaTheme="minorHAnsi" w:hAnsi="Times New Roman"/>
                <w:i/>
                <w:sz w:val="16"/>
                <w:szCs w:val="16"/>
              </w:rPr>
              <w:t>Definīcija</w:t>
            </w:r>
            <w:r w:rsidRPr="00CE0898">
              <w:rPr>
                <w:rFonts w:ascii="Times New Roman" w:hAnsi="Times New Roman"/>
                <w:sz w:val="16"/>
                <w:szCs w:val="16"/>
                <w:vertAlign w:val="superscript"/>
              </w:rPr>
              <w:fldChar w:fldCharType="begin"/>
            </w:r>
            <w:r w:rsidRPr="00CE0898">
              <w:rPr>
                <w:rFonts w:ascii="Times New Roman" w:hAnsi="Times New Roman"/>
                <w:sz w:val="16"/>
                <w:szCs w:val="16"/>
                <w:vertAlign w:val="superscript"/>
              </w:rPr>
              <w:instrText xml:space="preserve"> NOTEREF _Ref356206606 \h  \* MERGEFORMAT </w:instrText>
            </w:r>
            <w:r w:rsidRPr="00CE0898">
              <w:rPr>
                <w:rFonts w:ascii="Times New Roman" w:hAnsi="Times New Roman"/>
                <w:sz w:val="16"/>
                <w:szCs w:val="16"/>
                <w:vertAlign w:val="superscript"/>
              </w:rPr>
            </w:r>
            <w:r w:rsidRPr="00CE0898">
              <w:rPr>
                <w:rFonts w:ascii="Times New Roman" w:hAnsi="Times New Roman"/>
                <w:sz w:val="16"/>
                <w:szCs w:val="16"/>
                <w:vertAlign w:val="superscript"/>
              </w:rPr>
              <w:fldChar w:fldCharType="separate"/>
            </w:r>
            <w:r w:rsidR="004522B3">
              <w:rPr>
                <w:rFonts w:ascii="Times New Roman" w:hAnsi="Times New Roman"/>
                <w:sz w:val="16"/>
                <w:szCs w:val="16"/>
                <w:vertAlign w:val="superscript"/>
              </w:rPr>
              <w:t>2</w:t>
            </w:r>
            <w:r w:rsidRPr="00CE0898">
              <w:rPr>
                <w:rFonts w:ascii="Times New Roman" w:hAnsi="Times New Roman"/>
                <w:sz w:val="16"/>
                <w:szCs w:val="16"/>
                <w:vertAlign w:val="superscript"/>
              </w:rPr>
              <w:fldChar w:fldCharType="end"/>
            </w:r>
            <w:r w:rsidRPr="00CE0898">
              <w:rPr>
                <w:rFonts w:ascii="Times New Roman" w:eastAsiaTheme="minorHAnsi" w:hAnsi="Times New Roman"/>
                <w:i/>
                <w:sz w:val="16"/>
                <w:szCs w:val="16"/>
              </w:rPr>
              <w:t xml:space="preserve">: </w:t>
            </w:r>
            <w:r w:rsidRPr="00CE0898">
              <w:rPr>
                <w:rFonts w:ascii="Times New Roman" w:eastAsiaTheme="minorHAnsi" w:hAnsi="Times New Roman"/>
                <w:sz w:val="16"/>
                <w:szCs w:val="16"/>
              </w:rPr>
              <w:t>Rādītājs raksturo</w:t>
            </w:r>
            <w:r w:rsidR="004B6393">
              <w:rPr>
                <w:rFonts w:ascii="Times New Roman" w:eastAsiaTheme="minorHAnsi" w:hAnsi="Times New Roman"/>
                <w:sz w:val="16"/>
                <w:szCs w:val="16"/>
              </w:rPr>
              <w:t xml:space="preserve"> </w:t>
            </w:r>
            <w:r w:rsidR="00CB6F9D">
              <w:rPr>
                <w:rFonts w:ascii="Times New Roman" w:eastAsiaTheme="minorHAnsi" w:hAnsi="Times New Roman"/>
                <w:sz w:val="16"/>
                <w:szCs w:val="16"/>
              </w:rPr>
              <w:t xml:space="preserve">valsts pārvaldes institūciju skaitu, kurās pilotprojekta veidā tiktu </w:t>
            </w:r>
            <w:r w:rsidR="004B6393">
              <w:rPr>
                <w:rFonts w:ascii="Times New Roman" w:eastAsiaTheme="minorHAnsi" w:hAnsi="Times New Roman"/>
                <w:sz w:val="16"/>
                <w:szCs w:val="16"/>
              </w:rPr>
              <w:t>īstenot</w:t>
            </w:r>
            <w:r w:rsidR="00CB6F9D">
              <w:rPr>
                <w:rFonts w:ascii="Times New Roman" w:eastAsiaTheme="minorHAnsi" w:hAnsi="Times New Roman"/>
                <w:sz w:val="16"/>
                <w:szCs w:val="16"/>
              </w:rPr>
              <w:t>a</w:t>
            </w:r>
            <w:r w:rsidR="004B6393">
              <w:rPr>
                <w:rFonts w:ascii="Times New Roman" w:eastAsiaTheme="minorHAnsi" w:hAnsi="Times New Roman"/>
                <w:sz w:val="16"/>
                <w:szCs w:val="16"/>
              </w:rPr>
              <w:t xml:space="preserve"> </w:t>
            </w:r>
            <w:r w:rsidR="004B6393" w:rsidRPr="004B6393">
              <w:rPr>
                <w:rFonts w:ascii="Times New Roman" w:eastAsiaTheme="minorHAnsi" w:hAnsi="Times New Roman"/>
                <w:sz w:val="16"/>
                <w:szCs w:val="16"/>
              </w:rPr>
              <w:t>pakalpojumu sniegšanas organizēšanas pārveide</w:t>
            </w:r>
            <w:r w:rsidRPr="00CE0898">
              <w:rPr>
                <w:rFonts w:ascii="Times New Roman" w:eastAsiaTheme="minorHAnsi" w:hAnsi="Times New Roman"/>
                <w:sz w:val="16"/>
                <w:szCs w:val="16"/>
              </w:rPr>
              <w:t>.</w:t>
            </w:r>
            <w:r w:rsidRPr="00535BDD">
              <w:rPr>
                <w:rFonts w:ascii="Times New Roman" w:eastAsiaTheme="minorHAnsi" w:hAnsi="Times New Roman"/>
                <w:sz w:val="16"/>
                <w:szCs w:val="16"/>
              </w:rPr>
              <w:t xml:space="preserve"> </w:t>
            </w:r>
            <w:r w:rsidR="00CB6F9D">
              <w:rPr>
                <w:rFonts w:ascii="Times New Roman" w:eastAsiaTheme="minorHAnsi" w:hAnsi="Times New Roman"/>
                <w:sz w:val="16"/>
                <w:szCs w:val="16"/>
              </w:rPr>
              <w:t>Paredzams, ka</w:t>
            </w:r>
            <w:r w:rsidR="00CB6F9D" w:rsidRPr="00CB6F9D">
              <w:rPr>
                <w:rFonts w:ascii="Times New Roman" w:eastAsiaTheme="minorHAnsi" w:hAnsi="Times New Roman"/>
                <w:sz w:val="16"/>
                <w:szCs w:val="16"/>
              </w:rPr>
              <w:t xml:space="preserve"> trīs institūcijās pilotprojekti tiktu vērsti uz pakalpojumu sniegšanu komersantu vajadzību sekmīgākai apmierināšanai, bet divās tie tiktu vērsti uz pakalpojumu sniegšanu iedzīvotāju vajadzību sekmīgākai apmierināšanai</w:t>
            </w:r>
            <w:r w:rsidR="00CB6F9D">
              <w:rPr>
                <w:rFonts w:ascii="Times New Roman" w:eastAsiaTheme="minorHAnsi" w:hAnsi="Times New Roman"/>
                <w:sz w:val="16"/>
                <w:szCs w:val="16"/>
              </w:rPr>
              <w:t>. Uz pilotprojektu rezultātu pamata tiktu izstrādāta, aprobēta un apstiprināta</w:t>
            </w:r>
            <w:r w:rsidR="00CB6F9D" w:rsidRPr="00CB6F9D">
              <w:rPr>
                <w:rFonts w:ascii="Times New Roman" w:eastAsiaTheme="minorHAnsi" w:hAnsi="Times New Roman"/>
                <w:sz w:val="16"/>
                <w:szCs w:val="16"/>
              </w:rPr>
              <w:t xml:space="preserve"> publisko pakalpojumu sniegšana</w:t>
            </w:r>
            <w:r w:rsidR="00CB6F9D">
              <w:rPr>
                <w:rFonts w:ascii="Times New Roman" w:eastAsiaTheme="minorHAnsi" w:hAnsi="Times New Roman"/>
                <w:sz w:val="16"/>
                <w:szCs w:val="16"/>
              </w:rPr>
              <w:t>s procesu pārveides metodoloģija.</w:t>
            </w:r>
          </w:p>
          <w:p w14:paraId="306D3377" w14:textId="77777777" w:rsidR="004E51A1" w:rsidRDefault="004E51A1" w:rsidP="004E51A1">
            <w:pPr>
              <w:spacing w:after="0" w:line="240" w:lineRule="auto"/>
              <w:jc w:val="both"/>
              <w:rPr>
                <w:rFonts w:ascii="Times New Roman" w:eastAsiaTheme="minorHAnsi" w:hAnsi="Times New Roman"/>
                <w:b/>
                <w:i/>
                <w:sz w:val="16"/>
                <w:szCs w:val="16"/>
              </w:rPr>
            </w:pPr>
          </w:p>
          <w:p w14:paraId="685C2356" w14:textId="77777777" w:rsidR="004E51A1" w:rsidRPr="00535BDD" w:rsidRDefault="004E51A1" w:rsidP="004E51A1">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Datu avots</w:t>
            </w:r>
            <w:r w:rsidRPr="00535BDD">
              <w:rPr>
                <w:rFonts w:ascii="Times New Roman" w:eastAsiaTheme="minorHAnsi" w:hAnsi="Times New Roman"/>
                <w:sz w:val="16"/>
                <w:szCs w:val="16"/>
              </w:rPr>
              <w:t>: Projektu uzraudzības dati</w:t>
            </w:r>
          </w:p>
          <w:p w14:paraId="31C4828B" w14:textId="77777777" w:rsidR="004E51A1" w:rsidRDefault="004E51A1" w:rsidP="004E51A1">
            <w:pPr>
              <w:spacing w:after="0" w:line="240" w:lineRule="auto"/>
              <w:jc w:val="both"/>
              <w:rPr>
                <w:rFonts w:ascii="Times New Roman" w:eastAsiaTheme="minorHAnsi" w:hAnsi="Times New Roman"/>
                <w:b/>
                <w:i/>
                <w:sz w:val="16"/>
                <w:szCs w:val="16"/>
              </w:rPr>
            </w:pPr>
          </w:p>
          <w:p w14:paraId="5AD0E257" w14:textId="77777777" w:rsidR="004E51A1" w:rsidRPr="00535BDD" w:rsidRDefault="004E51A1" w:rsidP="004E51A1">
            <w:pPr>
              <w:spacing w:after="0" w:line="240" w:lineRule="auto"/>
              <w:jc w:val="both"/>
              <w:rPr>
                <w:rFonts w:ascii="Times New Roman" w:eastAsiaTheme="minorHAnsi" w:hAnsi="Times New Roman"/>
                <w:i/>
                <w:sz w:val="16"/>
                <w:szCs w:val="16"/>
              </w:rPr>
            </w:pPr>
            <w:r w:rsidRPr="00535BDD">
              <w:rPr>
                <w:rFonts w:ascii="Times New Roman" w:eastAsiaTheme="minorHAnsi" w:hAnsi="Times New Roman"/>
                <w:i/>
                <w:sz w:val="16"/>
                <w:szCs w:val="16"/>
              </w:rPr>
              <w:t>Apkopošanas biežums un ieguves metodoloģija</w:t>
            </w:r>
            <w:r w:rsidRPr="00535BDD">
              <w:rPr>
                <w:rStyle w:val="FootnoteReference"/>
                <w:rFonts w:ascii="Times New Roman" w:eastAsiaTheme="minorHAnsi" w:hAnsi="Times New Roman"/>
                <w:i/>
                <w:sz w:val="16"/>
                <w:szCs w:val="16"/>
              </w:rPr>
              <w:footnoteReference w:id="10"/>
            </w:r>
            <w:r w:rsidRPr="00535BDD">
              <w:rPr>
                <w:rFonts w:ascii="Times New Roman" w:eastAsiaTheme="minorHAnsi" w:hAnsi="Times New Roman"/>
                <w:i/>
                <w:sz w:val="16"/>
                <w:szCs w:val="16"/>
              </w:rPr>
              <w:t xml:space="preserve">: </w:t>
            </w:r>
            <w:r>
              <w:rPr>
                <w:rFonts w:ascii="Times New Roman" w:eastAsiaTheme="minorHAnsi" w:hAnsi="Times New Roman"/>
                <w:sz w:val="16"/>
                <w:szCs w:val="16"/>
              </w:rPr>
              <w:t>1 r</w:t>
            </w:r>
            <w:r w:rsidRPr="000C3298">
              <w:rPr>
                <w:rFonts w:ascii="Times New Roman" w:eastAsiaTheme="minorHAnsi" w:hAnsi="Times New Roman"/>
                <w:sz w:val="16"/>
                <w:szCs w:val="16"/>
              </w:rPr>
              <w:t>eizi gadā</w:t>
            </w:r>
            <w:r>
              <w:rPr>
                <w:rFonts w:ascii="Times New Roman" w:eastAsiaTheme="minorHAnsi" w:hAnsi="Times New Roman"/>
                <w:sz w:val="16"/>
                <w:szCs w:val="16"/>
              </w:rPr>
              <w:t>, veicot</w:t>
            </w:r>
            <w:r w:rsidRPr="000C3298">
              <w:rPr>
                <w:rFonts w:ascii="Times New Roman" w:eastAsiaTheme="minorHAnsi" w:hAnsi="Times New Roman"/>
                <w:sz w:val="16"/>
                <w:szCs w:val="16"/>
              </w:rPr>
              <w:t xml:space="preserve"> </w:t>
            </w:r>
            <w:r>
              <w:rPr>
                <w:rFonts w:ascii="Times New Roman" w:eastAsiaTheme="minorHAnsi" w:hAnsi="Times New Roman"/>
                <w:sz w:val="16"/>
                <w:szCs w:val="16"/>
              </w:rPr>
              <w:t>i</w:t>
            </w:r>
            <w:r w:rsidRPr="000C3298">
              <w:rPr>
                <w:rFonts w:ascii="Times New Roman" w:eastAsiaTheme="minorHAnsi" w:hAnsi="Times New Roman"/>
                <w:sz w:val="16"/>
                <w:szCs w:val="16"/>
              </w:rPr>
              <w:t>nformācija</w:t>
            </w:r>
            <w:r>
              <w:rPr>
                <w:rFonts w:ascii="Times New Roman" w:eastAsiaTheme="minorHAnsi" w:hAnsi="Times New Roman"/>
                <w:sz w:val="16"/>
                <w:szCs w:val="16"/>
              </w:rPr>
              <w:t>s apkopošanu</w:t>
            </w:r>
            <w:r w:rsidRPr="000C3298">
              <w:rPr>
                <w:rFonts w:ascii="Times New Roman" w:eastAsiaTheme="minorHAnsi" w:hAnsi="Times New Roman"/>
                <w:sz w:val="16"/>
                <w:szCs w:val="16"/>
              </w:rPr>
              <w:t xml:space="preserve"> n</w:t>
            </w:r>
            <w:r>
              <w:rPr>
                <w:rFonts w:ascii="Times New Roman" w:eastAsiaTheme="minorHAnsi" w:hAnsi="Times New Roman"/>
                <w:sz w:val="16"/>
                <w:szCs w:val="16"/>
              </w:rPr>
              <w:t>o projektu progresa pārskatiem.</w:t>
            </w:r>
          </w:p>
          <w:p w14:paraId="1A880743" w14:textId="77777777" w:rsidR="004E51A1" w:rsidRPr="00535BDD" w:rsidRDefault="004E51A1" w:rsidP="004E51A1">
            <w:pPr>
              <w:spacing w:after="0" w:line="240" w:lineRule="auto"/>
              <w:jc w:val="both"/>
              <w:rPr>
                <w:rFonts w:ascii="Times New Roman" w:eastAsiaTheme="minorHAnsi" w:hAnsi="Times New Roman"/>
                <w:sz w:val="16"/>
                <w:szCs w:val="16"/>
              </w:rPr>
            </w:pPr>
          </w:p>
          <w:p w14:paraId="6F8B5F24" w14:textId="02D6B01C" w:rsidR="004E51A1" w:rsidRPr="00535BDD" w:rsidRDefault="004E51A1" w:rsidP="004E51A1">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 xml:space="preserve">Starpposma vērtība 2018: </w:t>
            </w:r>
            <w:r w:rsidR="004B6393">
              <w:rPr>
                <w:rFonts w:ascii="Times New Roman" w:eastAsiaTheme="minorHAnsi" w:hAnsi="Times New Roman"/>
                <w:sz w:val="16"/>
                <w:szCs w:val="16"/>
              </w:rPr>
              <w:t>0</w:t>
            </w:r>
            <w:r w:rsidRPr="00535BDD">
              <w:rPr>
                <w:rFonts w:ascii="Times New Roman" w:eastAsiaTheme="minorHAnsi" w:hAnsi="Times New Roman"/>
                <w:sz w:val="16"/>
                <w:szCs w:val="16"/>
              </w:rPr>
              <w:t xml:space="preserve"> </w:t>
            </w:r>
          </w:p>
          <w:p w14:paraId="50CDE50F" w14:textId="77777777" w:rsidR="004E51A1" w:rsidRPr="00535BDD" w:rsidRDefault="004E51A1" w:rsidP="004E51A1">
            <w:pPr>
              <w:spacing w:after="0" w:line="240" w:lineRule="auto"/>
              <w:jc w:val="both"/>
              <w:rPr>
                <w:rFonts w:ascii="Times New Roman" w:eastAsiaTheme="minorHAnsi" w:hAnsi="Times New Roman"/>
                <w:i/>
                <w:sz w:val="16"/>
                <w:szCs w:val="16"/>
              </w:rPr>
            </w:pPr>
          </w:p>
          <w:p w14:paraId="05D94965" w14:textId="012ED1AE" w:rsidR="004E51A1" w:rsidRPr="00535BDD" w:rsidRDefault="004E51A1" w:rsidP="004E51A1">
            <w:pPr>
              <w:spacing w:after="0" w:line="240" w:lineRule="auto"/>
              <w:jc w:val="both"/>
              <w:rPr>
                <w:rFonts w:ascii="Times New Roman" w:eastAsiaTheme="minorHAnsi" w:hAnsi="Times New Roman"/>
                <w:sz w:val="16"/>
                <w:szCs w:val="16"/>
              </w:rPr>
            </w:pPr>
            <w:r w:rsidRPr="00535BDD">
              <w:rPr>
                <w:rFonts w:ascii="Times New Roman" w:eastAsiaTheme="minorHAnsi" w:hAnsi="Times New Roman"/>
                <w:i/>
                <w:sz w:val="16"/>
                <w:szCs w:val="16"/>
              </w:rPr>
              <w:t>Mērķis 2023</w:t>
            </w:r>
            <w:r w:rsidRPr="00535BDD">
              <w:rPr>
                <w:rFonts w:ascii="Times New Roman" w:eastAsiaTheme="minorHAnsi" w:hAnsi="Times New Roman"/>
                <w:sz w:val="16"/>
                <w:szCs w:val="16"/>
              </w:rPr>
              <w:t xml:space="preserve">: </w:t>
            </w:r>
            <w:r w:rsidRPr="00AA08C8">
              <w:rPr>
                <w:rFonts w:ascii="Times New Roman" w:eastAsiaTheme="minorHAnsi" w:hAnsi="Times New Roman"/>
                <w:sz w:val="16"/>
                <w:szCs w:val="16"/>
              </w:rPr>
              <w:t>5</w:t>
            </w:r>
          </w:p>
          <w:p w14:paraId="7BE14C1A" w14:textId="77777777" w:rsidR="004E51A1" w:rsidRPr="00535BDD" w:rsidRDefault="004E51A1" w:rsidP="004E51A1">
            <w:pPr>
              <w:spacing w:after="0" w:line="240" w:lineRule="auto"/>
              <w:jc w:val="both"/>
              <w:rPr>
                <w:rFonts w:ascii="Times New Roman" w:eastAsiaTheme="minorHAnsi" w:hAnsi="Times New Roman"/>
                <w:sz w:val="16"/>
                <w:szCs w:val="16"/>
              </w:rPr>
            </w:pPr>
          </w:p>
          <w:p w14:paraId="0D318C4A" w14:textId="30974D24" w:rsidR="004E51A1" w:rsidRPr="002E7FB2" w:rsidRDefault="004E51A1" w:rsidP="004E51A1">
            <w:pPr>
              <w:spacing w:after="0" w:line="240" w:lineRule="auto"/>
              <w:jc w:val="both"/>
              <w:rPr>
                <w:rFonts w:ascii="Times New Roman" w:eastAsiaTheme="minorHAnsi" w:hAnsi="Times New Roman"/>
                <w:sz w:val="16"/>
                <w:szCs w:val="16"/>
              </w:rPr>
            </w:pPr>
            <w:r w:rsidRPr="005C5024">
              <w:rPr>
                <w:rFonts w:ascii="Times New Roman" w:eastAsiaTheme="minorHAnsi" w:hAnsi="Times New Roman"/>
                <w:i/>
                <w:sz w:val="16"/>
                <w:szCs w:val="16"/>
              </w:rPr>
              <w:t>Mērķa vērtības noteikšanas principi/metodoloģija</w:t>
            </w:r>
            <w:r w:rsidRPr="005C5024">
              <w:rPr>
                <w:rFonts w:ascii="Times New Roman" w:eastAsiaTheme="minorHAnsi" w:hAnsi="Times New Roman"/>
                <w:sz w:val="16"/>
                <w:szCs w:val="16"/>
              </w:rPr>
              <w:t xml:space="preserve">: Mērķis noteikts, ņemot </w:t>
            </w:r>
            <w:r w:rsidR="00B67854">
              <w:rPr>
                <w:rFonts w:ascii="Times New Roman" w:eastAsiaTheme="minorHAnsi" w:hAnsi="Times New Roman"/>
                <w:sz w:val="16"/>
                <w:szCs w:val="16"/>
              </w:rPr>
              <w:t xml:space="preserve">vērā </w:t>
            </w:r>
            <w:r>
              <w:rPr>
                <w:rFonts w:ascii="Times New Roman" w:eastAsiaTheme="minorHAnsi" w:hAnsi="Times New Roman"/>
                <w:sz w:val="16"/>
                <w:szCs w:val="16"/>
              </w:rPr>
              <w:t>pieejamo finansējumu</w:t>
            </w:r>
            <w:r w:rsidR="005A03DA">
              <w:rPr>
                <w:rFonts w:ascii="Times New Roman" w:eastAsiaTheme="minorHAnsi" w:hAnsi="Times New Roman"/>
                <w:sz w:val="16"/>
                <w:szCs w:val="16"/>
              </w:rPr>
              <w:t>, citu valstu pieredzi</w:t>
            </w:r>
            <w:r>
              <w:rPr>
                <w:rFonts w:ascii="Times New Roman" w:eastAsiaTheme="minorHAnsi" w:hAnsi="Times New Roman"/>
                <w:sz w:val="16"/>
                <w:szCs w:val="16"/>
              </w:rPr>
              <w:t xml:space="preserve"> </w:t>
            </w:r>
            <w:r w:rsidR="005A03DA" w:rsidRPr="00CB6F9D">
              <w:rPr>
                <w:rFonts w:ascii="Times New Roman" w:eastAsiaTheme="minorHAnsi" w:hAnsi="Times New Roman"/>
                <w:sz w:val="16"/>
                <w:szCs w:val="16"/>
              </w:rPr>
              <w:t>publisko pakalpojumu sniegšana</w:t>
            </w:r>
            <w:r w:rsidR="005A03DA">
              <w:rPr>
                <w:rFonts w:ascii="Times New Roman" w:eastAsiaTheme="minorHAnsi" w:hAnsi="Times New Roman"/>
                <w:sz w:val="16"/>
                <w:szCs w:val="16"/>
              </w:rPr>
              <w:t xml:space="preserve">s procesu pārveides metodoloģijas izstrādē </w:t>
            </w:r>
            <w:r>
              <w:rPr>
                <w:rFonts w:ascii="Times New Roman" w:eastAsiaTheme="minorHAnsi" w:hAnsi="Times New Roman"/>
                <w:sz w:val="16"/>
                <w:szCs w:val="16"/>
              </w:rPr>
              <w:t xml:space="preserve">un </w:t>
            </w:r>
            <w:r w:rsidR="00B67854">
              <w:rPr>
                <w:rFonts w:ascii="Times New Roman" w:eastAsiaTheme="minorHAnsi" w:hAnsi="Times New Roman"/>
                <w:sz w:val="16"/>
                <w:szCs w:val="16"/>
              </w:rPr>
              <w:t>pilotp</w:t>
            </w:r>
            <w:r>
              <w:rPr>
                <w:rFonts w:ascii="Times New Roman" w:eastAsiaTheme="minorHAnsi" w:hAnsi="Times New Roman"/>
                <w:sz w:val="16"/>
                <w:szCs w:val="16"/>
              </w:rPr>
              <w:t>r</w:t>
            </w:r>
            <w:r w:rsidR="00B67854">
              <w:rPr>
                <w:rFonts w:ascii="Times New Roman" w:eastAsiaTheme="minorHAnsi" w:hAnsi="Times New Roman"/>
                <w:sz w:val="16"/>
                <w:szCs w:val="16"/>
              </w:rPr>
              <w:t>ojektu īstenošanai nepieciešamo</w:t>
            </w:r>
            <w:r>
              <w:rPr>
                <w:rFonts w:ascii="Times New Roman" w:eastAsiaTheme="minorHAnsi" w:hAnsi="Times New Roman"/>
                <w:sz w:val="16"/>
                <w:szCs w:val="16"/>
              </w:rPr>
              <w:t xml:space="preserve"> kopējo laiku</w:t>
            </w:r>
            <w:r w:rsidR="00B67854">
              <w:rPr>
                <w:rFonts w:ascii="Times New Roman" w:eastAsiaTheme="minorHAnsi" w:hAnsi="Times New Roman"/>
                <w:sz w:val="16"/>
                <w:szCs w:val="16"/>
              </w:rPr>
              <w:t>. Paredzams, ka projekta</w:t>
            </w:r>
            <w:r>
              <w:rPr>
                <w:rFonts w:ascii="Times New Roman" w:eastAsiaTheme="minorHAnsi" w:hAnsi="Times New Roman"/>
                <w:sz w:val="16"/>
                <w:szCs w:val="16"/>
              </w:rPr>
              <w:t xml:space="preserve"> prognozējamais uzsākšanas laiks ir 201</w:t>
            </w:r>
            <w:r w:rsidR="00B67854">
              <w:rPr>
                <w:rFonts w:ascii="Times New Roman" w:eastAsiaTheme="minorHAnsi" w:hAnsi="Times New Roman"/>
                <w:sz w:val="16"/>
                <w:szCs w:val="16"/>
              </w:rPr>
              <w:t>8</w:t>
            </w:r>
            <w:r>
              <w:rPr>
                <w:rFonts w:ascii="Times New Roman" w:eastAsiaTheme="minorHAnsi" w:hAnsi="Times New Roman"/>
                <w:sz w:val="16"/>
                <w:szCs w:val="16"/>
              </w:rPr>
              <w:t>.gada pirmais ceturksnis</w:t>
            </w:r>
            <w:r w:rsidR="005A03DA">
              <w:rPr>
                <w:rFonts w:ascii="Times New Roman" w:eastAsiaTheme="minorHAnsi" w:hAnsi="Times New Roman"/>
                <w:sz w:val="16"/>
                <w:szCs w:val="16"/>
              </w:rPr>
              <w:t>, kā rezultātā nebūs iespējams pilnībā noslēgt nevienu no pilotprojektiem uz starpposma vērtības noteikšanas brīdi un tādējādi starpposma vērtība iznākuma rādītājam uz 2018.gadu netiek noteikta</w:t>
            </w:r>
            <w:r w:rsidRPr="005C5024">
              <w:rPr>
                <w:rFonts w:ascii="Times New Roman" w:eastAsiaTheme="minorHAnsi" w:hAnsi="Times New Roman"/>
                <w:sz w:val="16"/>
                <w:szCs w:val="16"/>
              </w:rPr>
              <w:t xml:space="preserve">. </w:t>
            </w:r>
          </w:p>
          <w:p w14:paraId="40DFBCB0" w14:textId="77777777" w:rsidR="004E51A1" w:rsidRPr="00535BDD" w:rsidRDefault="004E51A1" w:rsidP="004E51A1">
            <w:pPr>
              <w:spacing w:after="0" w:line="240" w:lineRule="auto"/>
              <w:jc w:val="both"/>
              <w:rPr>
                <w:rFonts w:ascii="Times New Roman" w:eastAsiaTheme="minorHAnsi" w:hAnsi="Times New Roman"/>
                <w:sz w:val="16"/>
                <w:szCs w:val="16"/>
              </w:rPr>
            </w:pPr>
          </w:p>
          <w:p w14:paraId="4B9C5FEC" w14:textId="12E1AFA3" w:rsidR="004E51A1" w:rsidRPr="00535BDD" w:rsidRDefault="004E51A1" w:rsidP="005A03DA">
            <w:pPr>
              <w:spacing w:after="0" w:line="240" w:lineRule="auto"/>
              <w:jc w:val="both"/>
              <w:rPr>
                <w:rFonts w:ascii="Times New Roman" w:eastAsiaTheme="minorHAnsi" w:hAnsi="Times New Roman"/>
                <w:b/>
                <w:i/>
                <w:sz w:val="16"/>
                <w:szCs w:val="16"/>
              </w:rPr>
            </w:pPr>
            <w:r w:rsidRPr="00535BDD">
              <w:rPr>
                <w:rFonts w:ascii="Times New Roman" w:eastAsiaTheme="minorHAnsi" w:hAnsi="Times New Roman"/>
                <w:i/>
                <w:sz w:val="16"/>
                <w:szCs w:val="16"/>
              </w:rPr>
              <w:lastRenderedPageBreak/>
              <w:t>Iznākuma rādītājam sasniegšanai paredzētais finansējums</w:t>
            </w:r>
            <w:r w:rsidRPr="00535BDD">
              <w:rPr>
                <w:rFonts w:ascii="Times New Roman" w:eastAsiaTheme="minorHAnsi" w:hAnsi="Times New Roman"/>
                <w:i/>
                <w:sz w:val="16"/>
                <w:szCs w:val="16"/>
                <w:vertAlign w:val="superscript"/>
              </w:rPr>
              <w:footnoteReference w:id="11"/>
            </w:r>
            <w:r w:rsidRPr="00535BDD">
              <w:rPr>
                <w:rFonts w:ascii="Times New Roman" w:eastAsiaTheme="minorHAnsi" w:hAnsi="Times New Roman"/>
                <w:i/>
                <w:sz w:val="16"/>
                <w:szCs w:val="16"/>
              </w:rPr>
              <w:t>:</w:t>
            </w:r>
            <w:r w:rsidR="005A03DA">
              <w:rPr>
                <w:rFonts w:ascii="Times New Roman" w:eastAsiaTheme="minorHAnsi" w:hAnsi="Times New Roman"/>
                <w:sz w:val="16"/>
                <w:szCs w:val="16"/>
              </w:rPr>
              <w:t>4</w:t>
            </w:r>
            <w:r w:rsidRPr="00AA08C8">
              <w:rPr>
                <w:rFonts w:ascii="Times New Roman" w:eastAsiaTheme="minorHAnsi" w:hAnsi="Times New Roman"/>
                <w:sz w:val="16"/>
                <w:szCs w:val="16"/>
              </w:rPr>
              <w:t>00 000 EUR</w:t>
            </w:r>
          </w:p>
        </w:tc>
        <w:tc>
          <w:tcPr>
            <w:tcW w:w="1701" w:type="dxa"/>
          </w:tcPr>
          <w:p w14:paraId="4918C5D0" w14:textId="77777777" w:rsidR="004E51A1" w:rsidRPr="00535BDD" w:rsidRDefault="004E51A1" w:rsidP="006E07CA">
            <w:pPr>
              <w:spacing w:after="0" w:line="240" w:lineRule="auto"/>
              <w:jc w:val="both"/>
              <w:rPr>
                <w:rFonts w:ascii="Times New Roman" w:eastAsiaTheme="minorHAnsi" w:hAnsi="Times New Roman"/>
                <w:i/>
                <w:sz w:val="16"/>
                <w:szCs w:val="16"/>
              </w:rPr>
            </w:pPr>
          </w:p>
        </w:tc>
      </w:tr>
    </w:tbl>
    <w:p w14:paraId="0965572E" w14:textId="725B0B20" w:rsidR="00CB437B" w:rsidRPr="00535BDD" w:rsidRDefault="00CB437B">
      <w:pPr>
        <w:rPr>
          <w:rFonts w:ascii="Times New Roman" w:hAnsi="Times New Roman"/>
          <w:sz w:val="16"/>
          <w:szCs w:val="16"/>
        </w:rPr>
      </w:pPr>
    </w:p>
    <w:sectPr w:rsidR="00CB437B" w:rsidRPr="00535BDD" w:rsidSect="00535BDD">
      <w:pgSz w:w="16838" w:h="11906" w:orient="landscape"/>
      <w:pgMar w:top="340" w:right="1440" w:bottom="42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9E328" w14:textId="77777777" w:rsidR="008737B3" w:rsidRDefault="008737B3" w:rsidP="00C109A7">
      <w:pPr>
        <w:spacing w:after="0" w:line="240" w:lineRule="auto"/>
      </w:pPr>
      <w:r>
        <w:separator/>
      </w:r>
    </w:p>
  </w:endnote>
  <w:endnote w:type="continuationSeparator" w:id="0">
    <w:p w14:paraId="3E72B9D4" w14:textId="77777777" w:rsidR="008737B3" w:rsidRDefault="008737B3"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1DC71" w14:textId="77777777" w:rsidR="008737B3" w:rsidRDefault="008737B3" w:rsidP="00C109A7">
      <w:pPr>
        <w:spacing w:after="0" w:line="240" w:lineRule="auto"/>
      </w:pPr>
      <w:r>
        <w:separator/>
      </w:r>
    </w:p>
  </w:footnote>
  <w:footnote w:type="continuationSeparator" w:id="0">
    <w:p w14:paraId="2902C653" w14:textId="77777777" w:rsidR="008737B3" w:rsidRDefault="008737B3" w:rsidP="00C109A7">
      <w:pPr>
        <w:spacing w:after="0" w:line="240" w:lineRule="auto"/>
      </w:pPr>
      <w:r>
        <w:continuationSeparator/>
      </w:r>
    </w:p>
  </w:footnote>
  <w:footnote w:id="1">
    <w:p w14:paraId="577E64D9" w14:textId="77777777" w:rsidR="000676B0" w:rsidRPr="00944F21" w:rsidRDefault="000676B0" w:rsidP="00D323DD">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Finanšu rādītāju mērvienība - </w:t>
      </w:r>
      <w:r w:rsidRPr="00944F21">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 w:id="2">
    <w:p w14:paraId="26EFC93A" w14:textId="77777777" w:rsidR="006E07CA" w:rsidRPr="00944F21" w:rsidRDefault="006E07CA" w:rsidP="00D323DD">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w:t>
      </w:r>
      <w:r w:rsidRPr="00944F21">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3">
    <w:p w14:paraId="580786B1" w14:textId="77777777" w:rsidR="006E07CA" w:rsidRPr="00944F21" w:rsidRDefault="006E07CA" w:rsidP="00D323DD">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944F21">
        <w:rPr>
          <w:rFonts w:ascii="Times New Roman" w:hAnsi="Times New Roman"/>
          <w:sz w:val="18"/>
          <w:szCs w:val="18"/>
        </w:rPr>
        <w:t>utml</w:t>
      </w:r>
      <w:proofErr w:type="spellEnd"/>
      <w:r w:rsidRPr="00944F21">
        <w:rPr>
          <w:rFonts w:ascii="Times New Roman" w:hAnsi="Times New Roman"/>
          <w:sz w:val="18"/>
          <w:szCs w:val="18"/>
        </w:rPr>
        <w:t>.).</w:t>
      </w:r>
    </w:p>
  </w:footnote>
  <w:footnote w:id="4">
    <w:p w14:paraId="33C71F39" w14:textId="77777777" w:rsidR="006E07CA" w:rsidRPr="00944F21" w:rsidRDefault="006E07CA" w:rsidP="00D323DD">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
    <w:p w14:paraId="5D0030C2" w14:textId="77777777" w:rsidR="006E07CA" w:rsidRDefault="006E07CA" w:rsidP="00B22F4F">
      <w:pPr>
        <w:pStyle w:val="FootnoteText"/>
        <w:jc w:val="both"/>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6">
    <w:p w14:paraId="3A86EA4E" w14:textId="77777777" w:rsidR="006E07CA" w:rsidRPr="00944F21" w:rsidRDefault="006E07CA" w:rsidP="00766B11">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w:t>
      </w:r>
      <w:r w:rsidRPr="00944F21">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7">
    <w:p w14:paraId="64D776D2" w14:textId="77777777" w:rsidR="006E07CA" w:rsidRPr="00944F21" w:rsidRDefault="006E07CA" w:rsidP="00766B11">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944F21">
        <w:rPr>
          <w:rFonts w:ascii="Times New Roman" w:hAnsi="Times New Roman"/>
          <w:sz w:val="18"/>
          <w:szCs w:val="18"/>
        </w:rPr>
        <w:t>utml</w:t>
      </w:r>
      <w:proofErr w:type="spellEnd"/>
      <w:r w:rsidRPr="00944F21">
        <w:rPr>
          <w:rFonts w:ascii="Times New Roman" w:hAnsi="Times New Roman"/>
          <w:sz w:val="18"/>
          <w:szCs w:val="18"/>
        </w:rPr>
        <w:t>.).</w:t>
      </w:r>
    </w:p>
  </w:footnote>
  <w:footnote w:id="8">
    <w:p w14:paraId="7B482881" w14:textId="77777777" w:rsidR="006E07CA" w:rsidRPr="00944F21" w:rsidRDefault="006E07CA" w:rsidP="00AA08C8">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9">
    <w:p w14:paraId="1A46C82A" w14:textId="77777777" w:rsidR="006E07CA" w:rsidRDefault="006E07CA" w:rsidP="00AA08C8">
      <w:pPr>
        <w:pStyle w:val="FootnoteText"/>
        <w:jc w:val="both"/>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0">
    <w:p w14:paraId="2BDB5A87" w14:textId="77777777" w:rsidR="004E51A1" w:rsidRPr="00944F21" w:rsidRDefault="004E51A1" w:rsidP="004E51A1">
      <w:pPr>
        <w:pStyle w:val="FootnoteText"/>
        <w:jc w:val="both"/>
        <w:rPr>
          <w:rFonts w:ascii="Times New Roman" w:hAnsi="Times New Roman"/>
          <w:sz w:val="18"/>
          <w:szCs w:val="18"/>
        </w:rPr>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1">
    <w:p w14:paraId="192CB7D3" w14:textId="77777777" w:rsidR="004E51A1" w:rsidRDefault="004E51A1" w:rsidP="004E51A1">
      <w:pPr>
        <w:pStyle w:val="FootnoteText"/>
        <w:jc w:val="both"/>
      </w:pPr>
      <w:r w:rsidRPr="00944F21">
        <w:rPr>
          <w:rStyle w:val="FootnoteReference"/>
          <w:rFonts w:ascii="Times New Roman" w:hAnsi="Times New Roman"/>
          <w:sz w:val="18"/>
          <w:szCs w:val="18"/>
          <w:vertAlign w:val="baseline"/>
        </w:rPr>
        <w:footnoteRef/>
      </w:r>
      <w:r w:rsidRPr="00944F2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96346"/>
    <w:multiLevelType w:val="hybridMultilevel"/>
    <w:tmpl w:val="04E4FB2A"/>
    <w:lvl w:ilvl="0" w:tplc="524A6956">
      <w:numFmt w:val="bullet"/>
      <w:lvlText w:val="-"/>
      <w:lvlJc w:val="left"/>
      <w:pPr>
        <w:ind w:left="896" w:hanging="360"/>
      </w:pPr>
      <w:rPr>
        <w:rFonts w:ascii="Calibri" w:eastAsia="Times New Roman" w:hAnsi="Calibri" w:cs="Times New Roman" w:hint="default"/>
      </w:rPr>
    </w:lvl>
    <w:lvl w:ilvl="1" w:tplc="04260003">
      <w:start w:val="1"/>
      <w:numFmt w:val="bullet"/>
      <w:lvlText w:val="o"/>
      <w:lvlJc w:val="left"/>
      <w:pPr>
        <w:ind w:left="1616" w:hanging="360"/>
      </w:pPr>
      <w:rPr>
        <w:rFonts w:ascii="Courier New" w:hAnsi="Courier New" w:cs="Courier New" w:hint="default"/>
      </w:rPr>
    </w:lvl>
    <w:lvl w:ilvl="2" w:tplc="04260005" w:tentative="1">
      <w:start w:val="1"/>
      <w:numFmt w:val="bullet"/>
      <w:lvlText w:val=""/>
      <w:lvlJc w:val="left"/>
      <w:pPr>
        <w:ind w:left="2336" w:hanging="360"/>
      </w:pPr>
      <w:rPr>
        <w:rFonts w:ascii="Wingdings" w:hAnsi="Wingdings" w:hint="default"/>
      </w:rPr>
    </w:lvl>
    <w:lvl w:ilvl="3" w:tplc="04260001" w:tentative="1">
      <w:start w:val="1"/>
      <w:numFmt w:val="bullet"/>
      <w:lvlText w:val=""/>
      <w:lvlJc w:val="left"/>
      <w:pPr>
        <w:ind w:left="3056" w:hanging="360"/>
      </w:pPr>
      <w:rPr>
        <w:rFonts w:ascii="Symbol" w:hAnsi="Symbol" w:hint="default"/>
      </w:rPr>
    </w:lvl>
    <w:lvl w:ilvl="4" w:tplc="04260003" w:tentative="1">
      <w:start w:val="1"/>
      <w:numFmt w:val="bullet"/>
      <w:lvlText w:val="o"/>
      <w:lvlJc w:val="left"/>
      <w:pPr>
        <w:ind w:left="3776" w:hanging="360"/>
      </w:pPr>
      <w:rPr>
        <w:rFonts w:ascii="Courier New" w:hAnsi="Courier New" w:cs="Courier New" w:hint="default"/>
      </w:rPr>
    </w:lvl>
    <w:lvl w:ilvl="5" w:tplc="04260005" w:tentative="1">
      <w:start w:val="1"/>
      <w:numFmt w:val="bullet"/>
      <w:lvlText w:val=""/>
      <w:lvlJc w:val="left"/>
      <w:pPr>
        <w:ind w:left="4496" w:hanging="360"/>
      </w:pPr>
      <w:rPr>
        <w:rFonts w:ascii="Wingdings" w:hAnsi="Wingdings" w:hint="default"/>
      </w:rPr>
    </w:lvl>
    <w:lvl w:ilvl="6" w:tplc="04260001" w:tentative="1">
      <w:start w:val="1"/>
      <w:numFmt w:val="bullet"/>
      <w:lvlText w:val=""/>
      <w:lvlJc w:val="left"/>
      <w:pPr>
        <w:ind w:left="5216" w:hanging="360"/>
      </w:pPr>
      <w:rPr>
        <w:rFonts w:ascii="Symbol" w:hAnsi="Symbol" w:hint="default"/>
      </w:rPr>
    </w:lvl>
    <w:lvl w:ilvl="7" w:tplc="04260003" w:tentative="1">
      <w:start w:val="1"/>
      <w:numFmt w:val="bullet"/>
      <w:lvlText w:val="o"/>
      <w:lvlJc w:val="left"/>
      <w:pPr>
        <w:ind w:left="5936" w:hanging="360"/>
      </w:pPr>
      <w:rPr>
        <w:rFonts w:ascii="Courier New" w:hAnsi="Courier New" w:cs="Courier New" w:hint="default"/>
      </w:rPr>
    </w:lvl>
    <w:lvl w:ilvl="8" w:tplc="04260005" w:tentative="1">
      <w:start w:val="1"/>
      <w:numFmt w:val="bullet"/>
      <w:lvlText w:val=""/>
      <w:lvlJc w:val="left"/>
      <w:pPr>
        <w:ind w:left="6656" w:hanging="360"/>
      </w:pPr>
      <w:rPr>
        <w:rFonts w:ascii="Wingdings" w:hAnsi="Wingdings" w:hint="default"/>
      </w:rPr>
    </w:lvl>
  </w:abstractNum>
  <w:num w:numId="1" w16cid:durableId="1110005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9A7"/>
    <w:rsid w:val="000350CD"/>
    <w:rsid w:val="00041BD8"/>
    <w:rsid w:val="000426DB"/>
    <w:rsid w:val="00047169"/>
    <w:rsid w:val="00051BD8"/>
    <w:rsid w:val="00066AB8"/>
    <w:rsid w:val="000676B0"/>
    <w:rsid w:val="00076B31"/>
    <w:rsid w:val="00077486"/>
    <w:rsid w:val="00080BDD"/>
    <w:rsid w:val="00093E12"/>
    <w:rsid w:val="000A35E4"/>
    <w:rsid w:val="000C3298"/>
    <w:rsid w:val="000C50DE"/>
    <w:rsid w:val="000E1A35"/>
    <w:rsid w:val="000F2516"/>
    <w:rsid w:val="00106672"/>
    <w:rsid w:val="0011229E"/>
    <w:rsid w:val="00112536"/>
    <w:rsid w:val="0012282D"/>
    <w:rsid w:val="00132333"/>
    <w:rsid w:val="001354A7"/>
    <w:rsid w:val="00141D2B"/>
    <w:rsid w:val="00143039"/>
    <w:rsid w:val="00147995"/>
    <w:rsid w:val="001868F6"/>
    <w:rsid w:val="00191F5F"/>
    <w:rsid w:val="00192160"/>
    <w:rsid w:val="001A2B20"/>
    <w:rsid w:val="001B1A4C"/>
    <w:rsid w:val="001C5E5D"/>
    <w:rsid w:val="001E05A0"/>
    <w:rsid w:val="001F0C54"/>
    <w:rsid w:val="002029E0"/>
    <w:rsid w:val="00210BC1"/>
    <w:rsid w:val="00211238"/>
    <w:rsid w:val="00221C84"/>
    <w:rsid w:val="00222F12"/>
    <w:rsid w:val="00227904"/>
    <w:rsid w:val="00234CFA"/>
    <w:rsid w:val="00235B0D"/>
    <w:rsid w:val="002512B8"/>
    <w:rsid w:val="00254E61"/>
    <w:rsid w:val="00264B92"/>
    <w:rsid w:val="00293A81"/>
    <w:rsid w:val="002A11AF"/>
    <w:rsid w:val="002A2479"/>
    <w:rsid w:val="002B12F8"/>
    <w:rsid w:val="002B252D"/>
    <w:rsid w:val="002B3AFF"/>
    <w:rsid w:val="002E3591"/>
    <w:rsid w:val="002E7FB2"/>
    <w:rsid w:val="003015B8"/>
    <w:rsid w:val="00302EA7"/>
    <w:rsid w:val="003117FD"/>
    <w:rsid w:val="00336DFE"/>
    <w:rsid w:val="0034020A"/>
    <w:rsid w:val="00345018"/>
    <w:rsid w:val="00350086"/>
    <w:rsid w:val="003767F9"/>
    <w:rsid w:val="003D32F1"/>
    <w:rsid w:val="003E36E4"/>
    <w:rsid w:val="003F1092"/>
    <w:rsid w:val="00401162"/>
    <w:rsid w:val="0042566F"/>
    <w:rsid w:val="00425953"/>
    <w:rsid w:val="00432321"/>
    <w:rsid w:val="004344A9"/>
    <w:rsid w:val="004522B3"/>
    <w:rsid w:val="00454BA6"/>
    <w:rsid w:val="00482EAD"/>
    <w:rsid w:val="004B1C79"/>
    <w:rsid w:val="004B475B"/>
    <w:rsid w:val="004B4EC1"/>
    <w:rsid w:val="004B6393"/>
    <w:rsid w:val="004D7A23"/>
    <w:rsid w:val="004E51A1"/>
    <w:rsid w:val="00501859"/>
    <w:rsid w:val="00524BF9"/>
    <w:rsid w:val="00535BDD"/>
    <w:rsid w:val="00546FA2"/>
    <w:rsid w:val="00555301"/>
    <w:rsid w:val="00566280"/>
    <w:rsid w:val="00580901"/>
    <w:rsid w:val="00593AF3"/>
    <w:rsid w:val="0059587B"/>
    <w:rsid w:val="005A03DA"/>
    <w:rsid w:val="005A68F5"/>
    <w:rsid w:val="005C22F2"/>
    <w:rsid w:val="005C5024"/>
    <w:rsid w:val="005D401D"/>
    <w:rsid w:val="005D5735"/>
    <w:rsid w:val="005F13EC"/>
    <w:rsid w:val="00600373"/>
    <w:rsid w:val="00603924"/>
    <w:rsid w:val="006150F2"/>
    <w:rsid w:val="00636115"/>
    <w:rsid w:val="00650DF0"/>
    <w:rsid w:val="00655F8E"/>
    <w:rsid w:val="00674966"/>
    <w:rsid w:val="006824ED"/>
    <w:rsid w:val="006876FF"/>
    <w:rsid w:val="00692532"/>
    <w:rsid w:val="006B424C"/>
    <w:rsid w:val="006B657B"/>
    <w:rsid w:val="006B7FBD"/>
    <w:rsid w:val="006C5435"/>
    <w:rsid w:val="006D1AE7"/>
    <w:rsid w:val="006E07CA"/>
    <w:rsid w:val="006E2D02"/>
    <w:rsid w:val="006E7F5B"/>
    <w:rsid w:val="006F67AD"/>
    <w:rsid w:val="007003B6"/>
    <w:rsid w:val="007355FC"/>
    <w:rsid w:val="00747A78"/>
    <w:rsid w:val="00753436"/>
    <w:rsid w:val="00753B39"/>
    <w:rsid w:val="00766B11"/>
    <w:rsid w:val="007B58FB"/>
    <w:rsid w:val="007C069D"/>
    <w:rsid w:val="007C2091"/>
    <w:rsid w:val="007C321F"/>
    <w:rsid w:val="007D0D8D"/>
    <w:rsid w:val="007D38D0"/>
    <w:rsid w:val="007E11CF"/>
    <w:rsid w:val="007E2A4E"/>
    <w:rsid w:val="007E4330"/>
    <w:rsid w:val="007F143F"/>
    <w:rsid w:val="00811FE4"/>
    <w:rsid w:val="008167AC"/>
    <w:rsid w:val="00822648"/>
    <w:rsid w:val="00830D38"/>
    <w:rsid w:val="008442DC"/>
    <w:rsid w:val="0084618B"/>
    <w:rsid w:val="008574D3"/>
    <w:rsid w:val="008606D2"/>
    <w:rsid w:val="008737B3"/>
    <w:rsid w:val="00877C76"/>
    <w:rsid w:val="00890854"/>
    <w:rsid w:val="008B28D2"/>
    <w:rsid w:val="008C200D"/>
    <w:rsid w:val="008C37B3"/>
    <w:rsid w:val="008E28E8"/>
    <w:rsid w:val="008F1300"/>
    <w:rsid w:val="008F2AD4"/>
    <w:rsid w:val="008F4FCB"/>
    <w:rsid w:val="00905ADD"/>
    <w:rsid w:val="00917AF1"/>
    <w:rsid w:val="009262B7"/>
    <w:rsid w:val="00944F21"/>
    <w:rsid w:val="00956D78"/>
    <w:rsid w:val="0096000D"/>
    <w:rsid w:val="00970476"/>
    <w:rsid w:val="00975556"/>
    <w:rsid w:val="00987415"/>
    <w:rsid w:val="00993600"/>
    <w:rsid w:val="00995482"/>
    <w:rsid w:val="00997C87"/>
    <w:rsid w:val="009A0A05"/>
    <w:rsid w:val="009C5046"/>
    <w:rsid w:val="009C623D"/>
    <w:rsid w:val="009C733E"/>
    <w:rsid w:val="009C78E6"/>
    <w:rsid w:val="009D51FF"/>
    <w:rsid w:val="009D5B00"/>
    <w:rsid w:val="00A315EE"/>
    <w:rsid w:val="00A3547C"/>
    <w:rsid w:val="00A43CEF"/>
    <w:rsid w:val="00A7572B"/>
    <w:rsid w:val="00A93014"/>
    <w:rsid w:val="00A95C6D"/>
    <w:rsid w:val="00AA08C8"/>
    <w:rsid w:val="00AA42EA"/>
    <w:rsid w:val="00AB7B0F"/>
    <w:rsid w:val="00AC718F"/>
    <w:rsid w:val="00AE1DD2"/>
    <w:rsid w:val="00B175DD"/>
    <w:rsid w:val="00B202FD"/>
    <w:rsid w:val="00B22B28"/>
    <w:rsid w:val="00B22F4F"/>
    <w:rsid w:val="00B34DDF"/>
    <w:rsid w:val="00B42D5E"/>
    <w:rsid w:val="00B51720"/>
    <w:rsid w:val="00B55D0D"/>
    <w:rsid w:val="00B6612B"/>
    <w:rsid w:val="00B67854"/>
    <w:rsid w:val="00B7069B"/>
    <w:rsid w:val="00B70B49"/>
    <w:rsid w:val="00B827AE"/>
    <w:rsid w:val="00B94865"/>
    <w:rsid w:val="00B94912"/>
    <w:rsid w:val="00BD6A0F"/>
    <w:rsid w:val="00BF3A74"/>
    <w:rsid w:val="00C03E69"/>
    <w:rsid w:val="00C066F2"/>
    <w:rsid w:val="00C109A7"/>
    <w:rsid w:val="00C14CE2"/>
    <w:rsid w:val="00C21139"/>
    <w:rsid w:val="00C361C3"/>
    <w:rsid w:val="00C623EC"/>
    <w:rsid w:val="00C65322"/>
    <w:rsid w:val="00C679CB"/>
    <w:rsid w:val="00C72D57"/>
    <w:rsid w:val="00C83A52"/>
    <w:rsid w:val="00C93445"/>
    <w:rsid w:val="00C93DDD"/>
    <w:rsid w:val="00CB437B"/>
    <w:rsid w:val="00CB53D4"/>
    <w:rsid w:val="00CB6F9D"/>
    <w:rsid w:val="00CC26F8"/>
    <w:rsid w:val="00CC52B5"/>
    <w:rsid w:val="00CC57F7"/>
    <w:rsid w:val="00CC5A95"/>
    <w:rsid w:val="00CD12FF"/>
    <w:rsid w:val="00CD47DA"/>
    <w:rsid w:val="00CE0719"/>
    <w:rsid w:val="00CE0898"/>
    <w:rsid w:val="00CE50AB"/>
    <w:rsid w:val="00CF040D"/>
    <w:rsid w:val="00CF12B7"/>
    <w:rsid w:val="00CF6AEE"/>
    <w:rsid w:val="00CF75D5"/>
    <w:rsid w:val="00D10085"/>
    <w:rsid w:val="00D22E0A"/>
    <w:rsid w:val="00D323DD"/>
    <w:rsid w:val="00D4000F"/>
    <w:rsid w:val="00D51D2C"/>
    <w:rsid w:val="00D52318"/>
    <w:rsid w:val="00D5549B"/>
    <w:rsid w:val="00D87DEC"/>
    <w:rsid w:val="00D9698E"/>
    <w:rsid w:val="00DC5E50"/>
    <w:rsid w:val="00DD30F8"/>
    <w:rsid w:val="00DD42FF"/>
    <w:rsid w:val="00DE4B77"/>
    <w:rsid w:val="00E042DC"/>
    <w:rsid w:val="00E1308A"/>
    <w:rsid w:val="00E31CD8"/>
    <w:rsid w:val="00E4200D"/>
    <w:rsid w:val="00E633F5"/>
    <w:rsid w:val="00E67596"/>
    <w:rsid w:val="00E93CA1"/>
    <w:rsid w:val="00EA0F73"/>
    <w:rsid w:val="00EC272D"/>
    <w:rsid w:val="00EF0157"/>
    <w:rsid w:val="00F03B35"/>
    <w:rsid w:val="00F133F4"/>
    <w:rsid w:val="00F742B6"/>
    <w:rsid w:val="00F91F11"/>
    <w:rsid w:val="00F92327"/>
    <w:rsid w:val="00F930B0"/>
    <w:rsid w:val="00F94E75"/>
    <w:rsid w:val="00FB7056"/>
    <w:rsid w:val="00FC42A8"/>
    <w:rsid w:val="00FD3652"/>
    <w:rsid w:val="00FD7BA3"/>
    <w:rsid w:val="00FE22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A0618"/>
  <w15:docId w15:val="{C4D91D0C-E93A-4CDC-84EA-969A15AA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A3547C"/>
    <w:rPr>
      <w:sz w:val="16"/>
      <w:szCs w:val="16"/>
    </w:rPr>
  </w:style>
  <w:style w:type="paragraph" w:styleId="CommentText">
    <w:name w:val="annotation text"/>
    <w:basedOn w:val="Normal"/>
    <w:link w:val="CommentTextChar"/>
    <w:uiPriority w:val="99"/>
    <w:unhideWhenUsed/>
    <w:rsid w:val="00A3547C"/>
    <w:pPr>
      <w:spacing w:line="240" w:lineRule="auto"/>
    </w:pPr>
    <w:rPr>
      <w:sz w:val="20"/>
      <w:szCs w:val="20"/>
    </w:rPr>
  </w:style>
  <w:style w:type="character" w:customStyle="1" w:styleId="CommentTextChar">
    <w:name w:val="Comment Text Char"/>
    <w:basedOn w:val="DefaultParagraphFont"/>
    <w:link w:val="CommentText"/>
    <w:uiPriority w:val="99"/>
    <w:rsid w:val="00A3547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547C"/>
    <w:rPr>
      <w:b/>
      <w:bCs/>
    </w:rPr>
  </w:style>
  <w:style w:type="character" w:customStyle="1" w:styleId="CommentSubjectChar">
    <w:name w:val="Comment Subject Char"/>
    <w:basedOn w:val="CommentTextChar"/>
    <w:link w:val="CommentSubject"/>
    <w:uiPriority w:val="99"/>
    <w:semiHidden/>
    <w:rsid w:val="00A3547C"/>
    <w:rPr>
      <w:rFonts w:ascii="Calibri" w:eastAsia="Calibri" w:hAnsi="Calibri" w:cs="Times New Roman"/>
      <w:b/>
      <w:bCs/>
      <w:sz w:val="20"/>
      <w:szCs w:val="20"/>
    </w:rPr>
  </w:style>
  <w:style w:type="paragraph" w:styleId="Revision">
    <w:name w:val="Revision"/>
    <w:hidden/>
    <w:uiPriority w:val="99"/>
    <w:semiHidden/>
    <w:rsid w:val="00A3547C"/>
    <w:rPr>
      <w:rFonts w:ascii="Calibri" w:eastAsia="Calibri" w:hAnsi="Calibri" w:cs="Times New Roman"/>
      <w:sz w:val="22"/>
    </w:rPr>
  </w:style>
  <w:style w:type="paragraph" w:customStyle="1" w:styleId="Default">
    <w:name w:val="Default"/>
    <w:rsid w:val="00CC52B5"/>
    <w:pPr>
      <w:autoSpaceDE w:val="0"/>
      <w:autoSpaceDN w:val="0"/>
      <w:adjustRightInd w:val="0"/>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E32D-4174-4420-933E-3566D1636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8408</Words>
  <Characters>4793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Edijs Kirsanovs</cp:lastModifiedBy>
  <cp:revision>3</cp:revision>
  <cp:lastPrinted>2022-06-03T06:51:00Z</cp:lastPrinted>
  <dcterms:created xsi:type="dcterms:W3CDTF">2022-06-03T07:06:00Z</dcterms:created>
  <dcterms:modified xsi:type="dcterms:W3CDTF">2022-06-03T07:36:00Z</dcterms:modified>
</cp:coreProperties>
</file>