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B50D2"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669216C9" w14:textId="09A68263" w:rsidR="00124C93" w:rsidRPr="00445201" w:rsidRDefault="00E40575" w:rsidP="00E6685B">
      <w:pPr>
        <w:spacing w:line="240" w:lineRule="auto"/>
        <w:jc w:val="center"/>
        <w:rPr>
          <w:rFonts w:eastAsia="Times New Roman"/>
          <w:b/>
          <w:sz w:val="20"/>
          <w:szCs w:val="20"/>
          <w:u w:val="single"/>
        </w:rPr>
      </w:pPr>
      <w:r w:rsidRPr="00E40575">
        <w:rPr>
          <w:rFonts w:eastAsia="Times New Roman"/>
          <w:b/>
          <w:sz w:val="20"/>
          <w:szCs w:val="20"/>
        </w:rPr>
        <w:t>4.3.</w:t>
      </w:r>
      <w:r w:rsidR="00124C93">
        <w:rPr>
          <w:rFonts w:eastAsia="Times New Roman"/>
          <w:b/>
          <w:sz w:val="20"/>
          <w:szCs w:val="20"/>
        </w:rPr>
        <w:t>6.</w:t>
      </w:r>
      <w:r w:rsidRPr="00E40575">
        <w:rPr>
          <w:rFonts w:eastAsia="Times New Roman"/>
          <w:b/>
          <w:sz w:val="20"/>
          <w:szCs w:val="20"/>
        </w:rPr>
        <w:t xml:space="preserve">SAM </w:t>
      </w:r>
      <w:r w:rsidR="00445201">
        <w:rPr>
          <w:rFonts w:eastAsia="Times New Roman"/>
          <w:b/>
          <w:sz w:val="20"/>
          <w:szCs w:val="20"/>
        </w:rPr>
        <w:t>“</w:t>
      </w:r>
      <w:r w:rsidR="00124C93" w:rsidRPr="00124C93">
        <w:rPr>
          <w:rFonts w:eastAsia="Times New Roman"/>
          <w:b/>
          <w:sz w:val="20"/>
          <w:szCs w:val="20"/>
        </w:rPr>
        <w:t>Veicināt nabadzības vai sociālās atstumtības riskam pakļauto cilvēku, tostarp vistrūcīgāko un bērnu, sociālo integrāciju</w:t>
      </w:r>
      <w:r w:rsidR="00445201">
        <w:rPr>
          <w:rFonts w:eastAsia="Times New Roman"/>
          <w:b/>
          <w:sz w:val="20"/>
          <w:szCs w:val="20"/>
        </w:rPr>
        <w:t>”</w:t>
      </w:r>
      <w:r w:rsidR="00ED0DE3">
        <w:rPr>
          <w:rFonts w:eastAsia="Times New Roman"/>
          <w:b/>
          <w:sz w:val="20"/>
          <w:szCs w:val="20"/>
        </w:rPr>
        <w:t xml:space="preserve"> </w:t>
      </w:r>
      <w:r w:rsidR="00124C93" w:rsidRPr="0024656A">
        <w:rPr>
          <w:rFonts w:eastAsia="Times New Roman"/>
          <w:b/>
          <w:sz w:val="20"/>
          <w:szCs w:val="20"/>
          <w:u w:val="single"/>
        </w:rPr>
        <w:t>4.3.6.7.</w:t>
      </w:r>
      <w:r w:rsidR="00445201" w:rsidRPr="0024656A">
        <w:rPr>
          <w:rFonts w:eastAsia="Times New Roman"/>
          <w:b/>
          <w:sz w:val="20"/>
          <w:szCs w:val="20"/>
          <w:u w:val="single"/>
        </w:rPr>
        <w:t>pasākum</w:t>
      </w:r>
      <w:r w:rsidR="00ED0DE3" w:rsidRPr="0024656A">
        <w:rPr>
          <w:rFonts w:eastAsia="Times New Roman"/>
          <w:b/>
          <w:sz w:val="20"/>
          <w:szCs w:val="20"/>
          <w:u w:val="single"/>
        </w:rPr>
        <w:t>s</w:t>
      </w:r>
      <w:r w:rsidR="00445201" w:rsidRPr="0024656A">
        <w:rPr>
          <w:rFonts w:eastAsia="Times New Roman"/>
          <w:b/>
          <w:sz w:val="20"/>
          <w:szCs w:val="20"/>
          <w:u w:val="single"/>
        </w:rPr>
        <w:t xml:space="preserve"> “</w:t>
      </w:r>
      <w:r w:rsidR="00124C93" w:rsidRPr="0024656A">
        <w:rPr>
          <w:rFonts w:eastAsia="Times New Roman"/>
          <w:b/>
          <w:sz w:val="20"/>
          <w:szCs w:val="20"/>
          <w:u w:val="single"/>
        </w:rPr>
        <w:t>Starpnozaru sadarbības un atbalsta sistēmas izveide bērnu veselīgai attīstībai un sekmīgai pašrealizācijai</w:t>
      </w:r>
      <w:r w:rsidR="002D3E9C" w:rsidRPr="0024656A">
        <w:rPr>
          <w:rFonts w:eastAsia="Times New Roman"/>
          <w:b/>
          <w:sz w:val="20"/>
          <w:szCs w:val="20"/>
          <w:u w:val="single"/>
        </w:rPr>
        <w:t>”</w:t>
      </w:r>
    </w:p>
    <w:p w14:paraId="6208948B"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46FE939B"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7E378909"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9117B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60482557"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ACD7497"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E24662" w:rsidRPr="003062B1" w14:paraId="477CE9A4" w14:textId="77777777" w:rsidTr="00ED0DE3">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F71777A" w14:textId="77777777" w:rsidR="00E24662" w:rsidRPr="003062B1" w:rsidRDefault="00E24662" w:rsidP="00ED0DE3">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F0158D1" w14:textId="77777777" w:rsidR="00E24662" w:rsidRPr="003062B1" w:rsidRDefault="00E24662" w:rsidP="00E24662">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B90711" w14:textId="4EFC1B64" w:rsidR="00E24662" w:rsidRPr="003062B1" w:rsidRDefault="00E24662" w:rsidP="00ED0DE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250F969" w14:textId="0CC12BDC" w:rsidR="00E24662" w:rsidRPr="003062B1" w:rsidRDefault="00E24662" w:rsidP="00E24662">
            <w:pPr>
              <w:spacing w:line="240" w:lineRule="auto"/>
              <w:jc w:val="both"/>
              <w:rPr>
                <w:rFonts w:eastAsiaTheme="minorEastAsia"/>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79B5E2EF" w14:textId="77777777" w:rsidTr="00ED0DE3">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E1C10C5" w14:textId="77777777" w:rsidR="00E24662" w:rsidRPr="003062B1" w:rsidRDefault="00E24662" w:rsidP="00ED0DE3">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5BC2764"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0E3FE84B" w14:textId="38B39DE6" w:rsidR="00E24662" w:rsidRPr="003062B1" w:rsidRDefault="00E24662" w:rsidP="00ED0DE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BF4B3B" w14:textId="69BC53D6"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65B84876" w14:textId="77777777" w:rsidTr="00ED0DE3">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1CFD61F" w14:textId="77777777" w:rsidR="00E24662" w:rsidRPr="003062B1" w:rsidRDefault="00E24662" w:rsidP="00ED0DE3">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D56414C"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113D8E0" w14:textId="313FA9C6" w:rsidR="00E24662" w:rsidRPr="003062B1" w:rsidRDefault="00E24662" w:rsidP="00ED0DE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5173E22A" w14:textId="78E92C6E" w:rsidR="00E24662" w:rsidRPr="003062B1" w:rsidRDefault="00E24662" w:rsidP="00E24662">
            <w:pPr>
              <w:spacing w:line="240" w:lineRule="auto"/>
              <w:jc w:val="both"/>
              <w:rPr>
                <w:sz w:val="20"/>
                <w:szCs w:val="20"/>
              </w:rPr>
            </w:pPr>
            <w:r w:rsidRPr="00381B03">
              <w:rPr>
                <w:sz w:val="20"/>
                <w:szCs w:val="20"/>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sz w:val="20"/>
                <w:szCs w:val="20"/>
              </w:rPr>
              <w:t>.</w:t>
            </w:r>
          </w:p>
        </w:tc>
      </w:tr>
      <w:tr w:rsidR="00E24662" w:rsidRPr="003062B1" w14:paraId="6D316674" w14:textId="77777777" w:rsidTr="00ED0DE3">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69C0C396" w14:textId="77777777" w:rsidR="00E24662" w:rsidRPr="003062B1" w:rsidRDefault="00E24662" w:rsidP="00ED0DE3">
            <w:pPr>
              <w:spacing w:line="240" w:lineRule="auto"/>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31C40D6"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DF02870" w14:textId="7260D902" w:rsidR="00E24662" w:rsidRPr="003062B1" w:rsidRDefault="00E24662" w:rsidP="00ED0DE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14C0A3B" w14:textId="3B2F7B8C"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 xml:space="preserve">. </w:t>
            </w:r>
            <w:r w:rsidRPr="00381B03">
              <w:rPr>
                <w:rFonts w:eastAsia="Times New Roman"/>
                <w:sz w:val="20"/>
                <w:szCs w:val="20"/>
                <w:lang w:eastAsia="lv-LV"/>
              </w:rPr>
              <w:t>Pasākuma īstenošanā tiks</w:t>
            </w:r>
            <w:r w:rsidR="00236692">
              <w:rPr>
                <w:rFonts w:eastAsia="Times New Roman"/>
                <w:sz w:val="20"/>
                <w:szCs w:val="20"/>
                <w:lang w:eastAsia="lv-LV"/>
              </w:rPr>
              <w:t xml:space="preserve"> </w:t>
            </w:r>
            <w:r w:rsidR="003338DE">
              <w:rPr>
                <w:rFonts w:eastAsia="Times New Roman"/>
                <w:sz w:val="20"/>
                <w:szCs w:val="20"/>
                <w:lang w:eastAsia="lv-LV"/>
              </w:rPr>
              <w:t>netieši</w:t>
            </w:r>
            <w:r w:rsidRPr="00381B03">
              <w:rPr>
                <w:rFonts w:eastAsia="Times New Roman"/>
                <w:sz w:val="20"/>
                <w:szCs w:val="20"/>
                <w:lang w:eastAsia="lv-LV"/>
              </w:rPr>
              <w:t xml:space="preserve"> veicināta zaļā publiskā iepirkuma prasību ievērošana </w:t>
            </w:r>
            <w:r w:rsidR="003338DE">
              <w:rPr>
                <w:rFonts w:eastAsia="Times New Roman"/>
                <w:sz w:val="20"/>
                <w:szCs w:val="20"/>
                <w:lang w:eastAsia="lv-LV"/>
              </w:rPr>
              <w:t xml:space="preserve">atbilstoši nacionālajā likumdošanā noteiktajam. </w:t>
            </w:r>
          </w:p>
        </w:tc>
      </w:tr>
      <w:tr w:rsidR="00E24662" w:rsidRPr="003062B1" w14:paraId="799CFD43" w14:textId="77777777" w:rsidTr="00ED0DE3">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B3454FF" w14:textId="77777777" w:rsidR="00E24662" w:rsidRPr="003062B1" w:rsidRDefault="00E24662" w:rsidP="00ED0DE3">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1AD80FF"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3A7F9E" w14:textId="087217E4" w:rsidR="00E24662" w:rsidRPr="003062B1" w:rsidRDefault="00E24662" w:rsidP="00ED0DE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73EA717" w14:textId="3A9BD937" w:rsidR="00E24662" w:rsidRPr="003062B1" w:rsidRDefault="00E24662" w:rsidP="00E24662">
            <w:pPr>
              <w:spacing w:line="240" w:lineRule="auto"/>
              <w:jc w:val="both"/>
              <w:rPr>
                <w:rFonts w:eastAsia="Times New Roman"/>
                <w:sz w:val="20"/>
                <w:szCs w:val="20"/>
                <w:highlight w:val="yellow"/>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r w:rsidR="00E24662" w:rsidRPr="003062B1" w14:paraId="5AD90D88" w14:textId="77777777" w:rsidTr="00ED0DE3">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6ACE05D" w14:textId="77777777" w:rsidR="00E24662" w:rsidRPr="003062B1" w:rsidRDefault="00E24662" w:rsidP="00ED0DE3">
            <w:pPr>
              <w:spacing w:line="240" w:lineRule="auto"/>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1280E5B" w14:textId="77777777" w:rsidR="00E24662" w:rsidRPr="003062B1" w:rsidRDefault="00E24662" w:rsidP="00E24662">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BB5FDE" w14:textId="1C0B4A8A" w:rsidR="00E24662" w:rsidRPr="003062B1" w:rsidRDefault="00E24662" w:rsidP="00ED0DE3">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4759CB4C" w14:textId="07E8F657" w:rsidR="00E24662" w:rsidRPr="003062B1" w:rsidRDefault="00E24662" w:rsidP="00E24662">
            <w:pPr>
              <w:spacing w:line="240" w:lineRule="auto"/>
              <w:jc w:val="both"/>
              <w:rPr>
                <w:rFonts w:eastAsia="Times New Roman"/>
                <w:sz w:val="20"/>
                <w:szCs w:val="20"/>
                <w:lang w:eastAsia="lv-LV"/>
              </w:rPr>
            </w:pPr>
            <w:r w:rsidRPr="00381B03">
              <w:rPr>
                <w:rFonts w:eastAsia="Times New Roman"/>
                <w:sz w:val="20"/>
                <w:szCs w:val="20"/>
                <w:lang w:eastAsia="lv-LV"/>
              </w:rPr>
              <w:t>Pasākumam nav paredzamas ietekmes uz vides mērķi vai paredzamā ietekme ir nebūtiska saistībā ar pasākuma tiešajām un primārajām netiešajam sekām visā tā dzīves ciklā, ņemot vērā tā būtību, un tādējādi tas tiek uzskatīts par atbilstīgu NBK attiecībā uz attiecīgo mērķi</w:t>
            </w:r>
            <w:r>
              <w:rPr>
                <w:rFonts w:eastAsia="Times New Roman"/>
                <w:sz w:val="20"/>
                <w:szCs w:val="20"/>
                <w:lang w:eastAsia="lv-LV"/>
              </w:rPr>
              <w:t>.</w:t>
            </w:r>
          </w:p>
        </w:tc>
      </w:tr>
    </w:tbl>
    <w:p w14:paraId="53E8FBF6" w14:textId="77777777" w:rsidR="003062B1" w:rsidRDefault="003062B1" w:rsidP="003062B1">
      <w:pPr>
        <w:spacing w:line="240" w:lineRule="auto"/>
        <w:rPr>
          <w:rFonts w:eastAsia="Times New Roman"/>
          <w:b/>
          <w:sz w:val="20"/>
          <w:szCs w:val="20"/>
        </w:rPr>
      </w:pPr>
    </w:p>
    <w:p w14:paraId="2C16F93D" w14:textId="77777777" w:rsidR="003062B1" w:rsidRDefault="003062B1" w:rsidP="003062B1">
      <w:pPr>
        <w:spacing w:line="240" w:lineRule="auto"/>
        <w:rPr>
          <w:rFonts w:eastAsia="Times New Roman"/>
          <w:b/>
          <w:sz w:val="20"/>
          <w:szCs w:val="20"/>
        </w:rPr>
      </w:pPr>
    </w:p>
    <w:p w14:paraId="08647015"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421A624F"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02C7DB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5DFB624"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425B42B1"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617A1C" w:rsidRPr="003062B1" w14:paraId="3B18154F"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93A3AA8" w14:textId="77777777" w:rsidR="00617A1C" w:rsidRPr="003062B1" w:rsidRDefault="00617A1C" w:rsidP="00617A1C">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9E8FD39" w14:textId="77777777" w:rsidR="00617A1C" w:rsidRPr="003062B1" w:rsidRDefault="00617A1C" w:rsidP="00617A1C">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1A474468" w14:textId="44D7590C" w:rsidR="00617A1C" w:rsidRPr="003062B1" w:rsidRDefault="00617A1C" w:rsidP="00617A1C">
            <w:pPr>
              <w:spacing w:line="240" w:lineRule="auto"/>
              <w:rPr>
                <w:sz w:val="20"/>
                <w:szCs w:val="20"/>
                <w:lang w:eastAsia="lv-LV"/>
              </w:rPr>
            </w:pPr>
            <w:r>
              <w:rPr>
                <w:sz w:val="20"/>
                <w:szCs w:val="20"/>
                <w:lang w:eastAsia="lv-LV"/>
              </w:rPr>
              <w:t>Skatīt I sadaļas informāciju.</w:t>
            </w:r>
          </w:p>
        </w:tc>
      </w:tr>
      <w:tr w:rsidR="00617A1C" w:rsidRPr="003062B1" w14:paraId="5DA6A7F1"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5F65523" w14:textId="77777777" w:rsidR="00617A1C" w:rsidRDefault="00617A1C" w:rsidP="00617A1C">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762CE698" w14:textId="77777777" w:rsidR="00617A1C" w:rsidRPr="003062B1" w:rsidRDefault="00617A1C" w:rsidP="00617A1C">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3974EFA" w14:textId="77777777" w:rsidR="00617A1C" w:rsidRPr="003062B1" w:rsidRDefault="00617A1C" w:rsidP="00617A1C">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EBDAD1A" w14:textId="0F138B56" w:rsidR="00617A1C" w:rsidRPr="003062B1" w:rsidRDefault="00617A1C" w:rsidP="00617A1C">
            <w:pPr>
              <w:spacing w:line="240" w:lineRule="auto"/>
              <w:rPr>
                <w:sz w:val="20"/>
                <w:szCs w:val="20"/>
                <w:lang w:eastAsia="lv-LV"/>
              </w:rPr>
            </w:pPr>
            <w:r>
              <w:rPr>
                <w:sz w:val="20"/>
                <w:szCs w:val="20"/>
                <w:lang w:eastAsia="lv-LV"/>
              </w:rPr>
              <w:t>Skatīt I sadaļas informāciju.</w:t>
            </w:r>
          </w:p>
        </w:tc>
      </w:tr>
      <w:tr w:rsidR="00617A1C" w:rsidRPr="003062B1" w14:paraId="0078196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D85BF29" w14:textId="77777777" w:rsidR="00617A1C" w:rsidRDefault="00617A1C" w:rsidP="00617A1C">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6F037656" w14:textId="77777777" w:rsidR="00617A1C" w:rsidRDefault="00617A1C" w:rsidP="00617A1C">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72DFB767" w14:textId="77777777" w:rsidR="00617A1C" w:rsidRDefault="00617A1C" w:rsidP="00617A1C">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w:t>
            </w:r>
            <w:r w:rsidRPr="003062B1">
              <w:rPr>
                <w:rFonts w:eastAsia="Times New Roman"/>
                <w:sz w:val="20"/>
                <w:szCs w:val="20"/>
                <w:lang w:eastAsia="lv-LV"/>
              </w:rPr>
              <w:lastRenderedPageBreak/>
              <w:t xml:space="preserve">potenciālam, ieskaitot virszemes ūdeņus un gruntsūdeņus; vai </w:t>
            </w:r>
          </w:p>
          <w:p w14:paraId="0B8BD57E" w14:textId="77777777" w:rsidR="00617A1C" w:rsidRPr="003062B1" w:rsidRDefault="00617A1C" w:rsidP="00617A1C">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E8A0BFB" w14:textId="77777777" w:rsidR="00617A1C" w:rsidRPr="003062B1" w:rsidRDefault="00617A1C" w:rsidP="00617A1C">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0FA616A" w14:textId="3B94A426" w:rsidR="00617A1C" w:rsidRPr="0024656A" w:rsidRDefault="00617A1C" w:rsidP="00617A1C">
            <w:pPr>
              <w:spacing w:line="240" w:lineRule="auto"/>
              <w:rPr>
                <w:sz w:val="20"/>
                <w:szCs w:val="20"/>
                <w:lang w:eastAsia="lv-LV"/>
              </w:rPr>
            </w:pPr>
            <w:r>
              <w:rPr>
                <w:sz w:val="20"/>
                <w:szCs w:val="20"/>
                <w:lang w:eastAsia="lv-LV"/>
              </w:rPr>
              <w:t>Skatīt I sadaļas informāciju.</w:t>
            </w:r>
          </w:p>
        </w:tc>
      </w:tr>
      <w:tr w:rsidR="00617A1C" w:rsidRPr="003062B1" w14:paraId="6176401D"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A73E5A8" w14:textId="77777777" w:rsidR="00617A1C" w:rsidRDefault="00617A1C" w:rsidP="00617A1C">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6B3E11F5" w14:textId="77777777" w:rsidR="00617A1C" w:rsidRDefault="00617A1C" w:rsidP="00617A1C">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743C4A0" w14:textId="77777777" w:rsidR="00617A1C" w:rsidRPr="003062B1" w:rsidRDefault="00617A1C" w:rsidP="00617A1C">
            <w:pPr>
              <w:spacing w:line="240" w:lineRule="auto"/>
              <w:jc w:val="both"/>
              <w:rPr>
                <w:sz w:val="20"/>
                <w:szCs w:val="20"/>
              </w:rPr>
            </w:pPr>
            <w:r w:rsidRPr="003062B1">
              <w:rPr>
                <w:rFonts w:eastAsia="Times New Roman"/>
                <w:sz w:val="20"/>
                <w:szCs w:val="20"/>
                <w:lang w:eastAsia="lv-LV"/>
              </w:rPr>
              <w:t>(i) būtiski palielinās atkritumu rašanos, incinerāciju vai apglabāšanu, izņemot nepārstrādājamu bīstamo atkritumu incinerāciju; vai</w:t>
            </w:r>
            <w:r w:rsidRPr="003062B1">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DDAFD7A" w14:textId="77777777" w:rsidR="00617A1C" w:rsidRPr="003062B1" w:rsidRDefault="00617A1C" w:rsidP="00617A1C">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53AF283" w14:textId="657AC838" w:rsidR="00617A1C" w:rsidRPr="003062B1" w:rsidRDefault="00617A1C" w:rsidP="00617A1C">
            <w:pPr>
              <w:suppressAutoHyphens/>
              <w:autoSpaceDN w:val="0"/>
              <w:spacing w:line="240" w:lineRule="auto"/>
              <w:jc w:val="both"/>
              <w:textAlignment w:val="baseline"/>
              <w:rPr>
                <w:rFonts w:eastAsia="Times New Roman"/>
                <w:sz w:val="20"/>
                <w:szCs w:val="20"/>
                <w:lang w:eastAsia="lv-LV"/>
              </w:rPr>
            </w:pPr>
            <w:r>
              <w:rPr>
                <w:sz w:val="20"/>
                <w:szCs w:val="20"/>
                <w:lang w:eastAsia="lv-LV"/>
              </w:rPr>
              <w:t>Skatīt I sadaļas informāciju.</w:t>
            </w:r>
          </w:p>
        </w:tc>
      </w:tr>
      <w:tr w:rsidR="00617A1C" w:rsidRPr="003062B1" w14:paraId="124A7C70"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10867F0A" w14:textId="77777777" w:rsidR="00617A1C" w:rsidRDefault="00617A1C" w:rsidP="00617A1C">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12C468B2" w14:textId="77777777" w:rsidR="00617A1C" w:rsidRPr="003062B1" w:rsidRDefault="00617A1C" w:rsidP="00617A1C">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3F121C6" w14:textId="77777777" w:rsidR="00617A1C" w:rsidRPr="003062B1" w:rsidRDefault="00617A1C" w:rsidP="00617A1C">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4A969BF" w14:textId="24DA8191" w:rsidR="00617A1C" w:rsidRPr="003062B1" w:rsidRDefault="00617A1C" w:rsidP="00617A1C">
            <w:pPr>
              <w:suppressAutoHyphens/>
              <w:autoSpaceDN w:val="0"/>
              <w:spacing w:line="240" w:lineRule="auto"/>
              <w:jc w:val="both"/>
              <w:textAlignment w:val="baseline"/>
              <w:rPr>
                <w:sz w:val="20"/>
                <w:szCs w:val="20"/>
              </w:rPr>
            </w:pPr>
            <w:r>
              <w:rPr>
                <w:sz w:val="20"/>
                <w:szCs w:val="20"/>
                <w:lang w:eastAsia="lv-LV"/>
              </w:rPr>
              <w:t>Skatīt I sadaļas informāciju.</w:t>
            </w:r>
          </w:p>
        </w:tc>
      </w:tr>
      <w:tr w:rsidR="00617A1C" w:rsidRPr="003062B1" w14:paraId="51E729E5"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E948311" w14:textId="77777777" w:rsidR="00617A1C" w:rsidRDefault="00617A1C" w:rsidP="00617A1C">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32750DBA" w14:textId="77777777" w:rsidR="00617A1C" w:rsidRPr="003062B1" w:rsidRDefault="00617A1C" w:rsidP="00617A1C">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4F9C5749" w14:textId="77777777" w:rsidR="00617A1C" w:rsidRPr="003062B1" w:rsidRDefault="00617A1C" w:rsidP="00617A1C">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BCD66A2" w14:textId="14C8B0EB" w:rsidR="00617A1C" w:rsidRPr="003062B1" w:rsidRDefault="00617A1C" w:rsidP="00617A1C">
            <w:pPr>
              <w:spacing w:line="240" w:lineRule="auto"/>
              <w:rPr>
                <w:sz w:val="20"/>
                <w:szCs w:val="20"/>
                <w:lang w:eastAsia="lv-LV"/>
              </w:rPr>
            </w:pPr>
            <w:r>
              <w:rPr>
                <w:sz w:val="20"/>
                <w:szCs w:val="20"/>
                <w:lang w:eastAsia="lv-LV"/>
              </w:rPr>
              <w:t>Skatīt I sadaļas informāciju.</w:t>
            </w:r>
          </w:p>
        </w:tc>
      </w:tr>
    </w:tbl>
    <w:p w14:paraId="2C3F1640"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D6F04" w14:textId="77777777" w:rsidR="0092195D" w:rsidRDefault="0092195D" w:rsidP="003062B1">
      <w:pPr>
        <w:spacing w:line="240" w:lineRule="auto"/>
      </w:pPr>
      <w:r>
        <w:separator/>
      </w:r>
    </w:p>
  </w:endnote>
  <w:endnote w:type="continuationSeparator" w:id="0">
    <w:p w14:paraId="3BBF592B" w14:textId="77777777" w:rsidR="0092195D" w:rsidRDefault="0092195D"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9FA2C" w14:textId="77777777" w:rsidR="0092195D" w:rsidRDefault="0092195D" w:rsidP="003062B1">
      <w:pPr>
        <w:spacing w:line="240" w:lineRule="auto"/>
      </w:pPr>
      <w:r>
        <w:separator/>
      </w:r>
    </w:p>
  </w:footnote>
  <w:footnote w:type="continuationSeparator" w:id="0">
    <w:p w14:paraId="1171C000" w14:textId="77777777" w:rsidR="0092195D" w:rsidRDefault="0092195D" w:rsidP="003062B1">
      <w:pPr>
        <w:spacing w:line="240" w:lineRule="auto"/>
      </w:pPr>
      <w:r>
        <w:continuationSeparator/>
      </w:r>
    </w:p>
  </w:footnote>
  <w:footnote w:id="1">
    <w:p w14:paraId="7192A4B5" w14:textId="559603D8"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99664A">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86837396">
    <w:abstractNumId w:val="2"/>
  </w:num>
  <w:num w:numId="2" w16cid:durableId="1768189871">
    <w:abstractNumId w:val="1"/>
  </w:num>
  <w:num w:numId="3" w16cid:durableId="1092358655">
    <w:abstractNumId w:val="0"/>
  </w:num>
  <w:num w:numId="4" w16cid:durableId="2539017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A60FE"/>
    <w:rsid w:val="000E7DD4"/>
    <w:rsid w:val="00124C93"/>
    <w:rsid w:val="00181F3F"/>
    <w:rsid w:val="001A42F1"/>
    <w:rsid w:val="00236692"/>
    <w:rsid w:val="0024656A"/>
    <w:rsid w:val="00280940"/>
    <w:rsid w:val="002D3E9C"/>
    <w:rsid w:val="003062B1"/>
    <w:rsid w:val="003338DE"/>
    <w:rsid w:val="00336337"/>
    <w:rsid w:val="00445201"/>
    <w:rsid w:val="004706D7"/>
    <w:rsid w:val="005D2906"/>
    <w:rsid w:val="005F49ED"/>
    <w:rsid w:val="00611F2D"/>
    <w:rsid w:val="00617A1C"/>
    <w:rsid w:val="007141C7"/>
    <w:rsid w:val="00866712"/>
    <w:rsid w:val="0092195D"/>
    <w:rsid w:val="00956291"/>
    <w:rsid w:val="0099664A"/>
    <w:rsid w:val="00A42FA9"/>
    <w:rsid w:val="00A56ABA"/>
    <w:rsid w:val="00AC65B8"/>
    <w:rsid w:val="00AD0A7F"/>
    <w:rsid w:val="00B0209E"/>
    <w:rsid w:val="00B853E5"/>
    <w:rsid w:val="00E24662"/>
    <w:rsid w:val="00E40575"/>
    <w:rsid w:val="00E437C2"/>
    <w:rsid w:val="00E6685B"/>
    <w:rsid w:val="00EC4ACF"/>
    <w:rsid w:val="00ED0DE3"/>
    <w:rsid w:val="00F4172F"/>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08CD"/>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5D290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087A6-E4F6-4DA6-A2AA-9DE9B83C0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2773</Words>
  <Characters>1582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Maija Upeniece</cp:lastModifiedBy>
  <cp:revision>9</cp:revision>
  <dcterms:created xsi:type="dcterms:W3CDTF">2022-01-14T08:47:00Z</dcterms:created>
  <dcterms:modified xsi:type="dcterms:W3CDTF">2022-11-04T12:43:00Z</dcterms:modified>
</cp:coreProperties>
</file>