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688D62" w14:textId="77777777" w:rsidR="00A7192A" w:rsidRDefault="00F823F2">
      <w:pPr>
        <w:spacing w:line="240" w:lineRule="auto"/>
        <w:jc w:val="center"/>
        <w:rPr>
          <w:b/>
          <w:sz w:val="20"/>
          <w:szCs w:val="20"/>
        </w:rPr>
      </w:pPr>
      <w:r>
        <w:rPr>
          <w:b/>
          <w:sz w:val="20"/>
          <w:szCs w:val="20"/>
        </w:rPr>
        <w:t>Principa “Nenodarīt būtisku kaitējumu” novērtējums</w:t>
      </w:r>
    </w:p>
    <w:p w14:paraId="0C04D194" w14:textId="77777777" w:rsidR="00D452E2" w:rsidRPr="001D56E7" w:rsidRDefault="001D56E7" w:rsidP="001D56E7">
      <w:pPr>
        <w:jc w:val="center"/>
        <w:rPr>
          <w:b/>
          <w:bCs/>
          <w:sz w:val="20"/>
          <w:szCs w:val="20"/>
        </w:rPr>
      </w:pPr>
      <w:bookmarkStart w:id="0" w:name="_heading=h.gjdgxs" w:colFirst="0" w:colLast="0"/>
      <w:bookmarkEnd w:id="0"/>
      <w:r w:rsidRPr="001D56E7">
        <w:rPr>
          <w:b/>
          <w:bCs/>
          <w:sz w:val="20"/>
          <w:szCs w:val="20"/>
        </w:rPr>
        <w:t>2.1.1.SAM “Energoefektivitātes veicināšana un siltumnīcefekta gāzu emisiju samazināšana”</w:t>
      </w:r>
    </w:p>
    <w:p w14:paraId="2FE8E0AD" w14:textId="77777777" w:rsidR="00533209" w:rsidRDefault="00533209" w:rsidP="00533209">
      <w:pPr>
        <w:spacing w:line="240" w:lineRule="auto"/>
        <w:jc w:val="center"/>
        <w:rPr>
          <w:b/>
          <w:sz w:val="20"/>
          <w:szCs w:val="20"/>
        </w:rPr>
      </w:pPr>
      <w:r>
        <w:rPr>
          <w:b/>
          <w:sz w:val="20"/>
          <w:szCs w:val="20"/>
        </w:rPr>
        <w:t>2.1.1.5.pasākuma</w:t>
      </w:r>
      <w:r w:rsidR="001D56E7">
        <w:rPr>
          <w:b/>
          <w:sz w:val="20"/>
          <w:szCs w:val="20"/>
        </w:rPr>
        <w:t>m “</w:t>
      </w:r>
      <w:r>
        <w:rPr>
          <w:b/>
          <w:sz w:val="20"/>
          <w:szCs w:val="20"/>
        </w:rPr>
        <w:t xml:space="preserve">Klimata neitrāli risinājumi profesionālās izglītības iestāžu (PIKC) un koledžu izglītības programmās, vidē un infrastruktūrā” </w:t>
      </w:r>
      <w:r w:rsidR="00401D86">
        <w:rPr>
          <w:b/>
          <w:sz w:val="20"/>
          <w:szCs w:val="20"/>
        </w:rPr>
        <w:t>(IZM)</w:t>
      </w:r>
    </w:p>
    <w:p w14:paraId="14001262" w14:textId="77777777" w:rsidR="00533209" w:rsidRDefault="00533209" w:rsidP="00533209">
      <w:pPr>
        <w:spacing w:line="240" w:lineRule="auto"/>
        <w:jc w:val="center"/>
        <w:rPr>
          <w:b/>
          <w:sz w:val="20"/>
          <w:szCs w:val="20"/>
        </w:rPr>
      </w:pPr>
    </w:p>
    <w:p w14:paraId="61CE02A8" w14:textId="77777777" w:rsidR="00533209" w:rsidRDefault="00533209" w:rsidP="00533209">
      <w:pPr>
        <w:spacing w:line="240" w:lineRule="auto"/>
        <w:rPr>
          <w:b/>
          <w:sz w:val="20"/>
          <w:szCs w:val="20"/>
        </w:rPr>
      </w:pPr>
      <w:r>
        <w:rPr>
          <w:b/>
          <w:sz w:val="20"/>
          <w:szCs w:val="20"/>
        </w:rPr>
        <w:t>Novērtējuma 1.daļa</w:t>
      </w:r>
    </w:p>
    <w:tbl>
      <w:tblPr>
        <w:tblStyle w:val="af"/>
        <w:tblW w:w="10575"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2325"/>
        <w:gridCol w:w="480"/>
        <w:gridCol w:w="510"/>
        <w:gridCol w:w="7260"/>
      </w:tblGrid>
      <w:tr w:rsidR="00533209" w14:paraId="4DBE6593" w14:textId="77777777" w:rsidTr="00533209">
        <w:trPr>
          <w:trHeight w:val="1965"/>
        </w:trPr>
        <w:tc>
          <w:tcPr>
            <w:tcW w:w="2325" w:type="dxa"/>
            <w:shd w:val="clear" w:color="auto" w:fill="E2EFD9"/>
            <w:tcMar>
              <w:top w:w="20" w:type="dxa"/>
              <w:left w:w="100" w:type="dxa"/>
              <w:bottom w:w="20" w:type="dxa"/>
              <w:right w:w="100" w:type="dxa"/>
            </w:tcMar>
          </w:tcPr>
          <w:p w14:paraId="3748C4B1" w14:textId="77777777" w:rsidR="00533209" w:rsidRDefault="00533209" w:rsidP="00247E03">
            <w:pPr>
              <w:spacing w:line="240" w:lineRule="auto"/>
              <w:jc w:val="center"/>
              <w:rPr>
                <w:b/>
                <w:i/>
                <w:sz w:val="20"/>
                <w:szCs w:val="20"/>
              </w:rPr>
            </w:pPr>
            <w:r>
              <w:rPr>
                <w:b/>
                <w:i/>
                <w:sz w:val="20"/>
                <w:szCs w:val="20"/>
              </w:rPr>
              <w:t>Norādiet, kuri no turpmāk minētajiem vides mērķiem prasa padziļinātu pasākuma novērtējumu no principa “Nenodarīt būtisku kaitējumu” (NBK) viedokļa</w:t>
            </w:r>
          </w:p>
        </w:tc>
        <w:tc>
          <w:tcPr>
            <w:tcW w:w="480" w:type="dxa"/>
            <w:shd w:val="clear" w:color="auto" w:fill="E2EFD9"/>
            <w:tcMar>
              <w:top w:w="20" w:type="dxa"/>
              <w:left w:w="100" w:type="dxa"/>
              <w:bottom w:w="20" w:type="dxa"/>
              <w:right w:w="100" w:type="dxa"/>
            </w:tcMar>
          </w:tcPr>
          <w:p w14:paraId="7DAE9616" w14:textId="77777777" w:rsidR="00533209" w:rsidRDefault="00533209" w:rsidP="00247E03">
            <w:pPr>
              <w:spacing w:line="240" w:lineRule="auto"/>
              <w:jc w:val="center"/>
              <w:rPr>
                <w:b/>
                <w:sz w:val="20"/>
                <w:szCs w:val="20"/>
              </w:rPr>
            </w:pPr>
            <w:r>
              <w:rPr>
                <w:b/>
                <w:sz w:val="20"/>
                <w:szCs w:val="20"/>
              </w:rPr>
              <w:t>JĀ</w:t>
            </w:r>
          </w:p>
        </w:tc>
        <w:tc>
          <w:tcPr>
            <w:tcW w:w="510" w:type="dxa"/>
            <w:shd w:val="clear" w:color="auto" w:fill="E2EFD9"/>
            <w:tcMar>
              <w:top w:w="20" w:type="dxa"/>
              <w:left w:w="100" w:type="dxa"/>
              <w:bottom w:w="20" w:type="dxa"/>
              <w:right w:w="100" w:type="dxa"/>
            </w:tcMar>
          </w:tcPr>
          <w:p w14:paraId="2DC0B764" w14:textId="77777777" w:rsidR="00533209" w:rsidRDefault="00533209" w:rsidP="00247E03">
            <w:pPr>
              <w:spacing w:line="240" w:lineRule="auto"/>
              <w:jc w:val="center"/>
              <w:rPr>
                <w:b/>
                <w:sz w:val="20"/>
                <w:szCs w:val="20"/>
              </w:rPr>
            </w:pPr>
            <w:r>
              <w:rPr>
                <w:b/>
                <w:sz w:val="20"/>
                <w:szCs w:val="20"/>
              </w:rPr>
              <w:t>NĒ</w:t>
            </w:r>
          </w:p>
        </w:tc>
        <w:tc>
          <w:tcPr>
            <w:tcW w:w="7260" w:type="dxa"/>
            <w:shd w:val="clear" w:color="auto" w:fill="E2EFD9"/>
            <w:tcMar>
              <w:top w:w="20" w:type="dxa"/>
              <w:left w:w="100" w:type="dxa"/>
              <w:bottom w:w="20" w:type="dxa"/>
              <w:right w:w="100" w:type="dxa"/>
            </w:tcMar>
          </w:tcPr>
          <w:p w14:paraId="5548324C" w14:textId="77777777" w:rsidR="00533209" w:rsidRDefault="00533209" w:rsidP="00247E03">
            <w:pPr>
              <w:spacing w:line="240" w:lineRule="auto"/>
              <w:jc w:val="center"/>
              <w:rPr>
                <w:b/>
                <w:sz w:val="20"/>
                <w:szCs w:val="20"/>
              </w:rPr>
            </w:pPr>
            <w:r>
              <w:rPr>
                <w:b/>
                <w:sz w:val="20"/>
                <w:szCs w:val="20"/>
              </w:rPr>
              <w:t>Pamatojums, ja novērtējums ir “NĒ”</w:t>
            </w:r>
          </w:p>
        </w:tc>
      </w:tr>
      <w:tr w:rsidR="00533209" w14:paraId="55368E6E" w14:textId="77777777" w:rsidTr="00533209">
        <w:trPr>
          <w:trHeight w:val="2131"/>
        </w:trPr>
        <w:tc>
          <w:tcPr>
            <w:tcW w:w="2325" w:type="dxa"/>
            <w:tcMar>
              <w:top w:w="20" w:type="dxa"/>
              <w:left w:w="100" w:type="dxa"/>
              <w:bottom w:w="20" w:type="dxa"/>
              <w:right w:w="100" w:type="dxa"/>
            </w:tcMar>
          </w:tcPr>
          <w:p w14:paraId="1C4B9BAF" w14:textId="77777777" w:rsidR="00533209" w:rsidRDefault="00533209" w:rsidP="00247E03">
            <w:pPr>
              <w:spacing w:line="240" w:lineRule="auto"/>
              <w:ind w:left="320"/>
              <w:rPr>
                <w:b/>
                <w:sz w:val="20"/>
                <w:szCs w:val="20"/>
              </w:rPr>
            </w:pPr>
            <w:r>
              <w:rPr>
                <w:b/>
                <w:sz w:val="20"/>
                <w:szCs w:val="20"/>
              </w:rPr>
              <w:t xml:space="preserve">Klimata pārmaiņu mazināšana </w:t>
            </w:r>
          </w:p>
        </w:tc>
        <w:tc>
          <w:tcPr>
            <w:tcW w:w="480" w:type="dxa"/>
            <w:tcMar>
              <w:top w:w="20" w:type="dxa"/>
              <w:left w:w="100" w:type="dxa"/>
              <w:bottom w:w="20" w:type="dxa"/>
              <w:right w:w="100" w:type="dxa"/>
            </w:tcMar>
          </w:tcPr>
          <w:p w14:paraId="1BA055E7" w14:textId="77777777" w:rsidR="00533209" w:rsidRDefault="00533209" w:rsidP="00247E03">
            <w:pPr>
              <w:spacing w:line="240" w:lineRule="auto"/>
              <w:rPr>
                <w:b/>
                <w:sz w:val="20"/>
                <w:szCs w:val="20"/>
              </w:rPr>
            </w:pPr>
          </w:p>
        </w:tc>
        <w:tc>
          <w:tcPr>
            <w:tcW w:w="510" w:type="dxa"/>
            <w:tcMar>
              <w:top w:w="20" w:type="dxa"/>
              <w:left w:w="100" w:type="dxa"/>
              <w:bottom w:w="20" w:type="dxa"/>
              <w:right w:w="100" w:type="dxa"/>
            </w:tcMar>
          </w:tcPr>
          <w:p w14:paraId="710C43C6" w14:textId="77777777" w:rsidR="00533209" w:rsidRDefault="00533209" w:rsidP="00247E03">
            <w:pPr>
              <w:spacing w:line="240" w:lineRule="auto"/>
              <w:rPr>
                <w:b/>
                <w:sz w:val="20"/>
                <w:szCs w:val="20"/>
              </w:rPr>
            </w:pPr>
            <w:r>
              <w:rPr>
                <w:b/>
                <w:sz w:val="20"/>
                <w:szCs w:val="20"/>
              </w:rPr>
              <w:t>x</w:t>
            </w:r>
          </w:p>
        </w:tc>
        <w:tc>
          <w:tcPr>
            <w:tcW w:w="7260" w:type="dxa"/>
            <w:tcMar>
              <w:top w:w="20" w:type="dxa"/>
              <w:left w:w="100" w:type="dxa"/>
              <w:bottom w:w="20" w:type="dxa"/>
              <w:right w:w="100" w:type="dxa"/>
            </w:tcMar>
          </w:tcPr>
          <w:p w14:paraId="7E91005B" w14:textId="77777777" w:rsidR="00533209" w:rsidRDefault="00533209" w:rsidP="00247E03">
            <w:pPr>
              <w:spacing w:line="240" w:lineRule="auto"/>
              <w:jc w:val="both"/>
              <w:rPr>
                <w:sz w:val="20"/>
                <w:szCs w:val="20"/>
              </w:rPr>
            </w:pPr>
            <w:r>
              <w:rPr>
                <w:sz w:val="20"/>
                <w:szCs w:val="20"/>
              </w:rPr>
              <w:t>Ņemot vērā SAM pasākuma būtību (Klimata neitrāli risinājumi profesionālās izglītības iestāžu un koledžu izglītības programmās, vidē un infrastruktūrā), atbalstītās darbības nerada būtisku kaitējumu klimata pārmaiņu mazināšanai, jo tās nerada ievērojamas SEG emisijas. Ieguldījumu rezultātā tiks palielināts to profesionālās izglītības iestāžu un koledžu ēku skaits, kurām ir uzlabota energoefektivitāte, tādējādi samazinot siltumnīcefekta gāzu emisijas un risinot pielāgošanos klimata pārmaiņām. Ieguldījumu rezultātā samazināsies izglītības iestāžu izdevumi un atbrīvotos resursus varēs novirzīt citu tām būtisku funkciju īstenošanai.</w:t>
            </w:r>
          </w:p>
          <w:p w14:paraId="1BC7A5F6" w14:textId="77777777" w:rsidR="00533209" w:rsidRDefault="00533209" w:rsidP="00247E03">
            <w:pPr>
              <w:spacing w:line="240" w:lineRule="auto"/>
              <w:jc w:val="both"/>
              <w:rPr>
                <w:sz w:val="20"/>
                <w:szCs w:val="20"/>
              </w:rPr>
            </w:pPr>
            <w:r>
              <w:rPr>
                <w:sz w:val="20"/>
                <w:szCs w:val="20"/>
              </w:rPr>
              <w:t>Tādējādi pasākums tiek uzskatīts par atbilstīgu NBK attiecībā uz attiecīgo mērķi.</w:t>
            </w:r>
          </w:p>
        </w:tc>
      </w:tr>
      <w:tr w:rsidR="00533209" w14:paraId="227B504A" w14:textId="77777777" w:rsidTr="00533209">
        <w:trPr>
          <w:trHeight w:val="2203"/>
        </w:trPr>
        <w:tc>
          <w:tcPr>
            <w:tcW w:w="2325" w:type="dxa"/>
            <w:tcMar>
              <w:top w:w="20" w:type="dxa"/>
              <w:left w:w="100" w:type="dxa"/>
              <w:bottom w:w="20" w:type="dxa"/>
              <w:right w:w="100" w:type="dxa"/>
            </w:tcMar>
          </w:tcPr>
          <w:p w14:paraId="2902F76A" w14:textId="77777777" w:rsidR="00533209" w:rsidRDefault="00533209" w:rsidP="00247E03">
            <w:pPr>
              <w:spacing w:line="240" w:lineRule="auto"/>
              <w:rPr>
                <w:b/>
                <w:sz w:val="20"/>
                <w:szCs w:val="20"/>
              </w:rPr>
            </w:pPr>
            <w:r>
              <w:rPr>
                <w:b/>
                <w:sz w:val="20"/>
                <w:szCs w:val="20"/>
              </w:rPr>
              <w:t>Pielāgošanas klimata pārmaiņām</w:t>
            </w:r>
          </w:p>
        </w:tc>
        <w:tc>
          <w:tcPr>
            <w:tcW w:w="480" w:type="dxa"/>
            <w:tcMar>
              <w:top w:w="20" w:type="dxa"/>
              <w:left w:w="100" w:type="dxa"/>
              <w:bottom w:w="20" w:type="dxa"/>
              <w:right w:w="100" w:type="dxa"/>
            </w:tcMar>
          </w:tcPr>
          <w:p w14:paraId="71DA7519" w14:textId="77777777" w:rsidR="00533209" w:rsidRDefault="00533209" w:rsidP="00247E03">
            <w:pPr>
              <w:spacing w:line="240" w:lineRule="auto"/>
              <w:rPr>
                <w:b/>
                <w:sz w:val="20"/>
                <w:szCs w:val="20"/>
              </w:rPr>
            </w:pPr>
          </w:p>
        </w:tc>
        <w:tc>
          <w:tcPr>
            <w:tcW w:w="510" w:type="dxa"/>
            <w:shd w:val="clear" w:color="auto" w:fill="FFFFFF"/>
            <w:tcMar>
              <w:top w:w="20" w:type="dxa"/>
              <w:left w:w="100" w:type="dxa"/>
              <w:bottom w:w="20" w:type="dxa"/>
              <w:right w:w="100" w:type="dxa"/>
            </w:tcMar>
          </w:tcPr>
          <w:p w14:paraId="64CB26E2" w14:textId="77777777" w:rsidR="00533209" w:rsidRDefault="00533209" w:rsidP="00247E03">
            <w:pPr>
              <w:spacing w:line="240" w:lineRule="auto"/>
              <w:jc w:val="center"/>
              <w:rPr>
                <w:b/>
                <w:sz w:val="20"/>
                <w:szCs w:val="20"/>
              </w:rPr>
            </w:pPr>
            <w:r>
              <w:rPr>
                <w:b/>
                <w:sz w:val="20"/>
                <w:szCs w:val="20"/>
              </w:rPr>
              <w:t>x</w:t>
            </w:r>
          </w:p>
        </w:tc>
        <w:tc>
          <w:tcPr>
            <w:tcW w:w="7260" w:type="dxa"/>
            <w:tcMar>
              <w:top w:w="20" w:type="dxa"/>
              <w:left w:w="100" w:type="dxa"/>
              <w:bottom w:w="20" w:type="dxa"/>
              <w:right w:w="100" w:type="dxa"/>
            </w:tcMar>
          </w:tcPr>
          <w:p w14:paraId="609F8E08" w14:textId="77777777" w:rsidR="00533209" w:rsidRDefault="00533209" w:rsidP="00247E03">
            <w:pPr>
              <w:spacing w:line="240" w:lineRule="auto"/>
              <w:jc w:val="both"/>
              <w:rPr>
                <w:sz w:val="20"/>
                <w:szCs w:val="20"/>
              </w:rPr>
            </w:pPr>
            <w:r>
              <w:rPr>
                <w:sz w:val="20"/>
                <w:szCs w:val="20"/>
              </w:rPr>
              <w:t>Ņemot vērā SAM pasākuma būtību (Klimata neitrāli risinājumi profesionālās izglītības iestāžu un koledžu izglītības programmās, vidē un infrastruktūrā), atbalstītās darbības nerada būtisku kaitējumu klimata pārmaiņu mazināšanai, jo tās nerada ievērojamas SEG emisijas. Ieguldījumu rezultātā tiks palielināts to profesionālās izglītības iestāžu un koledžu ēku skaits, kurām ir uzlabota energoefektivitāte, tādējādi samazinot siltumnīcefekta gāzu emisijas un risinot pielāgošanos klimata pārmaiņām. Ieguldījumu rezultātā samazināsies izglītības iestāžu izdevumi, un atbrīvotos resursus varēs novirzīt citu tām būtisku funkciju īstenošanai.</w:t>
            </w:r>
          </w:p>
          <w:p w14:paraId="6418B241" w14:textId="77777777" w:rsidR="00533209" w:rsidRDefault="00533209" w:rsidP="00247E03">
            <w:pPr>
              <w:spacing w:line="240" w:lineRule="auto"/>
              <w:rPr>
                <w:sz w:val="20"/>
                <w:szCs w:val="20"/>
              </w:rPr>
            </w:pPr>
            <w:r>
              <w:rPr>
                <w:sz w:val="20"/>
                <w:szCs w:val="20"/>
              </w:rPr>
              <w:t>Tādējādi pasākums tiek uzskatīts par atbilstīgu NBK attiecībā uz attiecīgo mērķi.</w:t>
            </w:r>
          </w:p>
        </w:tc>
      </w:tr>
      <w:tr w:rsidR="00533209" w14:paraId="2BBEE6C3" w14:textId="77777777" w:rsidTr="00533209">
        <w:trPr>
          <w:trHeight w:val="682"/>
        </w:trPr>
        <w:tc>
          <w:tcPr>
            <w:tcW w:w="2325" w:type="dxa"/>
            <w:tcMar>
              <w:top w:w="20" w:type="dxa"/>
              <w:left w:w="100" w:type="dxa"/>
              <w:bottom w:w="20" w:type="dxa"/>
              <w:right w:w="100" w:type="dxa"/>
            </w:tcMar>
          </w:tcPr>
          <w:p w14:paraId="6FC3F734" w14:textId="77777777" w:rsidR="00533209" w:rsidRDefault="00533209" w:rsidP="00247E03">
            <w:pPr>
              <w:spacing w:line="240" w:lineRule="auto"/>
              <w:jc w:val="both"/>
              <w:rPr>
                <w:b/>
                <w:sz w:val="20"/>
                <w:szCs w:val="20"/>
              </w:rPr>
            </w:pPr>
            <w:r>
              <w:rPr>
                <w:b/>
                <w:sz w:val="20"/>
                <w:szCs w:val="20"/>
              </w:rPr>
              <w:t>Ūdens un jūras resursu ilgtspējīga izmantošana un aizsardzība</w:t>
            </w:r>
          </w:p>
        </w:tc>
        <w:tc>
          <w:tcPr>
            <w:tcW w:w="480" w:type="dxa"/>
            <w:tcMar>
              <w:top w:w="20" w:type="dxa"/>
              <w:left w:w="100" w:type="dxa"/>
              <w:bottom w:w="20" w:type="dxa"/>
              <w:right w:w="100" w:type="dxa"/>
            </w:tcMar>
          </w:tcPr>
          <w:p w14:paraId="4BEF7B4E" w14:textId="77777777" w:rsidR="00533209" w:rsidRDefault="00533209" w:rsidP="00247E03">
            <w:pPr>
              <w:spacing w:line="240" w:lineRule="auto"/>
              <w:rPr>
                <w:b/>
                <w:sz w:val="20"/>
                <w:szCs w:val="20"/>
              </w:rPr>
            </w:pPr>
          </w:p>
        </w:tc>
        <w:tc>
          <w:tcPr>
            <w:tcW w:w="510" w:type="dxa"/>
            <w:tcMar>
              <w:top w:w="20" w:type="dxa"/>
              <w:left w:w="100" w:type="dxa"/>
              <w:bottom w:w="20" w:type="dxa"/>
              <w:right w:w="100" w:type="dxa"/>
            </w:tcMar>
          </w:tcPr>
          <w:p w14:paraId="3D5A2B17" w14:textId="77777777" w:rsidR="00533209" w:rsidRDefault="00533209" w:rsidP="00247E03">
            <w:pPr>
              <w:spacing w:line="240" w:lineRule="auto"/>
              <w:jc w:val="center"/>
              <w:rPr>
                <w:b/>
                <w:sz w:val="20"/>
                <w:szCs w:val="20"/>
              </w:rPr>
            </w:pPr>
            <w:r>
              <w:rPr>
                <w:b/>
                <w:sz w:val="20"/>
                <w:szCs w:val="20"/>
              </w:rPr>
              <w:t>x</w:t>
            </w:r>
          </w:p>
        </w:tc>
        <w:tc>
          <w:tcPr>
            <w:tcW w:w="7260" w:type="dxa"/>
            <w:tcMar>
              <w:top w:w="20" w:type="dxa"/>
              <w:left w:w="100" w:type="dxa"/>
              <w:bottom w:w="20" w:type="dxa"/>
              <w:right w:w="100" w:type="dxa"/>
            </w:tcMar>
            <w:vAlign w:val="bottom"/>
          </w:tcPr>
          <w:p w14:paraId="4733DD55" w14:textId="77777777" w:rsidR="00533209" w:rsidRDefault="00533209" w:rsidP="00247E03">
            <w:pPr>
              <w:spacing w:line="240" w:lineRule="auto"/>
              <w:jc w:val="both"/>
              <w:rPr>
                <w:sz w:val="20"/>
                <w:szCs w:val="20"/>
              </w:rPr>
            </w:pPr>
            <w:r>
              <w:rPr>
                <w:sz w:val="20"/>
                <w:szCs w:val="20"/>
              </w:rPr>
              <w:t>Pasākumam nav vai ir paredzama nenozīmīga ietekme uz vides mērķiem, kas saistīts ar pasākuma tiešo un primāro netiešo ietekmi visā tā dzīves ciklā, ņemot vērā tā raksturu, un tādējādi tas tiek uzskatīts par atbilstīgu NBK attiecībā uz attiecīgo mērķi.</w:t>
            </w:r>
          </w:p>
        </w:tc>
      </w:tr>
      <w:tr w:rsidR="00533209" w14:paraId="65F8C38D" w14:textId="77777777" w:rsidTr="00533209">
        <w:trPr>
          <w:trHeight w:val="1005"/>
        </w:trPr>
        <w:tc>
          <w:tcPr>
            <w:tcW w:w="2325" w:type="dxa"/>
            <w:tcMar>
              <w:top w:w="20" w:type="dxa"/>
              <w:left w:w="100" w:type="dxa"/>
              <w:bottom w:w="20" w:type="dxa"/>
              <w:right w:w="100" w:type="dxa"/>
            </w:tcMar>
          </w:tcPr>
          <w:p w14:paraId="55A79B5C" w14:textId="77777777" w:rsidR="00533209" w:rsidRDefault="00533209" w:rsidP="00247E03">
            <w:pPr>
              <w:spacing w:line="240" w:lineRule="auto"/>
              <w:jc w:val="both"/>
              <w:rPr>
                <w:b/>
                <w:sz w:val="20"/>
                <w:szCs w:val="20"/>
              </w:rPr>
            </w:pPr>
            <w:r>
              <w:rPr>
                <w:b/>
                <w:sz w:val="20"/>
                <w:szCs w:val="20"/>
              </w:rPr>
              <w:t>Aprites ekonomika, tostarp atkritumu rašanās novēršana un pārstrāde</w:t>
            </w:r>
          </w:p>
        </w:tc>
        <w:tc>
          <w:tcPr>
            <w:tcW w:w="480" w:type="dxa"/>
            <w:tcMar>
              <w:top w:w="20" w:type="dxa"/>
              <w:left w:w="100" w:type="dxa"/>
              <w:bottom w:w="20" w:type="dxa"/>
              <w:right w:w="100" w:type="dxa"/>
            </w:tcMar>
          </w:tcPr>
          <w:p w14:paraId="19FFEE11" w14:textId="77777777" w:rsidR="00533209" w:rsidRDefault="00533209" w:rsidP="00247E03">
            <w:pPr>
              <w:spacing w:line="240" w:lineRule="auto"/>
              <w:rPr>
                <w:b/>
                <w:sz w:val="20"/>
                <w:szCs w:val="20"/>
              </w:rPr>
            </w:pPr>
          </w:p>
        </w:tc>
        <w:tc>
          <w:tcPr>
            <w:tcW w:w="510" w:type="dxa"/>
            <w:tcMar>
              <w:top w:w="20" w:type="dxa"/>
              <w:left w:w="100" w:type="dxa"/>
              <w:bottom w:w="20" w:type="dxa"/>
              <w:right w:w="100" w:type="dxa"/>
            </w:tcMar>
          </w:tcPr>
          <w:p w14:paraId="0A5CCD42" w14:textId="77777777" w:rsidR="00533209" w:rsidRDefault="00533209" w:rsidP="00247E03">
            <w:pPr>
              <w:spacing w:line="240" w:lineRule="auto"/>
              <w:jc w:val="center"/>
              <w:rPr>
                <w:b/>
                <w:sz w:val="20"/>
                <w:szCs w:val="20"/>
              </w:rPr>
            </w:pPr>
            <w:r>
              <w:rPr>
                <w:b/>
                <w:sz w:val="20"/>
                <w:szCs w:val="20"/>
              </w:rPr>
              <w:t>x</w:t>
            </w:r>
          </w:p>
        </w:tc>
        <w:tc>
          <w:tcPr>
            <w:tcW w:w="7260" w:type="dxa"/>
            <w:tcMar>
              <w:top w:w="20" w:type="dxa"/>
              <w:left w:w="100" w:type="dxa"/>
              <w:bottom w:w="20" w:type="dxa"/>
              <w:right w:w="100" w:type="dxa"/>
            </w:tcMar>
            <w:vAlign w:val="bottom"/>
          </w:tcPr>
          <w:p w14:paraId="253B109B" w14:textId="77777777" w:rsidR="00533209" w:rsidRDefault="00533209" w:rsidP="00247E03">
            <w:pPr>
              <w:spacing w:line="240" w:lineRule="auto"/>
              <w:jc w:val="both"/>
              <w:rPr>
                <w:sz w:val="20"/>
                <w:szCs w:val="20"/>
              </w:rPr>
            </w:pPr>
            <w:r>
              <w:rPr>
                <w:sz w:val="20"/>
                <w:szCs w:val="20"/>
              </w:rPr>
              <w:t>Pasākumam nav vai ir paredzama nenozīmīga ietekme uz vides mērķiem, kas saistīts ar pasākuma tiešo un primāro netiešo ietekmi visā tā dzīves ciklā, ņemot vērā tā raksturu, un tādējādi tas tiek uzskatīts par atbilstīgu NBK attiecībā uz attiecīgo mērķi.</w:t>
            </w:r>
          </w:p>
        </w:tc>
      </w:tr>
      <w:tr w:rsidR="00533209" w14:paraId="3E6363E2" w14:textId="77777777" w:rsidTr="00533209">
        <w:trPr>
          <w:trHeight w:val="1005"/>
        </w:trPr>
        <w:tc>
          <w:tcPr>
            <w:tcW w:w="2325" w:type="dxa"/>
            <w:tcMar>
              <w:top w:w="20" w:type="dxa"/>
              <w:left w:w="100" w:type="dxa"/>
              <w:bottom w:w="20" w:type="dxa"/>
              <w:right w:w="100" w:type="dxa"/>
            </w:tcMar>
          </w:tcPr>
          <w:p w14:paraId="1372EFBC" w14:textId="77777777" w:rsidR="00533209" w:rsidRDefault="00533209" w:rsidP="00247E03">
            <w:pPr>
              <w:spacing w:line="240" w:lineRule="auto"/>
              <w:jc w:val="both"/>
              <w:rPr>
                <w:b/>
                <w:sz w:val="20"/>
                <w:szCs w:val="20"/>
              </w:rPr>
            </w:pPr>
            <w:r>
              <w:rPr>
                <w:b/>
                <w:sz w:val="20"/>
                <w:szCs w:val="20"/>
              </w:rPr>
              <w:t>Piesārņojuma novēršana un to kontrole gaisā, ūdenī vai zemē</w:t>
            </w:r>
          </w:p>
        </w:tc>
        <w:tc>
          <w:tcPr>
            <w:tcW w:w="480" w:type="dxa"/>
            <w:tcMar>
              <w:top w:w="20" w:type="dxa"/>
              <w:left w:w="100" w:type="dxa"/>
              <w:bottom w:w="20" w:type="dxa"/>
              <w:right w:w="100" w:type="dxa"/>
            </w:tcMar>
          </w:tcPr>
          <w:p w14:paraId="3B63CE46" w14:textId="77777777" w:rsidR="00533209" w:rsidRDefault="00533209" w:rsidP="00247E03">
            <w:pPr>
              <w:spacing w:line="240" w:lineRule="auto"/>
              <w:rPr>
                <w:b/>
                <w:sz w:val="20"/>
                <w:szCs w:val="20"/>
              </w:rPr>
            </w:pPr>
          </w:p>
        </w:tc>
        <w:tc>
          <w:tcPr>
            <w:tcW w:w="510" w:type="dxa"/>
            <w:tcMar>
              <w:top w:w="20" w:type="dxa"/>
              <w:left w:w="100" w:type="dxa"/>
              <w:bottom w:w="20" w:type="dxa"/>
              <w:right w:w="100" w:type="dxa"/>
            </w:tcMar>
          </w:tcPr>
          <w:p w14:paraId="7EED1823" w14:textId="77777777" w:rsidR="00533209" w:rsidRDefault="00533209" w:rsidP="00247E03">
            <w:pPr>
              <w:spacing w:line="240" w:lineRule="auto"/>
              <w:jc w:val="center"/>
              <w:rPr>
                <w:b/>
                <w:sz w:val="20"/>
                <w:szCs w:val="20"/>
              </w:rPr>
            </w:pPr>
            <w:r>
              <w:rPr>
                <w:b/>
                <w:sz w:val="20"/>
                <w:szCs w:val="20"/>
              </w:rPr>
              <w:t>x</w:t>
            </w:r>
          </w:p>
        </w:tc>
        <w:tc>
          <w:tcPr>
            <w:tcW w:w="7260" w:type="dxa"/>
            <w:tcMar>
              <w:top w:w="20" w:type="dxa"/>
              <w:left w:w="100" w:type="dxa"/>
              <w:bottom w:w="20" w:type="dxa"/>
              <w:right w:w="100" w:type="dxa"/>
            </w:tcMar>
            <w:vAlign w:val="bottom"/>
          </w:tcPr>
          <w:p w14:paraId="68C3E635" w14:textId="77777777" w:rsidR="00533209" w:rsidRDefault="00533209" w:rsidP="00247E03">
            <w:pPr>
              <w:spacing w:line="240" w:lineRule="auto"/>
              <w:jc w:val="both"/>
              <w:rPr>
                <w:sz w:val="20"/>
                <w:szCs w:val="20"/>
              </w:rPr>
            </w:pPr>
            <w:r>
              <w:rPr>
                <w:sz w:val="20"/>
                <w:szCs w:val="20"/>
              </w:rPr>
              <w:t>Pasākumam nav vai ir paredzama nenozīmīga ietekme uz vides mērķiem, kas saistīts ar pasākuma tiešo un primāro netiešo ietekmi visā tā dzīves ciklā, ņemot vērā tā raksturu, un tādējādi tas tiek uzskatīts par atbilstīgu NBK attiecībā uz attiecīgo mērķi.</w:t>
            </w:r>
          </w:p>
        </w:tc>
      </w:tr>
      <w:tr w:rsidR="00533209" w14:paraId="7498B2BF" w14:textId="77777777" w:rsidTr="00533209">
        <w:trPr>
          <w:trHeight w:val="835"/>
        </w:trPr>
        <w:tc>
          <w:tcPr>
            <w:tcW w:w="2325" w:type="dxa"/>
            <w:tcMar>
              <w:top w:w="20" w:type="dxa"/>
              <w:left w:w="100" w:type="dxa"/>
              <w:bottom w:w="20" w:type="dxa"/>
              <w:right w:w="100" w:type="dxa"/>
            </w:tcMar>
          </w:tcPr>
          <w:p w14:paraId="05FBACC6" w14:textId="77777777" w:rsidR="00533209" w:rsidRDefault="00533209" w:rsidP="00247E03">
            <w:pPr>
              <w:spacing w:line="240" w:lineRule="auto"/>
              <w:jc w:val="both"/>
              <w:rPr>
                <w:b/>
                <w:sz w:val="20"/>
                <w:szCs w:val="20"/>
              </w:rPr>
            </w:pPr>
            <w:r>
              <w:rPr>
                <w:b/>
                <w:sz w:val="20"/>
                <w:szCs w:val="20"/>
              </w:rPr>
              <w:t>Bioloģiskās daudzveidības un ekosistēmu aizsardzība un atjaunošana</w:t>
            </w:r>
          </w:p>
        </w:tc>
        <w:tc>
          <w:tcPr>
            <w:tcW w:w="480" w:type="dxa"/>
            <w:tcMar>
              <w:top w:w="20" w:type="dxa"/>
              <w:left w:w="100" w:type="dxa"/>
              <w:bottom w:w="20" w:type="dxa"/>
              <w:right w:w="100" w:type="dxa"/>
            </w:tcMar>
          </w:tcPr>
          <w:p w14:paraId="231FC8FA" w14:textId="77777777" w:rsidR="00533209" w:rsidRDefault="00533209" w:rsidP="00247E03">
            <w:pPr>
              <w:spacing w:line="240" w:lineRule="auto"/>
              <w:rPr>
                <w:b/>
                <w:sz w:val="20"/>
                <w:szCs w:val="20"/>
              </w:rPr>
            </w:pPr>
          </w:p>
        </w:tc>
        <w:tc>
          <w:tcPr>
            <w:tcW w:w="510" w:type="dxa"/>
            <w:tcMar>
              <w:top w:w="20" w:type="dxa"/>
              <w:left w:w="100" w:type="dxa"/>
              <w:bottom w:w="20" w:type="dxa"/>
              <w:right w:w="100" w:type="dxa"/>
            </w:tcMar>
          </w:tcPr>
          <w:p w14:paraId="156DD645" w14:textId="77777777" w:rsidR="00533209" w:rsidRDefault="00533209" w:rsidP="00247E03">
            <w:pPr>
              <w:spacing w:line="240" w:lineRule="auto"/>
              <w:jc w:val="center"/>
              <w:rPr>
                <w:b/>
                <w:sz w:val="20"/>
                <w:szCs w:val="20"/>
              </w:rPr>
            </w:pPr>
            <w:r>
              <w:rPr>
                <w:b/>
                <w:sz w:val="20"/>
                <w:szCs w:val="20"/>
              </w:rPr>
              <w:t>x</w:t>
            </w:r>
          </w:p>
        </w:tc>
        <w:tc>
          <w:tcPr>
            <w:tcW w:w="7260" w:type="dxa"/>
            <w:tcMar>
              <w:top w:w="20" w:type="dxa"/>
              <w:left w:w="100" w:type="dxa"/>
              <w:bottom w:w="20" w:type="dxa"/>
              <w:right w:w="100" w:type="dxa"/>
            </w:tcMar>
            <w:vAlign w:val="bottom"/>
          </w:tcPr>
          <w:p w14:paraId="31C1D86E" w14:textId="77777777" w:rsidR="00533209" w:rsidRDefault="00533209" w:rsidP="00247E03">
            <w:pPr>
              <w:spacing w:line="240" w:lineRule="auto"/>
              <w:jc w:val="both"/>
              <w:rPr>
                <w:sz w:val="20"/>
                <w:szCs w:val="20"/>
              </w:rPr>
            </w:pPr>
            <w:r>
              <w:rPr>
                <w:sz w:val="20"/>
                <w:szCs w:val="20"/>
              </w:rPr>
              <w:t>Ņemot vērā gan tiešo, gan primāro netiešo ietekmi visā aprites ciklā, pasākuma atbalstītās darbības paredzamā ietekme uz šo vides mērķi ir nebūtiska, tādējādi tas tiek uzskatīts par atbilstīgu NBK attiecībā uz attiecīgo mērķi.</w:t>
            </w:r>
          </w:p>
        </w:tc>
      </w:tr>
    </w:tbl>
    <w:p w14:paraId="210E51D5" w14:textId="77777777" w:rsidR="00533209" w:rsidRDefault="00533209" w:rsidP="00533209">
      <w:pPr>
        <w:spacing w:line="240" w:lineRule="auto"/>
        <w:rPr>
          <w:b/>
          <w:sz w:val="20"/>
          <w:szCs w:val="20"/>
        </w:rPr>
      </w:pPr>
    </w:p>
    <w:p w14:paraId="3D662960" w14:textId="77777777" w:rsidR="00533209" w:rsidRDefault="00533209" w:rsidP="00533209">
      <w:pPr>
        <w:spacing w:line="240" w:lineRule="auto"/>
        <w:rPr>
          <w:b/>
          <w:sz w:val="20"/>
          <w:szCs w:val="20"/>
        </w:rPr>
      </w:pPr>
      <w:r>
        <w:rPr>
          <w:b/>
          <w:sz w:val="20"/>
          <w:szCs w:val="20"/>
        </w:rPr>
        <w:t>Novērtējuma 2.daļa</w:t>
      </w:r>
    </w:p>
    <w:tbl>
      <w:tblPr>
        <w:tblStyle w:val="af0"/>
        <w:tblW w:w="10560"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2625"/>
        <w:gridCol w:w="510"/>
        <w:gridCol w:w="7425"/>
      </w:tblGrid>
      <w:tr w:rsidR="00533209" w14:paraId="73D490DF" w14:textId="77777777" w:rsidTr="00533209">
        <w:trPr>
          <w:trHeight w:val="525"/>
        </w:trPr>
        <w:tc>
          <w:tcPr>
            <w:tcW w:w="2625" w:type="dxa"/>
            <w:shd w:val="clear" w:color="auto" w:fill="C5E0B3"/>
            <w:tcMar>
              <w:top w:w="20" w:type="dxa"/>
              <w:left w:w="100" w:type="dxa"/>
              <w:bottom w:w="20" w:type="dxa"/>
              <w:right w:w="100" w:type="dxa"/>
            </w:tcMar>
          </w:tcPr>
          <w:p w14:paraId="134E2F47" w14:textId="77777777" w:rsidR="00533209" w:rsidRDefault="00533209" w:rsidP="00323F0D">
            <w:pPr>
              <w:spacing w:line="240" w:lineRule="auto"/>
              <w:jc w:val="center"/>
              <w:rPr>
                <w:b/>
                <w:sz w:val="20"/>
                <w:szCs w:val="20"/>
              </w:rPr>
            </w:pPr>
            <w:r>
              <w:rPr>
                <w:b/>
                <w:sz w:val="20"/>
                <w:szCs w:val="20"/>
              </w:rPr>
              <w:t>Jautājums</w:t>
            </w:r>
          </w:p>
        </w:tc>
        <w:tc>
          <w:tcPr>
            <w:tcW w:w="510" w:type="dxa"/>
            <w:shd w:val="clear" w:color="auto" w:fill="C5E0B3"/>
            <w:tcMar>
              <w:top w:w="20" w:type="dxa"/>
              <w:left w:w="100" w:type="dxa"/>
              <w:bottom w:w="20" w:type="dxa"/>
              <w:right w:w="100" w:type="dxa"/>
            </w:tcMar>
          </w:tcPr>
          <w:p w14:paraId="397883BF" w14:textId="77777777" w:rsidR="00533209" w:rsidRDefault="00533209" w:rsidP="00323F0D">
            <w:pPr>
              <w:spacing w:line="240" w:lineRule="auto"/>
              <w:jc w:val="center"/>
              <w:rPr>
                <w:b/>
                <w:sz w:val="20"/>
                <w:szCs w:val="20"/>
              </w:rPr>
            </w:pPr>
            <w:r>
              <w:rPr>
                <w:b/>
                <w:sz w:val="20"/>
                <w:szCs w:val="20"/>
              </w:rPr>
              <w:t>NĒ</w:t>
            </w:r>
          </w:p>
        </w:tc>
        <w:tc>
          <w:tcPr>
            <w:tcW w:w="7425" w:type="dxa"/>
            <w:shd w:val="clear" w:color="auto" w:fill="C5E0B3"/>
            <w:tcMar>
              <w:top w:w="20" w:type="dxa"/>
              <w:left w:w="100" w:type="dxa"/>
              <w:bottom w:w="20" w:type="dxa"/>
              <w:right w:w="100" w:type="dxa"/>
            </w:tcMar>
          </w:tcPr>
          <w:p w14:paraId="5F62FEC4" w14:textId="77777777" w:rsidR="00533209" w:rsidRDefault="00533209" w:rsidP="00323F0D">
            <w:pPr>
              <w:spacing w:line="240" w:lineRule="auto"/>
              <w:jc w:val="center"/>
              <w:rPr>
                <w:b/>
                <w:sz w:val="20"/>
                <w:szCs w:val="20"/>
              </w:rPr>
            </w:pPr>
            <w:r>
              <w:rPr>
                <w:b/>
                <w:sz w:val="20"/>
                <w:szCs w:val="20"/>
              </w:rPr>
              <w:t xml:space="preserve">Detalizēts </w:t>
            </w:r>
            <w:proofErr w:type="spellStart"/>
            <w:r>
              <w:rPr>
                <w:b/>
                <w:sz w:val="20"/>
                <w:szCs w:val="20"/>
              </w:rPr>
              <w:t>izvērtējums</w:t>
            </w:r>
            <w:proofErr w:type="spellEnd"/>
            <w:r>
              <w:rPr>
                <w:b/>
                <w:sz w:val="20"/>
                <w:szCs w:val="20"/>
              </w:rPr>
              <w:t xml:space="preserve"> (ja novērtējuma 1.daļā novērtējums ir “JĀ”)</w:t>
            </w:r>
          </w:p>
        </w:tc>
      </w:tr>
      <w:tr w:rsidR="00533209" w14:paraId="4855AD80" w14:textId="77777777" w:rsidTr="00533209">
        <w:trPr>
          <w:trHeight w:val="1033"/>
        </w:trPr>
        <w:tc>
          <w:tcPr>
            <w:tcW w:w="2625" w:type="dxa"/>
            <w:shd w:val="clear" w:color="auto" w:fill="FFFFFF"/>
            <w:tcMar>
              <w:top w:w="20" w:type="dxa"/>
              <w:left w:w="100" w:type="dxa"/>
              <w:bottom w:w="20" w:type="dxa"/>
              <w:right w:w="100" w:type="dxa"/>
            </w:tcMar>
          </w:tcPr>
          <w:p w14:paraId="3CC6BBE4" w14:textId="77777777" w:rsidR="00533209" w:rsidRDefault="00533209" w:rsidP="00323F0D">
            <w:pPr>
              <w:spacing w:line="240" w:lineRule="auto"/>
              <w:jc w:val="both"/>
              <w:rPr>
                <w:sz w:val="20"/>
                <w:szCs w:val="20"/>
              </w:rPr>
            </w:pPr>
            <w:r>
              <w:rPr>
                <w:b/>
                <w:sz w:val="20"/>
                <w:szCs w:val="20"/>
              </w:rPr>
              <w:t xml:space="preserve">Klimata pārmaiņu mazināšana. </w:t>
            </w:r>
            <w:r>
              <w:rPr>
                <w:sz w:val="20"/>
                <w:szCs w:val="20"/>
              </w:rPr>
              <w:t>Vai paredzams, ka pasākums radīs ievērojamas SEG emisijas?</w:t>
            </w:r>
          </w:p>
        </w:tc>
        <w:tc>
          <w:tcPr>
            <w:tcW w:w="510" w:type="dxa"/>
            <w:shd w:val="clear" w:color="auto" w:fill="FFFFFF"/>
            <w:tcMar>
              <w:top w:w="20" w:type="dxa"/>
              <w:left w:w="100" w:type="dxa"/>
              <w:bottom w:w="20" w:type="dxa"/>
              <w:right w:w="100" w:type="dxa"/>
            </w:tcMar>
          </w:tcPr>
          <w:p w14:paraId="2F22DD7D" w14:textId="77777777" w:rsidR="00533209" w:rsidRDefault="00533209" w:rsidP="00323F0D">
            <w:pPr>
              <w:spacing w:line="240" w:lineRule="auto"/>
              <w:rPr>
                <w:b/>
                <w:sz w:val="20"/>
                <w:szCs w:val="20"/>
              </w:rPr>
            </w:pPr>
          </w:p>
        </w:tc>
        <w:tc>
          <w:tcPr>
            <w:tcW w:w="7425" w:type="dxa"/>
            <w:tcMar>
              <w:top w:w="20" w:type="dxa"/>
              <w:left w:w="100" w:type="dxa"/>
              <w:bottom w:w="20" w:type="dxa"/>
              <w:right w:w="100" w:type="dxa"/>
            </w:tcMar>
          </w:tcPr>
          <w:p w14:paraId="6797DF12" w14:textId="77777777" w:rsidR="00533209" w:rsidRDefault="00533209" w:rsidP="00323F0D">
            <w:pPr>
              <w:spacing w:before="240" w:after="240" w:line="276" w:lineRule="auto"/>
              <w:jc w:val="both"/>
              <w:rPr>
                <w:sz w:val="20"/>
                <w:szCs w:val="20"/>
              </w:rPr>
            </w:pPr>
            <w:r>
              <w:rPr>
                <w:sz w:val="20"/>
                <w:szCs w:val="20"/>
              </w:rPr>
              <w:t>Skat. novērtējuma 1.daļu.</w:t>
            </w:r>
          </w:p>
        </w:tc>
      </w:tr>
      <w:tr w:rsidR="00533209" w14:paraId="6F5FFE44" w14:textId="77777777" w:rsidTr="00533209">
        <w:trPr>
          <w:trHeight w:val="2032"/>
        </w:trPr>
        <w:tc>
          <w:tcPr>
            <w:tcW w:w="2625" w:type="dxa"/>
            <w:shd w:val="clear" w:color="auto" w:fill="FFFFFF"/>
            <w:tcMar>
              <w:top w:w="20" w:type="dxa"/>
              <w:left w:w="100" w:type="dxa"/>
              <w:bottom w:w="20" w:type="dxa"/>
              <w:right w:w="100" w:type="dxa"/>
            </w:tcMar>
          </w:tcPr>
          <w:p w14:paraId="19EDD9EC" w14:textId="77777777" w:rsidR="00533209" w:rsidRDefault="00533209" w:rsidP="00323F0D">
            <w:pPr>
              <w:spacing w:line="240" w:lineRule="auto"/>
              <w:rPr>
                <w:b/>
                <w:sz w:val="20"/>
                <w:szCs w:val="20"/>
              </w:rPr>
            </w:pPr>
            <w:r>
              <w:rPr>
                <w:b/>
                <w:sz w:val="20"/>
                <w:szCs w:val="20"/>
              </w:rPr>
              <w:lastRenderedPageBreak/>
              <w:t xml:space="preserve">Pielāgošanās klimata pārmaiņām. </w:t>
            </w:r>
          </w:p>
          <w:p w14:paraId="54CE0514" w14:textId="77777777" w:rsidR="00533209" w:rsidRDefault="00533209" w:rsidP="00323F0D">
            <w:pPr>
              <w:spacing w:line="240" w:lineRule="auto"/>
              <w:jc w:val="both"/>
              <w:rPr>
                <w:sz w:val="20"/>
                <w:szCs w:val="20"/>
              </w:rPr>
            </w:pPr>
            <w:r>
              <w:rPr>
                <w:sz w:val="20"/>
                <w:szCs w:val="20"/>
              </w:rPr>
              <w:t>Vai paredzams, ka pasākums izraisīs pašreizējā klimata un gaidāmā nākotnes klimata negatīvās ietekmes palielināšanos uz pašu pasākumu vai uz cilvēku, dabu vai aktīviem?</w:t>
            </w:r>
          </w:p>
        </w:tc>
        <w:tc>
          <w:tcPr>
            <w:tcW w:w="510" w:type="dxa"/>
            <w:shd w:val="clear" w:color="auto" w:fill="FFFFFF"/>
            <w:tcMar>
              <w:top w:w="20" w:type="dxa"/>
              <w:left w:w="100" w:type="dxa"/>
              <w:bottom w:w="20" w:type="dxa"/>
              <w:right w:w="100" w:type="dxa"/>
            </w:tcMar>
          </w:tcPr>
          <w:p w14:paraId="7EA5C201" w14:textId="77777777" w:rsidR="00533209" w:rsidRDefault="00533209" w:rsidP="00323F0D">
            <w:pPr>
              <w:spacing w:line="240" w:lineRule="auto"/>
              <w:rPr>
                <w:b/>
                <w:sz w:val="20"/>
                <w:szCs w:val="20"/>
              </w:rPr>
            </w:pPr>
          </w:p>
        </w:tc>
        <w:tc>
          <w:tcPr>
            <w:tcW w:w="7425" w:type="dxa"/>
            <w:tcMar>
              <w:top w:w="20" w:type="dxa"/>
              <w:left w:w="100" w:type="dxa"/>
              <w:bottom w:w="20" w:type="dxa"/>
              <w:right w:w="100" w:type="dxa"/>
            </w:tcMar>
          </w:tcPr>
          <w:p w14:paraId="3810963A" w14:textId="77777777" w:rsidR="00533209" w:rsidRDefault="00533209" w:rsidP="00323F0D">
            <w:pPr>
              <w:spacing w:before="240" w:after="240" w:line="276" w:lineRule="auto"/>
              <w:jc w:val="both"/>
              <w:rPr>
                <w:sz w:val="20"/>
                <w:szCs w:val="20"/>
              </w:rPr>
            </w:pPr>
            <w:r>
              <w:rPr>
                <w:sz w:val="20"/>
                <w:szCs w:val="20"/>
              </w:rPr>
              <w:t>Skat. novērtējuma 1.daļu.</w:t>
            </w:r>
          </w:p>
        </w:tc>
      </w:tr>
      <w:tr w:rsidR="00533209" w14:paraId="30A82E33" w14:textId="77777777" w:rsidTr="00533209">
        <w:trPr>
          <w:trHeight w:val="2797"/>
        </w:trPr>
        <w:tc>
          <w:tcPr>
            <w:tcW w:w="2625" w:type="dxa"/>
            <w:shd w:val="clear" w:color="auto" w:fill="FFFFFF"/>
            <w:tcMar>
              <w:top w:w="20" w:type="dxa"/>
              <w:left w:w="100" w:type="dxa"/>
              <w:bottom w:w="20" w:type="dxa"/>
              <w:right w:w="100" w:type="dxa"/>
            </w:tcMar>
          </w:tcPr>
          <w:p w14:paraId="50AA76AE" w14:textId="77777777" w:rsidR="00533209" w:rsidRDefault="00533209" w:rsidP="00323F0D">
            <w:pPr>
              <w:spacing w:line="240" w:lineRule="auto"/>
              <w:jc w:val="both"/>
              <w:rPr>
                <w:b/>
                <w:sz w:val="20"/>
                <w:szCs w:val="20"/>
              </w:rPr>
            </w:pPr>
            <w:r>
              <w:rPr>
                <w:b/>
                <w:sz w:val="20"/>
                <w:szCs w:val="20"/>
              </w:rPr>
              <w:t xml:space="preserve">Ilgtspējīga ūdens un jūras resursu izmantošana un aizsardzība. </w:t>
            </w:r>
          </w:p>
          <w:p w14:paraId="3697D458" w14:textId="77777777" w:rsidR="00533209" w:rsidRDefault="00533209" w:rsidP="00323F0D">
            <w:pPr>
              <w:spacing w:line="240" w:lineRule="auto"/>
              <w:jc w:val="both"/>
              <w:rPr>
                <w:b/>
                <w:sz w:val="20"/>
                <w:szCs w:val="20"/>
              </w:rPr>
            </w:pPr>
            <w:r>
              <w:rPr>
                <w:b/>
                <w:sz w:val="20"/>
                <w:szCs w:val="20"/>
              </w:rPr>
              <w:t xml:space="preserve">Vai paredzams, ka pasākums kaitēs: </w:t>
            </w:r>
          </w:p>
          <w:p w14:paraId="79B9F35B" w14:textId="77777777" w:rsidR="00533209" w:rsidRDefault="00533209" w:rsidP="00323F0D">
            <w:pPr>
              <w:spacing w:line="240" w:lineRule="auto"/>
              <w:jc w:val="both"/>
              <w:rPr>
                <w:sz w:val="20"/>
                <w:szCs w:val="20"/>
              </w:rPr>
            </w:pPr>
            <w:r>
              <w:rPr>
                <w:sz w:val="20"/>
                <w:szCs w:val="20"/>
              </w:rPr>
              <w:t xml:space="preserve">(i) ūdensobjektu labam stāvoklim vai to labam ekoloģiskajam potenciālam, ieskaitot virszemes ūdeņus un gruntsūdeņus; vai </w:t>
            </w:r>
          </w:p>
          <w:p w14:paraId="6DB9DD85" w14:textId="77777777" w:rsidR="00533209" w:rsidRDefault="00533209" w:rsidP="00323F0D">
            <w:pPr>
              <w:spacing w:line="240" w:lineRule="auto"/>
              <w:jc w:val="both"/>
              <w:rPr>
                <w:sz w:val="20"/>
                <w:szCs w:val="20"/>
              </w:rPr>
            </w:pPr>
            <w:r>
              <w:rPr>
                <w:sz w:val="20"/>
                <w:szCs w:val="20"/>
              </w:rPr>
              <w:t>(ii) jūras ūdeņu labam vides stāvoklim?</w:t>
            </w:r>
          </w:p>
        </w:tc>
        <w:tc>
          <w:tcPr>
            <w:tcW w:w="510" w:type="dxa"/>
            <w:shd w:val="clear" w:color="auto" w:fill="FFFFFF"/>
            <w:tcMar>
              <w:top w:w="20" w:type="dxa"/>
              <w:left w:w="100" w:type="dxa"/>
              <w:bottom w:w="20" w:type="dxa"/>
              <w:right w:w="100" w:type="dxa"/>
            </w:tcMar>
          </w:tcPr>
          <w:p w14:paraId="0E743413" w14:textId="77777777" w:rsidR="00533209" w:rsidRDefault="00533209" w:rsidP="00323F0D">
            <w:pPr>
              <w:spacing w:line="240" w:lineRule="auto"/>
              <w:rPr>
                <w:b/>
                <w:sz w:val="20"/>
                <w:szCs w:val="20"/>
              </w:rPr>
            </w:pPr>
          </w:p>
        </w:tc>
        <w:tc>
          <w:tcPr>
            <w:tcW w:w="7425" w:type="dxa"/>
            <w:tcMar>
              <w:top w:w="20" w:type="dxa"/>
              <w:left w:w="100" w:type="dxa"/>
              <w:bottom w:w="20" w:type="dxa"/>
              <w:right w:w="100" w:type="dxa"/>
            </w:tcMar>
          </w:tcPr>
          <w:p w14:paraId="1AFE8104" w14:textId="77777777" w:rsidR="00533209" w:rsidRDefault="00533209" w:rsidP="00323F0D">
            <w:pPr>
              <w:spacing w:before="240" w:after="240" w:line="276" w:lineRule="auto"/>
              <w:jc w:val="both"/>
              <w:rPr>
                <w:sz w:val="20"/>
                <w:szCs w:val="20"/>
              </w:rPr>
            </w:pPr>
            <w:r>
              <w:rPr>
                <w:sz w:val="20"/>
                <w:szCs w:val="20"/>
              </w:rPr>
              <w:t>Skat. novērtējuma 1.daļu.</w:t>
            </w:r>
          </w:p>
        </w:tc>
      </w:tr>
      <w:tr w:rsidR="00533209" w14:paraId="59265825" w14:textId="77777777" w:rsidTr="00533209">
        <w:trPr>
          <w:trHeight w:val="5020"/>
        </w:trPr>
        <w:tc>
          <w:tcPr>
            <w:tcW w:w="2625" w:type="dxa"/>
            <w:tcMar>
              <w:top w:w="20" w:type="dxa"/>
              <w:left w:w="100" w:type="dxa"/>
              <w:bottom w:w="20" w:type="dxa"/>
              <w:right w:w="100" w:type="dxa"/>
            </w:tcMar>
          </w:tcPr>
          <w:p w14:paraId="3F0139C3" w14:textId="77777777" w:rsidR="00533209" w:rsidRDefault="00533209" w:rsidP="00323F0D">
            <w:pPr>
              <w:spacing w:line="240" w:lineRule="auto"/>
              <w:jc w:val="both"/>
              <w:rPr>
                <w:b/>
                <w:sz w:val="20"/>
                <w:szCs w:val="20"/>
              </w:rPr>
            </w:pPr>
            <w:r>
              <w:rPr>
                <w:b/>
                <w:sz w:val="20"/>
                <w:szCs w:val="20"/>
              </w:rPr>
              <w:t xml:space="preserve">Pāreja uz aprites ekonomiku, ieskaitot atkritumu rašanās novēršanu un to </w:t>
            </w:r>
            <w:proofErr w:type="spellStart"/>
            <w:r>
              <w:rPr>
                <w:b/>
                <w:sz w:val="20"/>
                <w:szCs w:val="20"/>
              </w:rPr>
              <w:t>reciklēšanu</w:t>
            </w:r>
            <w:proofErr w:type="spellEnd"/>
            <w:r>
              <w:rPr>
                <w:b/>
                <w:sz w:val="20"/>
                <w:szCs w:val="20"/>
              </w:rPr>
              <w:t xml:space="preserve">. </w:t>
            </w:r>
          </w:p>
          <w:p w14:paraId="2D11C283" w14:textId="77777777" w:rsidR="00533209" w:rsidRDefault="00533209" w:rsidP="00323F0D">
            <w:pPr>
              <w:spacing w:line="240" w:lineRule="auto"/>
              <w:jc w:val="both"/>
              <w:rPr>
                <w:b/>
                <w:sz w:val="20"/>
                <w:szCs w:val="20"/>
              </w:rPr>
            </w:pPr>
            <w:r>
              <w:rPr>
                <w:b/>
                <w:sz w:val="20"/>
                <w:szCs w:val="20"/>
              </w:rPr>
              <w:t xml:space="preserve">Vai paredzams, ka pasākums: </w:t>
            </w:r>
          </w:p>
          <w:p w14:paraId="1D5FD8CF" w14:textId="77777777" w:rsidR="00533209" w:rsidRDefault="00533209" w:rsidP="00323F0D">
            <w:pPr>
              <w:spacing w:line="240" w:lineRule="auto"/>
              <w:jc w:val="both"/>
              <w:rPr>
                <w:sz w:val="20"/>
                <w:szCs w:val="20"/>
              </w:rPr>
            </w:pPr>
            <w:r>
              <w:rPr>
                <w:sz w:val="20"/>
                <w:szCs w:val="20"/>
              </w:rPr>
              <w:t xml:space="preserve">(i) būtiski palielinās atkritumu rašanos, </w:t>
            </w:r>
            <w:proofErr w:type="spellStart"/>
            <w:r>
              <w:rPr>
                <w:sz w:val="20"/>
                <w:szCs w:val="20"/>
              </w:rPr>
              <w:t>incinerāciju</w:t>
            </w:r>
            <w:proofErr w:type="spellEnd"/>
            <w:r>
              <w:rPr>
                <w:sz w:val="20"/>
                <w:szCs w:val="20"/>
              </w:rPr>
              <w:t xml:space="preserve"> vai apglabāšanu, izņemot nepārstrādājamu bīstamo atkritumu </w:t>
            </w:r>
            <w:proofErr w:type="spellStart"/>
            <w:r>
              <w:rPr>
                <w:sz w:val="20"/>
                <w:szCs w:val="20"/>
              </w:rPr>
              <w:t>incinerāciju</w:t>
            </w:r>
            <w:proofErr w:type="spellEnd"/>
            <w:r>
              <w:rPr>
                <w:sz w:val="20"/>
                <w:szCs w:val="20"/>
              </w:rPr>
              <w:t>; vai</w:t>
            </w:r>
          </w:p>
          <w:p w14:paraId="010D400A" w14:textId="77777777" w:rsidR="00533209" w:rsidRDefault="00533209" w:rsidP="00323F0D">
            <w:pPr>
              <w:spacing w:line="240" w:lineRule="auto"/>
              <w:jc w:val="both"/>
              <w:rPr>
                <w:sz w:val="20"/>
                <w:szCs w:val="20"/>
              </w:rPr>
            </w:pPr>
            <w:r>
              <w:rPr>
                <w:sz w:val="20"/>
                <w:szCs w:val="20"/>
              </w:rPr>
              <w:t xml:space="preserve">(ii) dabas resursu tiešā vai netiešā izmantošanā jebkurā to aprites cikla posmā radīs būtisku </w:t>
            </w:r>
            <w:proofErr w:type="spellStart"/>
            <w:r>
              <w:rPr>
                <w:sz w:val="20"/>
                <w:szCs w:val="20"/>
              </w:rPr>
              <w:t>neefektivitāti</w:t>
            </w:r>
            <w:proofErr w:type="spellEnd"/>
            <w:r>
              <w:rPr>
                <w:sz w:val="20"/>
                <w:szCs w:val="20"/>
              </w:rPr>
              <w:t>, kas netiek samazināta līdz minimumam ar atbilstošiem pasākumiem; vai</w:t>
            </w:r>
          </w:p>
          <w:p w14:paraId="745E7401" w14:textId="77777777" w:rsidR="00533209" w:rsidRDefault="00533209" w:rsidP="00323F0D">
            <w:pPr>
              <w:spacing w:line="240" w:lineRule="auto"/>
              <w:jc w:val="both"/>
              <w:rPr>
                <w:sz w:val="20"/>
                <w:szCs w:val="20"/>
              </w:rPr>
            </w:pPr>
            <w:r>
              <w:rPr>
                <w:sz w:val="20"/>
                <w:szCs w:val="20"/>
              </w:rPr>
              <w:t>(iii) radīs būtisku un ilgtermiņa kaitējumu videi attiecībā uz aprites ekonomiku?</w:t>
            </w:r>
          </w:p>
        </w:tc>
        <w:tc>
          <w:tcPr>
            <w:tcW w:w="510" w:type="dxa"/>
            <w:shd w:val="clear" w:color="auto" w:fill="FFFFFF"/>
            <w:tcMar>
              <w:top w:w="20" w:type="dxa"/>
              <w:left w:w="100" w:type="dxa"/>
              <w:bottom w:w="20" w:type="dxa"/>
              <w:right w:w="100" w:type="dxa"/>
            </w:tcMar>
          </w:tcPr>
          <w:p w14:paraId="6695494A" w14:textId="77777777" w:rsidR="00533209" w:rsidRDefault="00533209" w:rsidP="00323F0D">
            <w:pPr>
              <w:spacing w:line="240" w:lineRule="auto"/>
              <w:rPr>
                <w:b/>
                <w:sz w:val="20"/>
                <w:szCs w:val="20"/>
              </w:rPr>
            </w:pPr>
          </w:p>
        </w:tc>
        <w:tc>
          <w:tcPr>
            <w:tcW w:w="7425" w:type="dxa"/>
            <w:tcMar>
              <w:top w:w="20" w:type="dxa"/>
              <w:left w:w="100" w:type="dxa"/>
              <w:bottom w:w="20" w:type="dxa"/>
              <w:right w:w="100" w:type="dxa"/>
            </w:tcMar>
          </w:tcPr>
          <w:p w14:paraId="08299C17" w14:textId="77777777" w:rsidR="00533209" w:rsidRDefault="00533209" w:rsidP="00323F0D">
            <w:pPr>
              <w:spacing w:before="240" w:after="240" w:line="276" w:lineRule="auto"/>
              <w:jc w:val="both"/>
              <w:rPr>
                <w:sz w:val="20"/>
                <w:szCs w:val="20"/>
              </w:rPr>
            </w:pPr>
            <w:r>
              <w:rPr>
                <w:sz w:val="20"/>
                <w:szCs w:val="20"/>
              </w:rPr>
              <w:t>Skat. novērtējuma 1.daļu.</w:t>
            </w:r>
          </w:p>
          <w:p w14:paraId="3F55C9AA" w14:textId="77777777" w:rsidR="00533209" w:rsidRDefault="00533209" w:rsidP="00323F0D">
            <w:pPr>
              <w:spacing w:before="240" w:after="240" w:line="276" w:lineRule="auto"/>
              <w:rPr>
                <w:sz w:val="20"/>
                <w:szCs w:val="20"/>
              </w:rPr>
            </w:pPr>
          </w:p>
        </w:tc>
      </w:tr>
      <w:tr w:rsidR="00533209" w14:paraId="6D84C535" w14:textId="77777777" w:rsidTr="00533209">
        <w:trPr>
          <w:trHeight w:val="1420"/>
        </w:trPr>
        <w:tc>
          <w:tcPr>
            <w:tcW w:w="2625" w:type="dxa"/>
            <w:tcMar>
              <w:top w:w="20" w:type="dxa"/>
              <w:left w:w="100" w:type="dxa"/>
              <w:bottom w:w="20" w:type="dxa"/>
              <w:right w:w="100" w:type="dxa"/>
            </w:tcMar>
          </w:tcPr>
          <w:p w14:paraId="2F107808" w14:textId="77777777" w:rsidR="00533209" w:rsidRDefault="00533209" w:rsidP="00323F0D">
            <w:pPr>
              <w:spacing w:line="240" w:lineRule="auto"/>
              <w:jc w:val="both"/>
              <w:rPr>
                <w:b/>
                <w:sz w:val="20"/>
                <w:szCs w:val="20"/>
              </w:rPr>
            </w:pPr>
            <w:r>
              <w:rPr>
                <w:b/>
                <w:sz w:val="20"/>
                <w:szCs w:val="20"/>
              </w:rPr>
              <w:t xml:space="preserve">Piesārņojuma novēršana un kontrole. </w:t>
            </w:r>
          </w:p>
          <w:p w14:paraId="25D996A9" w14:textId="77777777" w:rsidR="00533209" w:rsidRPr="00AD4ECC" w:rsidRDefault="00533209" w:rsidP="00323F0D">
            <w:pPr>
              <w:spacing w:line="240" w:lineRule="auto"/>
              <w:jc w:val="both"/>
              <w:rPr>
                <w:sz w:val="20"/>
                <w:szCs w:val="20"/>
              </w:rPr>
            </w:pPr>
            <w:r w:rsidRPr="00AD4ECC">
              <w:rPr>
                <w:sz w:val="20"/>
                <w:szCs w:val="20"/>
              </w:rPr>
              <w:t>Vai paredzams, ka pasākums ievērojami palielinās piesārņotāju emisijas gaisā, ūdenī vai zemē?</w:t>
            </w:r>
          </w:p>
        </w:tc>
        <w:tc>
          <w:tcPr>
            <w:tcW w:w="510" w:type="dxa"/>
            <w:shd w:val="clear" w:color="auto" w:fill="FFFFFF"/>
            <w:tcMar>
              <w:top w:w="20" w:type="dxa"/>
              <w:left w:w="100" w:type="dxa"/>
              <w:bottom w:w="20" w:type="dxa"/>
              <w:right w:w="100" w:type="dxa"/>
            </w:tcMar>
          </w:tcPr>
          <w:p w14:paraId="27759D60" w14:textId="77777777" w:rsidR="00533209" w:rsidRDefault="00533209" w:rsidP="00323F0D">
            <w:pPr>
              <w:spacing w:line="240" w:lineRule="auto"/>
              <w:rPr>
                <w:b/>
                <w:sz w:val="20"/>
                <w:szCs w:val="20"/>
              </w:rPr>
            </w:pPr>
          </w:p>
        </w:tc>
        <w:tc>
          <w:tcPr>
            <w:tcW w:w="7425" w:type="dxa"/>
            <w:tcMar>
              <w:top w:w="20" w:type="dxa"/>
              <w:left w:w="100" w:type="dxa"/>
              <w:bottom w:w="20" w:type="dxa"/>
              <w:right w:w="100" w:type="dxa"/>
            </w:tcMar>
          </w:tcPr>
          <w:p w14:paraId="66232664" w14:textId="77777777" w:rsidR="00533209" w:rsidRDefault="00533209" w:rsidP="00323F0D">
            <w:pPr>
              <w:spacing w:before="240" w:after="240" w:line="276" w:lineRule="auto"/>
              <w:jc w:val="both"/>
              <w:rPr>
                <w:sz w:val="20"/>
                <w:szCs w:val="20"/>
              </w:rPr>
            </w:pPr>
            <w:r>
              <w:rPr>
                <w:sz w:val="20"/>
                <w:szCs w:val="20"/>
              </w:rPr>
              <w:t>Skat. novērtējuma 1.daļu.</w:t>
            </w:r>
          </w:p>
        </w:tc>
      </w:tr>
      <w:tr w:rsidR="00533209" w14:paraId="3EE0DBEE" w14:textId="77777777" w:rsidTr="00533209">
        <w:trPr>
          <w:trHeight w:val="2320"/>
        </w:trPr>
        <w:tc>
          <w:tcPr>
            <w:tcW w:w="2625" w:type="dxa"/>
            <w:tcMar>
              <w:top w:w="20" w:type="dxa"/>
              <w:left w:w="100" w:type="dxa"/>
              <w:bottom w:w="20" w:type="dxa"/>
              <w:right w:w="100" w:type="dxa"/>
            </w:tcMar>
          </w:tcPr>
          <w:p w14:paraId="198E7E43" w14:textId="77777777" w:rsidR="00533209" w:rsidRDefault="00533209" w:rsidP="00323F0D">
            <w:pPr>
              <w:spacing w:line="240" w:lineRule="auto"/>
              <w:jc w:val="both"/>
              <w:rPr>
                <w:b/>
                <w:sz w:val="20"/>
                <w:szCs w:val="20"/>
              </w:rPr>
            </w:pPr>
            <w:r>
              <w:rPr>
                <w:b/>
                <w:sz w:val="20"/>
                <w:szCs w:val="20"/>
              </w:rPr>
              <w:t xml:space="preserve">Bioloģiskās daudzveidības un ekosistēmu aizsardzība un atjaunošana. </w:t>
            </w:r>
          </w:p>
          <w:p w14:paraId="0A8E9B7F" w14:textId="77777777" w:rsidR="00533209" w:rsidRPr="00AD4ECC" w:rsidRDefault="00533209" w:rsidP="00323F0D">
            <w:pPr>
              <w:spacing w:line="240" w:lineRule="auto"/>
              <w:jc w:val="both"/>
              <w:rPr>
                <w:sz w:val="20"/>
                <w:szCs w:val="20"/>
              </w:rPr>
            </w:pPr>
            <w:r w:rsidRPr="00AD4ECC">
              <w:rPr>
                <w:sz w:val="20"/>
                <w:szCs w:val="20"/>
              </w:rPr>
              <w:t>Vai paredzams, ka pasākums:</w:t>
            </w:r>
          </w:p>
          <w:p w14:paraId="1BF011BC" w14:textId="77777777" w:rsidR="00533209" w:rsidRDefault="00533209" w:rsidP="00323F0D">
            <w:pPr>
              <w:spacing w:line="240" w:lineRule="auto"/>
              <w:jc w:val="both"/>
              <w:rPr>
                <w:b/>
                <w:sz w:val="20"/>
                <w:szCs w:val="20"/>
              </w:rPr>
            </w:pPr>
            <w:r w:rsidRPr="00AD4ECC">
              <w:rPr>
                <w:sz w:val="20"/>
                <w:szCs w:val="20"/>
              </w:rPr>
              <w:t>(i) būtiski kaitēs ekosistēmu labam stāvoklim un noturībai; vai (ii) kaitēs dzīvotņu un sugu, tostarp Savienības nozīmes dzīvotņu un sugu, aizsardzības statusam?</w:t>
            </w:r>
          </w:p>
        </w:tc>
        <w:tc>
          <w:tcPr>
            <w:tcW w:w="510" w:type="dxa"/>
            <w:tcMar>
              <w:top w:w="20" w:type="dxa"/>
              <w:left w:w="100" w:type="dxa"/>
              <w:bottom w:w="20" w:type="dxa"/>
              <w:right w:w="100" w:type="dxa"/>
            </w:tcMar>
          </w:tcPr>
          <w:p w14:paraId="63E50E6B" w14:textId="77777777" w:rsidR="00533209" w:rsidRDefault="00533209" w:rsidP="00323F0D">
            <w:pPr>
              <w:spacing w:line="240" w:lineRule="auto"/>
              <w:rPr>
                <w:sz w:val="20"/>
                <w:szCs w:val="20"/>
              </w:rPr>
            </w:pPr>
          </w:p>
        </w:tc>
        <w:tc>
          <w:tcPr>
            <w:tcW w:w="7425" w:type="dxa"/>
            <w:tcMar>
              <w:top w:w="20" w:type="dxa"/>
              <w:left w:w="100" w:type="dxa"/>
              <w:bottom w:w="20" w:type="dxa"/>
              <w:right w:w="100" w:type="dxa"/>
            </w:tcMar>
          </w:tcPr>
          <w:p w14:paraId="656716C1" w14:textId="77777777" w:rsidR="00533209" w:rsidRDefault="00533209" w:rsidP="00323F0D">
            <w:pPr>
              <w:spacing w:before="240" w:after="240" w:line="276" w:lineRule="auto"/>
              <w:jc w:val="both"/>
              <w:rPr>
                <w:sz w:val="20"/>
                <w:szCs w:val="20"/>
              </w:rPr>
            </w:pPr>
            <w:r>
              <w:rPr>
                <w:sz w:val="20"/>
                <w:szCs w:val="20"/>
              </w:rPr>
              <w:t>Skat. novērtējuma 1.daļu.</w:t>
            </w:r>
          </w:p>
        </w:tc>
      </w:tr>
    </w:tbl>
    <w:p w14:paraId="53620FED" w14:textId="77777777" w:rsidR="00533209" w:rsidRDefault="00533209" w:rsidP="00533209">
      <w:pPr>
        <w:spacing w:before="240" w:after="240" w:line="240" w:lineRule="auto"/>
        <w:rPr>
          <w:b/>
          <w:sz w:val="20"/>
          <w:szCs w:val="20"/>
        </w:rPr>
      </w:pPr>
      <w:r>
        <w:rPr>
          <w:b/>
          <w:sz w:val="20"/>
          <w:szCs w:val="20"/>
        </w:rPr>
        <w:t xml:space="preserve"> </w:t>
      </w:r>
    </w:p>
    <w:p w14:paraId="7409E876" w14:textId="77777777" w:rsidR="00533209" w:rsidRDefault="00533209" w:rsidP="00533209">
      <w:pPr>
        <w:spacing w:line="240" w:lineRule="auto"/>
        <w:jc w:val="both"/>
        <w:rPr>
          <w:b/>
          <w:sz w:val="20"/>
          <w:szCs w:val="20"/>
        </w:rPr>
      </w:pPr>
    </w:p>
    <w:p w14:paraId="3B27F040" w14:textId="77777777" w:rsidR="00A7192A" w:rsidRPr="00D452E2" w:rsidRDefault="00A7192A" w:rsidP="00533209">
      <w:pPr>
        <w:pBdr>
          <w:top w:val="nil"/>
          <w:left w:val="nil"/>
          <w:bottom w:val="nil"/>
          <w:right w:val="nil"/>
          <w:between w:val="nil"/>
        </w:pBdr>
        <w:spacing w:line="240" w:lineRule="auto"/>
        <w:jc w:val="center"/>
        <w:rPr>
          <w:sz w:val="20"/>
          <w:szCs w:val="20"/>
        </w:rPr>
      </w:pPr>
    </w:p>
    <w:sectPr w:rsidR="00A7192A" w:rsidRPr="00D452E2">
      <w:pgSz w:w="11906" w:h="16838"/>
      <w:pgMar w:top="720" w:right="720" w:bottom="720" w:left="72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F202F" w14:textId="77777777" w:rsidR="00F11DBF" w:rsidRDefault="00F11DBF">
      <w:pPr>
        <w:spacing w:line="240" w:lineRule="auto"/>
      </w:pPr>
      <w:r>
        <w:separator/>
      </w:r>
    </w:p>
  </w:endnote>
  <w:endnote w:type="continuationSeparator" w:id="0">
    <w:p w14:paraId="45E387E1" w14:textId="77777777" w:rsidR="00F11DBF" w:rsidRDefault="00F11D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8AAFC" w14:textId="77777777" w:rsidR="00F11DBF" w:rsidRDefault="00F11DBF">
      <w:pPr>
        <w:spacing w:line="240" w:lineRule="auto"/>
      </w:pPr>
      <w:r>
        <w:separator/>
      </w:r>
    </w:p>
  </w:footnote>
  <w:footnote w:type="continuationSeparator" w:id="0">
    <w:p w14:paraId="06B09C81" w14:textId="77777777" w:rsidR="00F11DBF" w:rsidRDefault="00F11DB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92A"/>
    <w:rsid w:val="00036500"/>
    <w:rsid w:val="000569E6"/>
    <w:rsid w:val="000E6BCE"/>
    <w:rsid w:val="001C0EED"/>
    <w:rsid w:val="001D56E7"/>
    <w:rsid w:val="00212A7E"/>
    <w:rsid w:val="00247E03"/>
    <w:rsid w:val="00355F04"/>
    <w:rsid w:val="00401D86"/>
    <w:rsid w:val="00533209"/>
    <w:rsid w:val="006A5616"/>
    <w:rsid w:val="006B1C58"/>
    <w:rsid w:val="006F274C"/>
    <w:rsid w:val="00724BD2"/>
    <w:rsid w:val="007C3676"/>
    <w:rsid w:val="0087652E"/>
    <w:rsid w:val="00920665"/>
    <w:rsid w:val="009E7D08"/>
    <w:rsid w:val="00A12BD2"/>
    <w:rsid w:val="00A7192A"/>
    <w:rsid w:val="00AD4ECC"/>
    <w:rsid w:val="00B5593A"/>
    <w:rsid w:val="00C1735B"/>
    <w:rsid w:val="00C85BCC"/>
    <w:rsid w:val="00D3404F"/>
    <w:rsid w:val="00D452E2"/>
    <w:rsid w:val="00DD44CE"/>
    <w:rsid w:val="00F11DBF"/>
    <w:rsid w:val="00F823F2"/>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8173A"/>
  <w15:docId w15:val="{89D67057-7DAF-4B73-87FA-743EC1508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v-LV" w:eastAsia="en-US" w:bidi="ar-SA"/>
      </w:rPr>
    </w:rPrDefault>
    <w:pPrDefault>
      <w:pPr>
        <w:spacing w:line="25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line="240" w:lineRule="auto"/>
    </w:pPr>
    <w:rPr>
      <w:color w:val="FFFFFF" w:themeColor="background1"/>
      <w:lang w:val="en-US"/>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MSez5CcKpjJ/gmH+7kfaBPXaJeQ==">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9ED71AE-70F9-45AE-A268-FBA4CDB06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3175</Words>
  <Characters>1811</Characters>
  <Application>Microsoft Office Word</Application>
  <DocSecurity>0</DocSecurity>
  <Lines>15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Pukse</dc:creator>
  <cp:lastModifiedBy>Līva Zvirgzdiņa</cp:lastModifiedBy>
  <cp:revision>14</cp:revision>
  <dcterms:created xsi:type="dcterms:W3CDTF">2021-11-24T11:47:00Z</dcterms:created>
  <dcterms:modified xsi:type="dcterms:W3CDTF">2022-05-17T08:31:00Z</dcterms:modified>
</cp:coreProperties>
</file>