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146FA3" w:rsidRDefault="003062B1" w:rsidP="005F49ED">
      <w:pPr>
        <w:spacing w:line="240" w:lineRule="auto"/>
        <w:jc w:val="center"/>
        <w:rPr>
          <w:rFonts w:eastAsia="Times New Roman"/>
          <w:b/>
          <w:sz w:val="20"/>
          <w:szCs w:val="20"/>
        </w:rPr>
      </w:pPr>
      <w:r w:rsidRPr="00146FA3">
        <w:rPr>
          <w:rFonts w:eastAsia="Times New Roman"/>
          <w:b/>
          <w:sz w:val="20"/>
          <w:szCs w:val="20"/>
        </w:rPr>
        <w:t>Principa “Nenodarīt būtisku kaitējumu” novērtējums</w:t>
      </w:r>
    </w:p>
    <w:p w14:paraId="544CA834" w14:textId="03A9D610" w:rsidR="008B6EDE" w:rsidRPr="00146FA3" w:rsidRDefault="00F66C96" w:rsidP="008B6EDE">
      <w:pPr>
        <w:spacing w:line="240" w:lineRule="auto"/>
        <w:jc w:val="center"/>
        <w:rPr>
          <w:rFonts w:eastAsia="Times New Roman"/>
          <w:b/>
          <w:sz w:val="20"/>
          <w:szCs w:val="20"/>
        </w:rPr>
      </w:pPr>
      <w:r w:rsidRPr="00146FA3">
        <w:rPr>
          <w:rFonts w:eastAsia="Times New Roman"/>
          <w:b/>
          <w:sz w:val="20"/>
          <w:szCs w:val="20"/>
        </w:rPr>
        <w:t>2.3.1</w:t>
      </w:r>
      <w:r w:rsidR="008B6EDE" w:rsidRPr="00146FA3">
        <w:rPr>
          <w:rFonts w:eastAsia="Times New Roman"/>
          <w:b/>
          <w:sz w:val="20"/>
          <w:szCs w:val="20"/>
        </w:rPr>
        <w:t>.</w:t>
      </w:r>
      <w:r w:rsidR="00146FA3" w:rsidRPr="00146FA3">
        <w:rPr>
          <w:rFonts w:eastAsia="Times New Roman"/>
          <w:b/>
          <w:sz w:val="20"/>
          <w:szCs w:val="20"/>
        </w:rPr>
        <w:t>SAM</w:t>
      </w:r>
      <w:r w:rsidR="008B6EDE" w:rsidRPr="00146FA3">
        <w:rPr>
          <w:rFonts w:eastAsia="Times New Roman"/>
          <w:b/>
          <w:sz w:val="20"/>
          <w:szCs w:val="20"/>
        </w:rPr>
        <w:t xml:space="preserve"> “</w:t>
      </w:r>
      <w:r w:rsidRPr="00146FA3">
        <w:rPr>
          <w:rFonts w:eastAsia="Times New Roman"/>
          <w:b/>
          <w:sz w:val="20"/>
          <w:szCs w:val="20"/>
        </w:rPr>
        <w:t xml:space="preserve">Veicināt ilgtspējīgu </w:t>
      </w:r>
      <w:proofErr w:type="spellStart"/>
      <w:r w:rsidRPr="00146FA3">
        <w:rPr>
          <w:rFonts w:eastAsia="Times New Roman"/>
          <w:b/>
          <w:sz w:val="20"/>
          <w:szCs w:val="20"/>
        </w:rPr>
        <w:t>daudzveidu</w:t>
      </w:r>
      <w:proofErr w:type="spellEnd"/>
      <w:r w:rsidRPr="00146FA3">
        <w:rPr>
          <w:rFonts w:eastAsia="Times New Roman"/>
          <w:b/>
          <w:sz w:val="20"/>
          <w:szCs w:val="20"/>
        </w:rPr>
        <w:t xml:space="preserve"> mobilitāti pilsētās</w:t>
      </w:r>
      <w:r w:rsidR="008B6EDE" w:rsidRPr="00146FA3">
        <w:rPr>
          <w:rFonts w:eastAsia="Times New Roman"/>
          <w:b/>
          <w:sz w:val="20"/>
          <w:szCs w:val="20"/>
        </w:rPr>
        <w:t xml:space="preserve">” </w:t>
      </w:r>
    </w:p>
    <w:p w14:paraId="4ACAD2DF" w14:textId="1C5967AE" w:rsidR="003062B1" w:rsidRPr="00146FA3" w:rsidRDefault="00F66C96" w:rsidP="008B6EDE">
      <w:pPr>
        <w:spacing w:line="240" w:lineRule="auto"/>
        <w:jc w:val="center"/>
        <w:rPr>
          <w:rFonts w:eastAsia="Times New Roman"/>
          <w:b/>
          <w:sz w:val="20"/>
          <w:szCs w:val="20"/>
        </w:rPr>
      </w:pPr>
      <w:r w:rsidRPr="00146FA3">
        <w:rPr>
          <w:rFonts w:eastAsia="Times New Roman"/>
          <w:b/>
          <w:sz w:val="20"/>
          <w:szCs w:val="20"/>
        </w:rPr>
        <w:t>2.3</w:t>
      </w:r>
      <w:r w:rsidR="0014217F" w:rsidRPr="00146FA3">
        <w:rPr>
          <w:rFonts w:eastAsia="Times New Roman"/>
          <w:b/>
          <w:sz w:val="20"/>
          <w:szCs w:val="20"/>
        </w:rPr>
        <w:t>.1.1</w:t>
      </w:r>
      <w:r w:rsidR="008B6EDE" w:rsidRPr="00146FA3">
        <w:rPr>
          <w:rFonts w:eastAsia="Times New Roman"/>
          <w:b/>
          <w:sz w:val="20"/>
          <w:szCs w:val="20"/>
        </w:rPr>
        <w:t>.</w:t>
      </w:r>
      <w:r w:rsidR="00146FA3" w:rsidRPr="00146FA3">
        <w:rPr>
          <w:rFonts w:eastAsia="Times New Roman"/>
          <w:b/>
          <w:sz w:val="20"/>
          <w:szCs w:val="20"/>
        </w:rPr>
        <w:t>pasākumam</w:t>
      </w:r>
      <w:r w:rsidR="008B6EDE" w:rsidRPr="00146FA3">
        <w:rPr>
          <w:rFonts w:eastAsia="Times New Roman"/>
          <w:b/>
          <w:sz w:val="20"/>
          <w:szCs w:val="20"/>
        </w:rPr>
        <w:t xml:space="preserve"> </w:t>
      </w:r>
      <w:r w:rsidR="007B4E48" w:rsidRPr="00146FA3">
        <w:rPr>
          <w:rFonts w:eastAsia="Times New Roman"/>
          <w:b/>
          <w:sz w:val="20"/>
          <w:szCs w:val="20"/>
        </w:rPr>
        <w:t>“</w:t>
      </w:r>
      <w:r w:rsidRPr="00146FA3">
        <w:rPr>
          <w:rFonts w:eastAsia="Times New Roman"/>
          <w:b/>
          <w:sz w:val="20"/>
          <w:szCs w:val="20"/>
        </w:rPr>
        <w:t>Satiksmes plūsmas viedās tehnoloģijas</w:t>
      </w:r>
      <w:r w:rsidR="007B4E48" w:rsidRPr="00146FA3">
        <w:rPr>
          <w:rFonts w:eastAsia="Times New Roman"/>
          <w:b/>
          <w:sz w:val="20"/>
          <w:szCs w:val="20"/>
        </w:rPr>
        <w:t>”</w:t>
      </w:r>
    </w:p>
    <w:p w14:paraId="0E65F8B7" w14:textId="10472378" w:rsidR="008B6EDE" w:rsidRPr="00146FA3" w:rsidRDefault="008B6EDE" w:rsidP="008B6EDE">
      <w:pPr>
        <w:spacing w:line="240" w:lineRule="auto"/>
        <w:jc w:val="center"/>
        <w:rPr>
          <w:rFonts w:eastAsia="Times New Roman"/>
          <w:b/>
          <w:sz w:val="20"/>
          <w:szCs w:val="20"/>
        </w:rPr>
      </w:pPr>
    </w:p>
    <w:p w14:paraId="14285B0F" w14:textId="6B3A0538" w:rsidR="00F66C96" w:rsidRPr="00146FA3" w:rsidRDefault="00F66C96" w:rsidP="008B6EDE">
      <w:pPr>
        <w:spacing w:line="240" w:lineRule="auto"/>
        <w:jc w:val="center"/>
        <w:rPr>
          <w:rFonts w:eastAsia="Times New Roman"/>
          <w:b/>
          <w:sz w:val="20"/>
          <w:szCs w:val="20"/>
        </w:rPr>
      </w:pPr>
    </w:p>
    <w:tbl>
      <w:tblPr>
        <w:tblW w:w="10773" w:type="dxa"/>
        <w:tblLayout w:type="fixed"/>
        <w:tblCellMar>
          <w:top w:w="15" w:type="dxa"/>
          <w:bottom w:w="15" w:type="dxa"/>
        </w:tblCellMar>
        <w:tblLook w:val="04A0" w:firstRow="1" w:lastRow="0" w:firstColumn="1" w:lastColumn="0" w:noHBand="0" w:noVBand="1"/>
      </w:tblPr>
      <w:tblGrid>
        <w:gridCol w:w="3828"/>
        <w:gridCol w:w="992"/>
        <w:gridCol w:w="851"/>
        <w:gridCol w:w="5102"/>
      </w:tblGrid>
      <w:tr w:rsidR="00F66C96" w:rsidRPr="00146FA3" w14:paraId="252E08F7" w14:textId="77777777" w:rsidTr="00F66C96">
        <w:trPr>
          <w:trHeight w:val="62"/>
        </w:trPr>
        <w:tc>
          <w:tcPr>
            <w:tcW w:w="3828" w:type="dxa"/>
            <w:tcBorders>
              <w:top w:val="nil"/>
              <w:left w:val="nil"/>
              <w:bottom w:val="nil"/>
              <w:right w:val="nil"/>
            </w:tcBorders>
            <w:noWrap/>
            <w:vAlign w:val="bottom"/>
            <w:hideMark/>
          </w:tcPr>
          <w:p w14:paraId="5A640808"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Novērtējuma 1. daļa</w:t>
            </w:r>
          </w:p>
        </w:tc>
        <w:tc>
          <w:tcPr>
            <w:tcW w:w="992" w:type="dxa"/>
            <w:tcBorders>
              <w:top w:val="nil"/>
              <w:left w:val="nil"/>
              <w:bottom w:val="nil"/>
              <w:right w:val="nil"/>
            </w:tcBorders>
            <w:noWrap/>
            <w:vAlign w:val="bottom"/>
            <w:hideMark/>
          </w:tcPr>
          <w:p w14:paraId="4A94F558" w14:textId="77777777" w:rsidR="00F66C96" w:rsidRPr="00146FA3" w:rsidRDefault="00F66C96" w:rsidP="00F66C96">
            <w:pPr>
              <w:spacing w:line="240" w:lineRule="auto"/>
              <w:rPr>
                <w:rFonts w:eastAsia="Times New Roman"/>
                <w:b/>
                <w:bCs/>
                <w:sz w:val="20"/>
                <w:szCs w:val="20"/>
                <w:lang w:eastAsia="lv-LV"/>
              </w:rPr>
            </w:pPr>
          </w:p>
        </w:tc>
        <w:tc>
          <w:tcPr>
            <w:tcW w:w="5953" w:type="dxa"/>
            <w:gridSpan w:val="2"/>
            <w:vAlign w:val="center"/>
          </w:tcPr>
          <w:p w14:paraId="4F951406" w14:textId="77777777" w:rsidR="00F66C96" w:rsidRPr="00146FA3" w:rsidRDefault="00F66C96" w:rsidP="00F66C96">
            <w:pPr>
              <w:spacing w:line="240" w:lineRule="auto"/>
              <w:rPr>
                <w:rFonts w:eastAsia="Times New Roman"/>
                <w:i/>
                <w:iCs/>
                <w:sz w:val="20"/>
                <w:szCs w:val="20"/>
                <w:lang w:eastAsia="lv-LV"/>
              </w:rPr>
            </w:pPr>
          </w:p>
        </w:tc>
      </w:tr>
      <w:tr w:rsidR="00F66C96" w:rsidRPr="00146FA3" w14:paraId="2CF3035A" w14:textId="77777777" w:rsidTr="00F66C96">
        <w:trPr>
          <w:trHeight w:val="600"/>
        </w:trPr>
        <w:tc>
          <w:tcPr>
            <w:tcW w:w="3828"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14:paraId="721ABCF3" w14:textId="77777777" w:rsidR="00F66C96" w:rsidRPr="00146FA3" w:rsidRDefault="00F66C96" w:rsidP="00F66C96">
            <w:pPr>
              <w:spacing w:line="240" w:lineRule="auto"/>
              <w:rPr>
                <w:rFonts w:eastAsia="Times New Roman"/>
                <w:i/>
                <w:iCs/>
                <w:sz w:val="20"/>
                <w:szCs w:val="20"/>
                <w:lang w:eastAsia="lv-LV"/>
              </w:rPr>
            </w:pPr>
            <w:r w:rsidRPr="00146FA3">
              <w:rPr>
                <w:rFonts w:eastAsia="Times New Roman"/>
                <w:i/>
                <w:iCs/>
                <w:sz w:val="20"/>
                <w:szCs w:val="20"/>
                <w:lang w:eastAsia="lv-LV"/>
              </w:rPr>
              <w:t>Norādiet, kuri no turpmāk minētajiem vides mērķiem prasa padziļinātu pasākuma novērtējumu no NBK viedokļa</w:t>
            </w:r>
          </w:p>
        </w:tc>
        <w:tc>
          <w:tcPr>
            <w:tcW w:w="992"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06CFB296"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JĀ</w:t>
            </w:r>
          </w:p>
        </w:tc>
        <w:tc>
          <w:tcPr>
            <w:tcW w:w="851"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6902E527"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NĒ</w:t>
            </w:r>
          </w:p>
        </w:tc>
        <w:tc>
          <w:tcPr>
            <w:tcW w:w="5102"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2F1E0001"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Pamatojums, ja novērtējums ir "NĒ"</w:t>
            </w:r>
          </w:p>
        </w:tc>
      </w:tr>
      <w:tr w:rsidR="00F66C96" w:rsidRPr="00146FA3" w14:paraId="2A0AC784" w14:textId="77777777" w:rsidTr="00F66C96">
        <w:trPr>
          <w:trHeight w:val="300"/>
        </w:trPr>
        <w:tc>
          <w:tcPr>
            <w:tcW w:w="3828" w:type="dxa"/>
            <w:tcBorders>
              <w:top w:val="single" w:sz="4" w:space="0" w:color="auto"/>
              <w:left w:val="single" w:sz="4" w:space="0" w:color="auto"/>
              <w:bottom w:val="single" w:sz="4" w:space="0" w:color="auto"/>
              <w:right w:val="single" w:sz="4" w:space="0" w:color="auto"/>
            </w:tcBorders>
            <w:noWrap/>
            <w:vAlign w:val="center"/>
            <w:hideMark/>
          </w:tcPr>
          <w:p w14:paraId="01D45723" w14:textId="77777777" w:rsidR="00F66C96" w:rsidRPr="00146FA3" w:rsidRDefault="00F66C96" w:rsidP="00F66C96">
            <w:pPr>
              <w:spacing w:line="240" w:lineRule="auto"/>
              <w:rPr>
                <w:rFonts w:eastAsia="Times New Roman"/>
                <w:b/>
                <w:bCs/>
                <w:sz w:val="20"/>
                <w:szCs w:val="20"/>
                <w:lang w:eastAsia="lv-LV"/>
              </w:rPr>
            </w:pPr>
            <w:proofErr w:type="spellStart"/>
            <w:r w:rsidRPr="00146FA3">
              <w:rPr>
                <w:rFonts w:eastAsia="Times New Roman"/>
                <w:b/>
                <w:bCs/>
                <w:sz w:val="20"/>
                <w:szCs w:val="20"/>
                <w:lang w:eastAsia="lv-LV"/>
              </w:rPr>
              <w:t>Klimāta</w:t>
            </w:r>
            <w:proofErr w:type="spellEnd"/>
            <w:r w:rsidRPr="00146FA3">
              <w:rPr>
                <w:rFonts w:eastAsia="Times New Roman"/>
                <w:b/>
                <w:bCs/>
                <w:sz w:val="20"/>
                <w:szCs w:val="20"/>
                <w:lang w:eastAsia="lv-LV"/>
              </w:rPr>
              <w:t xml:space="preserve"> pārmaiņu mazināšana </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A1F791C"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4760523" w14:textId="77777777" w:rsidR="00F66C96" w:rsidRPr="00146FA3" w:rsidRDefault="00F66C96" w:rsidP="00F66C96">
            <w:pPr>
              <w:spacing w:line="240" w:lineRule="auto"/>
              <w:jc w:val="center"/>
              <w:rPr>
                <w:rFonts w:eastAsia="Times New Roman"/>
                <w:b/>
                <w:bCs/>
                <w:sz w:val="20"/>
                <w:szCs w:val="20"/>
                <w:lang w:eastAsia="lv-LV"/>
              </w:rPr>
            </w:pPr>
          </w:p>
        </w:tc>
        <w:tc>
          <w:tcPr>
            <w:tcW w:w="5102" w:type="dxa"/>
            <w:tcBorders>
              <w:top w:val="single" w:sz="4" w:space="0" w:color="auto"/>
              <w:left w:val="single" w:sz="4" w:space="0" w:color="auto"/>
              <w:bottom w:val="single" w:sz="4" w:space="0" w:color="auto"/>
              <w:right w:val="single" w:sz="4" w:space="0" w:color="auto"/>
            </w:tcBorders>
            <w:noWrap/>
            <w:vAlign w:val="bottom"/>
            <w:hideMark/>
          </w:tcPr>
          <w:p w14:paraId="2EAFD1A7" w14:textId="77777777" w:rsidR="00F66C96" w:rsidRPr="00146FA3" w:rsidRDefault="00F66C96" w:rsidP="00F66C96">
            <w:pPr>
              <w:spacing w:line="240" w:lineRule="auto"/>
              <w:jc w:val="center"/>
              <w:rPr>
                <w:rFonts w:eastAsia="Times New Roman"/>
                <w:sz w:val="20"/>
                <w:szCs w:val="20"/>
                <w:lang w:eastAsia="lv-LV"/>
              </w:rPr>
            </w:pPr>
          </w:p>
        </w:tc>
      </w:tr>
      <w:tr w:rsidR="00F66C96" w:rsidRPr="00146FA3" w14:paraId="36F52FBC" w14:textId="77777777" w:rsidTr="00F66C96">
        <w:trPr>
          <w:trHeight w:val="300"/>
        </w:trPr>
        <w:tc>
          <w:tcPr>
            <w:tcW w:w="3828" w:type="dxa"/>
            <w:tcBorders>
              <w:top w:val="single" w:sz="4" w:space="0" w:color="auto"/>
              <w:left w:val="single" w:sz="4" w:space="0" w:color="auto"/>
              <w:bottom w:val="single" w:sz="4" w:space="0" w:color="auto"/>
              <w:right w:val="single" w:sz="4" w:space="0" w:color="auto"/>
            </w:tcBorders>
            <w:noWrap/>
            <w:vAlign w:val="center"/>
            <w:hideMark/>
          </w:tcPr>
          <w:p w14:paraId="7A94D03E"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Pielāgošanas klimata pārmaiņām</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A05CAB1"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B3DBEFF" w14:textId="77777777" w:rsidR="00F66C96" w:rsidRPr="00146FA3" w:rsidRDefault="00F66C96" w:rsidP="00F66C96">
            <w:pPr>
              <w:spacing w:line="240" w:lineRule="auto"/>
              <w:jc w:val="center"/>
              <w:rPr>
                <w:rFonts w:eastAsia="Times New Roman"/>
                <w:b/>
                <w:bCs/>
                <w:sz w:val="20"/>
                <w:szCs w:val="20"/>
                <w:lang w:eastAsia="lv-LV"/>
              </w:rPr>
            </w:pPr>
          </w:p>
        </w:tc>
        <w:tc>
          <w:tcPr>
            <w:tcW w:w="5102" w:type="dxa"/>
            <w:tcBorders>
              <w:top w:val="single" w:sz="4" w:space="0" w:color="auto"/>
              <w:left w:val="single" w:sz="4" w:space="0" w:color="auto"/>
              <w:bottom w:val="single" w:sz="4" w:space="0" w:color="auto"/>
              <w:right w:val="single" w:sz="4" w:space="0" w:color="auto"/>
            </w:tcBorders>
            <w:noWrap/>
            <w:vAlign w:val="bottom"/>
            <w:hideMark/>
          </w:tcPr>
          <w:p w14:paraId="5AD4F62E" w14:textId="77777777" w:rsidR="00F66C96" w:rsidRPr="00146FA3" w:rsidRDefault="00F66C96" w:rsidP="00F66C96">
            <w:pPr>
              <w:spacing w:line="240" w:lineRule="auto"/>
              <w:jc w:val="center"/>
              <w:rPr>
                <w:rFonts w:eastAsia="Times New Roman"/>
                <w:sz w:val="20"/>
                <w:szCs w:val="20"/>
                <w:lang w:eastAsia="lv-LV"/>
              </w:rPr>
            </w:pPr>
          </w:p>
        </w:tc>
      </w:tr>
      <w:tr w:rsidR="00F66C96" w:rsidRPr="00146FA3" w14:paraId="489E417B" w14:textId="77777777" w:rsidTr="00F66C96">
        <w:trPr>
          <w:trHeight w:val="260"/>
        </w:trPr>
        <w:tc>
          <w:tcPr>
            <w:tcW w:w="3828" w:type="dxa"/>
            <w:tcBorders>
              <w:top w:val="single" w:sz="4" w:space="0" w:color="auto"/>
              <w:left w:val="single" w:sz="4" w:space="0" w:color="auto"/>
              <w:bottom w:val="single" w:sz="4" w:space="0" w:color="auto"/>
              <w:right w:val="single" w:sz="4" w:space="0" w:color="auto"/>
            </w:tcBorders>
            <w:noWrap/>
            <w:vAlign w:val="center"/>
            <w:hideMark/>
          </w:tcPr>
          <w:p w14:paraId="7734FDC9"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Ūdens un jūras resursu ilgtspējīga izmantošana un aizsardzība</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6F8F497"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7CC2656" w14:textId="77777777" w:rsidR="00F66C96" w:rsidRPr="00146FA3" w:rsidRDefault="00F66C96" w:rsidP="00F66C96">
            <w:pPr>
              <w:spacing w:line="240" w:lineRule="auto"/>
              <w:jc w:val="center"/>
              <w:rPr>
                <w:rFonts w:eastAsia="Times New Roman"/>
                <w:b/>
                <w:bCs/>
                <w:sz w:val="20"/>
                <w:szCs w:val="20"/>
                <w:lang w:eastAsia="lv-LV"/>
              </w:rPr>
            </w:pPr>
          </w:p>
        </w:tc>
        <w:tc>
          <w:tcPr>
            <w:tcW w:w="5102" w:type="dxa"/>
            <w:tcBorders>
              <w:top w:val="single" w:sz="4" w:space="0" w:color="auto"/>
              <w:left w:val="single" w:sz="4" w:space="0" w:color="auto"/>
              <w:bottom w:val="single" w:sz="4" w:space="0" w:color="auto"/>
              <w:right w:val="single" w:sz="4" w:space="0" w:color="auto"/>
            </w:tcBorders>
            <w:noWrap/>
            <w:vAlign w:val="bottom"/>
            <w:hideMark/>
          </w:tcPr>
          <w:p w14:paraId="4DE79725" w14:textId="77777777" w:rsidR="00F66C96" w:rsidRPr="00146FA3" w:rsidRDefault="00F66C96" w:rsidP="00F66C96">
            <w:pPr>
              <w:spacing w:line="240" w:lineRule="auto"/>
              <w:jc w:val="center"/>
              <w:rPr>
                <w:rFonts w:eastAsia="Times New Roman"/>
                <w:sz w:val="20"/>
                <w:szCs w:val="20"/>
                <w:lang w:eastAsia="lv-LV"/>
              </w:rPr>
            </w:pPr>
          </w:p>
        </w:tc>
      </w:tr>
      <w:tr w:rsidR="00F66C96" w:rsidRPr="00146FA3" w14:paraId="3CAFD000" w14:textId="77777777" w:rsidTr="00F66C96">
        <w:trPr>
          <w:trHeight w:val="600"/>
        </w:trPr>
        <w:tc>
          <w:tcPr>
            <w:tcW w:w="3828" w:type="dxa"/>
            <w:tcBorders>
              <w:top w:val="single" w:sz="4" w:space="0" w:color="auto"/>
              <w:left w:val="single" w:sz="4" w:space="0" w:color="auto"/>
              <w:bottom w:val="single" w:sz="4" w:space="0" w:color="auto"/>
              <w:right w:val="single" w:sz="4" w:space="0" w:color="auto"/>
            </w:tcBorders>
            <w:noWrap/>
            <w:vAlign w:val="center"/>
            <w:hideMark/>
          </w:tcPr>
          <w:p w14:paraId="7A42D9C1"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Aprites ekonomika, tostarp atkritumu rašanās novēršana un pārstrāde</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1A8CBA7"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399C053" w14:textId="77777777" w:rsidR="00F66C96" w:rsidRPr="00146FA3" w:rsidRDefault="00F66C96" w:rsidP="00F66C96">
            <w:pPr>
              <w:spacing w:line="240" w:lineRule="auto"/>
              <w:jc w:val="center"/>
              <w:rPr>
                <w:rFonts w:eastAsia="Times New Roman"/>
                <w:b/>
                <w:bCs/>
                <w:sz w:val="20"/>
                <w:szCs w:val="20"/>
                <w:lang w:eastAsia="lv-LV"/>
              </w:rPr>
            </w:pPr>
          </w:p>
        </w:tc>
        <w:tc>
          <w:tcPr>
            <w:tcW w:w="5102" w:type="dxa"/>
            <w:tcBorders>
              <w:top w:val="single" w:sz="4" w:space="0" w:color="auto"/>
              <w:left w:val="single" w:sz="4" w:space="0" w:color="auto"/>
              <w:bottom w:val="single" w:sz="4" w:space="0" w:color="auto"/>
              <w:right w:val="single" w:sz="4" w:space="0" w:color="auto"/>
            </w:tcBorders>
            <w:noWrap/>
            <w:vAlign w:val="bottom"/>
            <w:hideMark/>
          </w:tcPr>
          <w:p w14:paraId="6C741754" w14:textId="77777777" w:rsidR="00F66C96" w:rsidRPr="00146FA3" w:rsidRDefault="00F66C96" w:rsidP="00F66C96">
            <w:pPr>
              <w:spacing w:line="240" w:lineRule="auto"/>
              <w:jc w:val="center"/>
              <w:rPr>
                <w:rFonts w:eastAsia="Times New Roman"/>
                <w:sz w:val="20"/>
                <w:szCs w:val="20"/>
                <w:lang w:eastAsia="lv-LV"/>
              </w:rPr>
            </w:pPr>
          </w:p>
        </w:tc>
      </w:tr>
      <w:tr w:rsidR="00F66C96" w:rsidRPr="00146FA3" w14:paraId="07B3F7C5" w14:textId="77777777" w:rsidTr="00F66C96">
        <w:trPr>
          <w:trHeight w:val="300"/>
        </w:trPr>
        <w:tc>
          <w:tcPr>
            <w:tcW w:w="3828" w:type="dxa"/>
            <w:tcBorders>
              <w:top w:val="single" w:sz="4" w:space="0" w:color="auto"/>
              <w:left w:val="single" w:sz="4" w:space="0" w:color="auto"/>
              <w:bottom w:val="single" w:sz="4" w:space="0" w:color="auto"/>
              <w:right w:val="single" w:sz="4" w:space="0" w:color="auto"/>
            </w:tcBorders>
            <w:noWrap/>
            <w:vAlign w:val="center"/>
            <w:hideMark/>
          </w:tcPr>
          <w:p w14:paraId="3FCB6BCA"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Piesārņojuma novēršana un to kontrole gaisā, ūdenī vai zemē</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9F2EB69"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73E22D6" w14:textId="77777777" w:rsidR="00F66C96" w:rsidRPr="00146FA3" w:rsidRDefault="00F66C96" w:rsidP="00F66C96">
            <w:pPr>
              <w:spacing w:line="240" w:lineRule="auto"/>
              <w:jc w:val="center"/>
              <w:rPr>
                <w:rFonts w:eastAsia="Times New Roman"/>
                <w:b/>
                <w:bCs/>
                <w:sz w:val="20"/>
                <w:szCs w:val="20"/>
                <w:lang w:eastAsia="lv-LV"/>
              </w:rPr>
            </w:pPr>
          </w:p>
        </w:tc>
        <w:tc>
          <w:tcPr>
            <w:tcW w:w="5102" w:type="dxa"/>
            <w:tcBorders>
              <w:top w:val="single" w:sz="4" w:space="0" w:color="auto"/>
              <w:left w:val="single" w:sz="4" w:space="0" w:color="auto"/>
              <w:bottom w:val="single" w:sz="4" w:space="0" w:color="auto"/>
              <w:right w:val="single" w:sz="4" w:space="0" w:color="auto"/>
            </w:tcBorders>
            <w:noWrap/>
            <w:vAlign w:val="bottom"/>
            <w:hideMark/>
          </w:tcPr>
          <w:p w14:paraId="25CB6A26" w14:textId="77777777" w:rsidR="00F66C96" w:rsidRPr="00146FA3" w:rsidRDefault="00F66C96" w:rsidP="00F66C96">
            <w:pPr>
              <w:spacing w:line="240" w:lineRule="auto"/>
              <w:jc w:val="center"/>
              <w:rPr>
                <w:rFonts w:eastAsia="Times New Roman"/>
                <w:sz w:val="20"/>
                <w:szCs w:val="20"/>
                <w:lang w:eastAsia="lv-LV"/>
              </w:rPr>
            </w:pPr>
          </w:p>
        </w:tc>
      </w:tr>
      <w:tr w:rsidR="00F66C96" w:rsidRPr="00146FA3" w14:paraId="4F937214" w14:textId="77777777" w:rsidTr="00F66C96">
        <w:trPr>
          <w:trHeight w:val="392"/>
        </w:trPr>
        <w:tc>
          <w:tcPr>
            <w:tcW w:w="3828" w:type="dxa"/>
            <w:tcBorders>
              <w:top w:val="single" w:sz="4" w:space="0" w:color="auto"/>
              <w:left w:val="single" w:sz="4" w:space="0" w:color="auto"/>
              <w:bottom w:val="single" w:sz="4" w:space="0" w:color="auto"/>
              <w:right w:val="single" w:sz="4" w:space="0" w:color="auto"/>
            </w:tcBorders>
            <w:noWrap/>
            <w:vAlign w:val="center"/>
            <w:hideMark/>
          </w:tcPr>
          <w:p w14:paraId="1E34EA61"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Bioloģiskās daudzveidības un ekosistēmu aizsardzība un atjaunošana</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F104C59"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F4DEC9D" w14:textId="77777777" w:rsidR="00F66C96" w:rsidRPr="00146FA3" w:rsidRDefault="00F66C96" w:rsidP="00F66C96">
            <w:pPr>
              <w:spacing w:line="240" w:lineRule="auto"/>
              <w:jc w:val="center"/>
              <w:rPr>
                <w:rFonts w:eastAsia="Times New Roman"/>
                <w:b/>
                <w:bCs/>
                <w:sz w:val="20"/>
                <w:szCs w:val="20"/>
                <w:lang w:eastAsia="lv-LV"/>
              </w:rPr>
            </w:pPr>
          </w:p>
        </w:tc>
        <w:tc>
          <w:tcPr>
            <w:tcW w:w="5102" w:type="dxa"/>
            <w:tcBorders>
              <w:top w:val="single" w:sz="4" w:space="0" w:color="auto"/>
              <w:left w:val="single" w:sz="4" w:space="0" w:color="auto"/>
              <w:bottom w:val="single" w:sz="4" w:space="0" w:color="auto"/>
              <w:right w:val="single" w:sz="4" w:space="0" w:color="auto"/>
            </w:tcBorders>
            <w:vAlign w:val="bottom"/>
            <w:hideMark/>
          </w:tcPr>
          <w:p w14:paraId="4B7B2DA8" w14:textId="77777777" w:rsidR="00F66C96" w:rsidRPr="00146FA3" w:rsidRDefault="00F66C96" w:rsidP="00F66C96">
            <w:pPr>
              <w:spacing w:line="240" w:lineRule="auto"/>
              <w:jc w:val="center"/>
              <w:rPr>
                <w:rFonts w:eastAsia="Times New Roman"/>
                <w:sz w:val="20"/>
                <w:szCs w:val="20"/>
                <w:lang w:eastAsia="lv-LV"/>
              </w:rPr>
            </w:pPr>
          </w:p>
        </w:tc>
      </w:tr>
    </w:tbl>
    <w:p w14:paraId="668C4041" w14:textId="77777777" w:rsidR="00F66C96" w:rsidRPr="00146FA3" w:rsidRDefault="00F66C96" w:rsidP="00F66C96">
      <w:pPr>
        <w:spacing w:line="240" w:lineRule="auto"/>
        <w:rPr>
          <w:rFonts w:eastAsia="Times New Roman"/>
          <w:b/>
          <w:bCs/>
          <w:sz w:val="20"/>
          <w:szCs w:val="20"/>
          <w:lang w:eastAsia="lv-LV"/>
        </w:rPr>
      </w:pPr>
    </w:p>
    <w:p w14:paraId="2D89F965" w14:textId="77777777" w:rsidR="00F66C96" w:rsidRPr="00146FA3" w:rsidRDefault="00F66C96" w:rsidP="00F66C96">
      <w:pPr>
        <w:spacing w:line="240" w:lineRule="auto"/>
        <w:rPr>
          <w:rFonts w:eastAsia="Times New Roman"/>
          <w:b/>
          <w:bCs/>
          <w:sz w:val="20"/>
          <w:szCs w:val="20"/>
          <w:lang w:eastAsia="lv-LV"/>
        </w:rPr>
      </w:pPr>
    </w:p>
    <w:p w14:paraId="2131743B"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Novērtējuma 2. daļa</w:t>
      </w:r>
    </w:p>
    <w:tbl>
      <w:tblPr>
        <w:tblW w:w="10773" w:type="dxa"/>
        <w:tblInd w:w="-5" w:type="dxa"/>
        <w:tblCellMar>
          <w:top w:w="15" w:type="dxa"/>
          <w:bottom w:w="15" w:type="dxa"/>
        </w:tblCellMar>
        <w:tblLook w:val="04A0" w:firstRow="1" w:lastRow="0" w:firstColumn="1" w:lastColumn="0" w:noHBand="0" w:noVBand="1"/>
      </w:tblPr>
      <w:tblGrid>
        <w:gridCol w:w="2410"/>
        <w:gridCol w:w="851"/>
        <w:gridCol w:w="7512"/>
      </w:tblGrid>
      <w:tr w:rsidR="00F66C96" w:rsidRPr="00146FA3" w14:paraId="41FE0B7A" w14:textId="77777777" w:rsidTr="00F66C96">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0144BB6D"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 xml:space="preserve">Jautājums </w:t>
            </w:r>
          </w:p>
        </w:tc>
        <w:tc>
          <w:tcPr>
            <w:tcW w:w="851" w:type="dxa"/>
            <w:tcBorders>
              <w:top w:val="single" w:sz="4" w:space="0" w:color="auto"/>
              <w:left w:val="single" w:sz="4" w:space="0" w:color="auto"/>
              <w:bottom w:val="single" w:sz="4" w:space="0" w:color="auto"/>
              <w:right w:val="nil"/>
            </w:tcBorders>
            <w:shd w:val="clear" w:color="auto" w:fill="DBDBDB" w:themeFill="accent3" w:themeFillTint="66"/>
            <w:noWrap/>
            <w:vAlign w:val="center"/>
            <w:hideMark/>
          </w:tcPr>
          <w:p w14:paraId="44D6FCB8"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NĒ</w:t>
            </w:r>
          </w:p>
        </w:tc>
        <w:tc>
          <w:tcPr>
            <w:tcW w:w="7512" w:type="dxa"/>
            <w:tcBorders>
              <w:top w:val="single" w:sz="4" w:space="0" w:color="auto"/>
              <w:left w:val="single" w:sz="4" w:space="0" w:color="auto"/>
              <w:bottom w:val="nil"/>
              <w:right w:val="single" w:sz="4" w:space="0" w:color="auto"/>
            </w:tcBorders>
            <w:shd w:val="clear" w:color="auto" w:fill="DBDBDB" w:themeFill="accent3" w:themeFillTint="66"/>
            <w:noWrap/>
            <w:vAlign w:val="bottom"/>
            <w:hideMark/>
          </w:tcPr>
          <w:p w14:paraId="06A9FA90"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 xml:space="preserve">Detalizēts </w:t>
            </w:r>
            <w:proofErr w:type="spellStart"/>
            <w:r w:rsidRPr="00146FA3">
              <w:rPr>
                <w:rFonts w:eastAsia="Times New Roman"/>
                <w:b/>
                <w:bCs/>
                <w:sz w:val="20"/>
                <w:szCs w:val="20"/>
                <w:lang w:eastAsia="lv-LV"/>
              </w:rPr>
              <w:t>izvērtējums</w:t>
            </w:r>
            <w:proofErr w:type="spellEnd"/>
            <w:r w:rsidRPr="00146FA3">
              <w:rPr>
                <w:rFonts w:eastAsia="Times New Roman"/>
                <w:b/>
                <w:bCs/>
                <w:sz w:val="20"/>
                <w:szCs w:val="20"/>
                <w:lang w:eastAsia="lv-LV"/>
              </w:rPr>
              <w:t xml:space="preserve"> </w:t>
            </w:r>
          </w:p>
        </w:tc>
      </w:tr>
      <w:tr w:rsidR="00F66C96" w:rsidRPr="00146FA3" w14:paraId="0658C406" w14:textId="77777777" w:rsidTr="00F66C96">
        <w:trPr>
          <w:trHeight w:val="826"/>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0B24C1"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 xml:space="preserve">Klimata pārmaiņu mazināšana. </w:t>
            </w:r>
            <w:r w:rsidRPr="00146FA3">
              <w:rPr>
                <w:rFonts w:eastAsia="Times New Roman"/>
                <w:sz w:val="20"/>
                <w:szCs w:val="20"/>
                <w:lang w:eastAsia="lv-LV"/>
              </w:rPr>
              <w:t>Vai paredzams, ka pasākums radīs ievērojamas SEG emisijas?</w:t>
            </w:r>
          </w:p>
        </w:tc>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288DED5C"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7512" w:type="dxa"/>
            <w:tcBorders>
              <w:top w:val="single" w:sz="4" w:space="0" w:color="auto"/>
              <w:left w:val="single" w:sz="4" w:space="0" w:color="auto"/>
              <w:bottom w:val="single" w:sz="4" w:space="0" w:color="auto"/>
              <w:right w:val="single" w:sz="4" w:space="0" w:color="auto"/>
            </w:tcBorders>
            <w:hideMark/>
          </w:tcPr>
          <w:p w14:paraId="3CA7A459" w14:textId="65C29405" w:rsidR="00F66C96" w:rsidRPr="00146FA3" w:rsidRDefault="007104BD" w:rsidP="00D7033A">
            <w:pPr>
              <w:spacing w:after="160" w:line="240" w:lineRule="auto"/>
              <w:contextualSpacing/>
              <w:jc w:val="both"/>
              <w:rPr>
                <w:rFonts w:eastAsiaTheme="minorEastAsia"/>
                <w:sz w:val="20"/>
                <w:szCs w:val="20"/>
              </w:rPr>
            </w:pPr>
            <w:r w:rsidRPr="00B86E0F">
              <w:rPr>
                <w:rFonts w:eastAsia="Times New Roman"/>
                <w:sz w:val="20"/>
                <w:szCs w:val="20"/>
                <w:lang w:eastAsia="lv-LV"/>
              </w:rPr>
              <w:t xml:space="preserve">Pasākuma satiksmes plūsmu viedo tehnoloģiju sistēmu ieviešana </w:t>
            </w:r>
            <w:r>
              <w:rPr>
                <w:rFonts w:eastAsia="Times New Roman"/>
                <w:sz w:val="20"/>
                <w:szCs w:val="20"/>
                <w:lang w:eastAsia="lv-LV"/>
              </w:rPr>
              <w:t xml:space="preserve">neradīs </w:t>
            </w:r>
            <w:r w:rsidR="00F95B6E" w:rsidRPr="00F95B6E">
              <w:rPr>
                <w:rFonts w:eastAsiaTheme="minorEastAsia"/>
                <w:sz w:val="20"/>
                <w:szCs w:val="20"/>
              </w:rPr>
              <w:t>ievērojamas SEG emisijas</w:t>
            </w:r>
            <w:r>
              <w:rPr>
                <w:rFonts w:eastAsiaTheme="minorEastAsia"/>
                <w:sz w:val="20"/>
                <w:szCs w:val="20"/>
              </w:rPr>
              <w:t xml:space="preserve">, ņemot vērā, ka </w:t>
            </w:r>
            <w:r w:rsidRPr="007104BD">
              <w:rPr>
                <w:rFonts w:eastAsia="Calibri"/>
                <w:sz w:val="20"/>
                <w:szCs w:val="20"/>
              </w:rPr>
              <w:t>ieviešot satiksmes plūsmu viedo tehnoloģiju sistēmas tiks uzlabota pasažieru transporta plūsmas un kravu pārvadājumu efektivitāt</w:t>
            </w:r>
            <w:r>
              <w:rPr>
                <w:rFonts w:eastAsia="Calibri"/>
                <w:sz w:val="20"/>
                <w:szCs w:val="20"/>
              </w:rPr>
              <w:t>e</w:t>
            </w:r>
            <w:r w:rsidRPr="007104BD">
              <w:rPr>
                <w:rFonts w:eastAsia="Calibri"/>
                <w:sz w:val="20"/>
                <w:szCs w:val="20"/>
              </w:rPr>
              <w:t xml:space="preserve"> un drošīb</w:t>
            </w:r>
            <w:r>
              <w:rPr>
                <w:rFonts w:eastAsia="Calibri"/>
                <w:sz w:val="20"/>
                <w:szCs w:val="20"/>
              </w:rPr>
              <w:t>a</w:t>
            </w:r>
            <w:r w:rsidRPr="007104BD">
              <w:rPr>
                <w:rFonts w:eastAsia="Calibri"/>
                <w:sz w:val="20"/>
                <w:szCs w:val="20"/>
              </w:rPr>
              <w:t>, kā arī samazināt</w:t>
            </w:r>
            <w:r>
              <w:rPr>
                <w:rFonts w:eastAsia="Calibri"/>
                <w:sz w:val="20"/>
                <w:szCs w:val="20"/>
              </w:rPr>
              <w:t>s</w:t>
            </w:r>
            <w:r w:rsidRPr="007104BD">
              <w:rPr>
                <w:rFonts w:eastAsia="Calibri"/>
                <w:sz w:val="20"/>
                <w:szCs w:val="20"/>
              </w:rPr>
              <w:t xml:space="preserve"> </w:t>
            </w:r>
            <w:r>
              <w:rPr>
                <w:rFonts w:eastAsia="Calibri"/>
                <w:sz w:val="20"/>
                <w:szCs w:val="20"/>
              </w:rPr>
              <w:t>SEG</w:t>
            </w:r>
            <w:r w:rsidRPr="007104BD">
              <w:rPr>
                <w:rFonts w:eastAsia="Calibri"/>
                <w:sz w:val="20"/>
                <w:szCs w:val="20"/>
              </w:rPr>
              <w:t xml:space="preserve"> </w:t>
            </w:r>
            <w:r>
              <w:rPr>
                <w:rFonts w:eastAsia="Calibri"/>
                <w:sz w:val="20"/>
                <w:szCs w:val="20"/>
              </w:rPr>
              <w:t>emisiju</w:t>
            </w:r>
            <w:r w:rsidRPr="007104BD">
              <w:rPr>
                <w:rFonts w:eastAsia="Calibri"/>
                <w:sz w:val="20"/>
                <w:szCs w:val="20"/>
              </w:rPr>
              <w:t xml:space="preserve"> daudzums.</w:t>
            </w:r>
          </w:p>
        </w:tc>
      </w:tr>
      <w:tr w:rsidR="00F66C96" w:rsidRPr="00146FA3" w14:paraId="69E05E7B" w14:textId="77777777" w:rsidTr="00F66C96">
        <w:trPr>
          <w:trHeight w:val="39"/>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64DDEB"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 xml:space="preserve">Pielāgošanās klimata pārmaiņām. </w:t>
            </w:r>
            <w:r w:rsidRPr="00146FA3">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36A23BA4"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7512" w:type="dxa"/>
            <w:tcBorders>
              <w:top w:val="single" w:sz="4" w:space="0" w:color="auto"/>
              <w:left w:val="single" w:sz="4" w:space="0" w:color="auto"/>
              <w:bottom w:val="single" w:sz="4" w:space="0" w:color="auto"/>
              <w:right w:val="single" w:sz="4" w:space="0" w:color="auto"/>
            </w:tcBorders>
            <w:hideMark/>
          </w:tcPr>
          <w:p w14:paraId="264616AB" w14:textId="684D816F" w:rsidR="00F66C96" w:rsidRPr="007104BD" w:rsidRDefault="00D53A60" w:rsidP="007104BD">
            <w:pPr>
              <w:spacing w:line="240" w:lineRule="auto"/>
              <w:jc w:val="both"/>
              <w:rPr>
                <w:rFonts w:eastAsia="Times New Roman"/>
                <w:sz w:val="20"/>
                <w:szCs w:val="20"/>
                <w:lang w:eastAsia="lv-LV"/>
              </w:rPr>
            </w:pPr>
            <w:r w:rsidRPr="007104BD">
              <w:rPr>
                <w:rFonts w:eastAsia="Calibri"/>
                <w:sz w:val="20"/>
                <w:szCs w:val="20"/>
              </w:rPr>
              <w:t>Investīcijas satiksmes plūsmas viedajās tehnoloģijās</w:t>
            </w:r>
            <w:r w:rsidR="00F66C96" w:rsidRPr="007104BD">
              <w:rPr>
                <w:rFonts w:eastAsia="Calibri"/>
                <w:sz w:val="20"/>
                <w:szCs w:val="20"/>
              </w:rPr>
              <w:t xml:space="preserve">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007104BD" w:rsidRPr="007104BD">
              <w:rPr>
                <w:rFonts w:eastAsia="Calibri"/>
                <w:sz w:val="20"/>
                <w:szCs w:val="20"/>
              </w:rPr>
              <w:t>, ieviešot satiksmes plūsmu viedo tehnoloģiju sistēmas tiks uzlabota pasažieru transporta plūsmas un kravu pārvadājumu efektivitāt</w:t>
            </w:r>
            <w:r w:rsidR="007104BD">
              <w:rPr>
                <w:rFonts w:eastAsia="Calibri"/>
                <w:sz w:val="20"/>
                <w:szCs w:val="20"/>
              </w:rPr>
              <w:t>e</w:t>
            </w:r>
            <w:r w:rsidR="007104BD" w:rsidRPr="007104BD">
              <w:rPr>
                <w:rFonts w:eastAsia="Calibri"/>
                <w:sz w:val="20"/>
                <w:szCs w:val="20"/>
              </w:rPr>
              <w:t xml:space="preserve"> un drošīb</w:t>
            </w:r>
            <w:r w:rsidR="007104BD">
              <w:rPr>
                <w:rFonts w:eastAsia="Calibri"/>
                <w:sz w:val="20"/>
                <w:szCs w:val="20"/>
              </w:rPr>
              <w:t>a</w:t>
            </w:r>
            <w:r w:rsidR="007104BD" w:rsidRPr="007104BD">
              <w:rPr>
                <w:rFonts w:eastAsia="Calibri"/>
                <w:sz w:val="20"/>
                <w:szCs w:val="20"/>
              </w:rPr>
              <w:t>, kā arī samazināt</w:t>
            </w:r>
            <w:r w:rsidR="007104BD">
              <w:rPr>
                <w:rFonts w:eastAsia="Calibri"/>
                <w:sz w:val="20"/>
                <w:szCs w:val="20"/>
              </w:rPr>
              <w:t>s</w:t>
            </w:r>
            <w:r w:rsidR="007104BD" w:rsidRPr="007104BD">
              <w:rPr>
                <w:rFonts w:eastAsia="Calibri"/>
                <w:sz w:val="20"/>
                <w:szCs w:val="20"/>
              </w:rPr>
              <w:t xml:space="preserve"> </w:t>
            </w:r>
            <w:r w:rsidR="007104BD">
              <w:rPr>
                <w:rFonts w:eastAsia="Calibri"/>
                <w:sz w:val="20"/>
                <w:szCs w:val="20"/>
              </w:rPr>
              <w:t>SEG</w:t>
            </w:r>
            <w:r w:rsidR="007104BD" w:rsidRPr="007104BD">
              <w:rPr>
                <w:rFonts w:eastAsia="Calibri"/>
                <w:sz w:val="20"/>
                <w:szCs w:val="20"/>
              </w:rPr>
              <w:t xml:space="preserve"> </w:t>
            </w:r>
            <w:r w:rsidR="007104BD">
              <w:rPr>
                <w:rFonts w:eastAsia="Calibri"/>
                <w:sz w:val="20"/>
                <w:szCs w:val="20"/>
              </w:rPr>
              <w:t>emisiju</w:t>
            </w:r>
            <w:r w:rsidR="007104BD" w:rsidRPr="007104BD">
              <w:rPr>
                <w:rFonts w:eastAsia="Calibri"/>
                <w:sz w:val="20"/>
                <w:szCs w:val="20"/>
              </w:rPr>
              <w:t xml:space="preserve"> daudzums.</w:t>
            </w:r>
            <w:r w:rsidR="007104BD">
              <w:rPr>
                <w:rFonts w:eastAsia="Calibri"/>
                <w:sz w:val="20"/>
                <w:szCs w:val="20"/>
              </w:rPr>
              <w:t xml:space="preserve"> </w:t>
            </w:r>
          </w:p>
        </w:tc>
      </w:tr>
      <w:tr w:rsidR="00F66C96" w:rsidRPr="00146FA3" w14:paraId="0C9292E0" w14:textId="77777777" w:rsidTr="00F66C96">
        <w:trPr>
          <w:trHeight w:val="2460"/>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959602" w14:textId="77777777" w:rsidR="00F66C96" w:rsidRPr="00146FA3" w:rsidRDefault="00F66C96" w:rsidP="00F66C96">
            <w:pPr>
              <w:spacing w:line="240" w:lineRule="auto"/>
              <w:rPr>
                <w:rFonts w:eastAsia="Times New Roman"/>
                <w:b/>
                <w:bCs/>
                <w:sz w:val="20"/>
                <w:szCs w:val="20"/>
                <w:lang w:eastAsia="lv-LV"/>
              </w:rPr>
            </w:pPr>
            <w:r w:rsidRPr="00146FA3">
              <w:rPr>
                <w:rFonts w:eastAsia="Times New Roman"/>
                <w:b/>
                <w:bCs/>
                <w:sz w:val="20"/>
                <w:szCs w:val="20"/>
                <w:lang w:eastAsia="lv-LV"/>
              </w:rPr>
              <w:t xml:space="preserve">Ilgtspējīga ūdens un jūras resursu izmantošana un aizsardzība. </w:t>
            </w:r>
            <w:r w:rsidRPr="00146FA3">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08A8B833"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7512" w:type="dxa"/>
            <w:tcBorders>
              <w:top w:val="single" w:sz="4" w:space="0" w:color="auto"/>
              <w:left w:val="single" w:sz="4" w:space="0" w:color="auto"/>
              <w:bottom w:val="single" w:sz="4" w:space="0" w:color="auto"/>
              <w:right w:val="single" w:sz="4" w:space="0" w:color="auto"/>
            </w:tcBorders>
            <w:noWrap/>
            <w:hideMark/>
          </w:tcPr>
          <w:p w14:paraId="7E8D44BA" w14:textId="0AFFCBA2" w:rsidR="00F66C96" w:rsidRPr="00146FA3" w:rsidRDefault="00B86E0F" w:rsidP="00F66C96">
            <w:pPr>
              <w:spacing w:line="240" w:lineRule="auto"/>
              <w:jc w:val="both"/>
              <w:rPr>
                <w:rFonts w:eastAsia="Times New Roman"/>
                <w:sz w:val="20"/>
                <w:szCs w:val="20"/>
                <w:lang w:eastAsia="lv-LV"/>
              </w:rPr>
            </w:pPr>
            <w:r w:rsidRPr="00B86E0F">
              <w:rPr>
                <w:rFonts w:eastAsia="Times New Roman"/>
                <w:sz w:val="20"/>
                <w:szCs w:val="20"/>
                <w:lang w:eastAsia="lv-LV"/>
              </w:rPr>
              <w:t xml:space="preserve">Pasākuma satiksmes plūsmu viedo tehnoloģiju sistēmu ieviešana nav būtiskas ietekmes, </w:t>
            </w:r>
            <w:r>
              <w:rPr>
                <w:rFonts w:eastAsia="Times New Roman"/>
                <w:sz w:val="20"/>
                <w:szCs w:val="20"/>
                <w:lang w:eastAsia="lv-LV"/>
              </w:rPr>
              <w:t xml:space="preserve">ņemot vērā, ka veicot iespējamos </w:t>
            </w:r>
            <w:r w:rsidRPr="00B86E0F">
              <w:rPr>
                <w:rFonts w:eastAsia="Times New Roman"/>
                <w:sz w:val="20"/>
                <w:szCs w:val="20"/>
                <w:lang w:eastAsia="lv-LV"/>
              </w:rPr>
              <w:t>satiksmes plūsmu viedo tehnoloģiju sistēmu ieviešana</w:t>
            </w:r>
            <w:r>
              <w:rPr>
                <w:rFonts w:eastAsia="Times New Roman"/>
                <w:sz w:val="20"/>
                <w:szCs w:val="20"/>
                <w:lang w:eastAsia="lv-LV"/>
              </w:rPr>
              <w:t xml:space="preserve">s būvdarbus tie tiks veikti </w:t>
            </w:r>
            <w:r w:rsidRPr="00B86E0F">
              <w:rPr>
                <w:rFonts w:eastAsia="Times New Roman"/>
                <w:sz w:val="20"/>
                <w:szCs w:val="20"/>
                <w:lang w:eastAsia="lv-LV"/>
              </w:rPr>
              <w:t>satiksmes infrastruktūrai paredzētajā teritorijā</w:t>
            </w:r>
            <w:r>
              <w:rPr>
                <w:rFonts w:eastAsia="Times New Roman"/>
                <w:sz w:val="20"/>
                <w:szCs w:val="20"/>
                <w:lang w:eastAsia="lv-LV"/>
              </w:rPr>
              <w:t xml:space="preserve"> neskarot esošās ūdens novadīšanas sistēmas vai ūdensobjektus.</w:t>
            </w:r>
          </w:p>
        </w:tc>
      </w:tr>
      <w:tr w:rsidR="00F66C96" w:rsidRPr="00146FA3" w14:paraId="5791381D" w14:textId="77777777" w:rsidTr="00F66C96">
        <w:trPr>
          <w:trHeight w:val="2810"/>
        </w:trPr>
        <w:tc>
          <w:tcPr>
            <w:tcW w:w="2410" w:type="dxa"/>
            <w:tcBorders>
              <w:top w:val="single" w:sz="4" w:space="0" w:color="auto"/>
              <w:left w:val="single" w:sz="4" w:space="0" w:color="auto"/>
              <w:bottom w:val="single" w:sz="4" w:space="0" w:color="auto"/>
              <w:right w:val="single" w:sz="4" w:space="0" w:color="auto"/>
            </w:tcBorders>
            <w:hideMark/>
          </w:tcPr>
          <w:p w14:paraId="6E19663A" w14:textId="77777777" w:rsidR="00F66C96" w:rsidRPr="00146FA3" w:rsidRDefault="00F66C96" w:rsidP="00F66C96">
            <w:pPr>
              <w:spacing w:line="240" w:lineRule="auto"/>
              <w:rPr>
                <w:rFonts w:eastAsia="Times New Roman"/>
                <w:sz w:val="20"/>
                <w:szCs w:val="20"/>
                <w:lang w:eastAsia="lv-LV"/>
              </w:rPr>
            </w:pPr>
            <w:r w:rsidRPr="00146FA3">
              <w:rPr>
                <w:rFonts w:eastAsia="Times New Roman"/>
                <w:b/>
                <w:bCs/>
                <w:sz w:val="20"/>
                <w:szCs w:val="20"/>
                <w:lang w:eastAsia="lv-LV"/>
              </w:rPr>
              <w:t xml:space="preserve">Pāreja uz aprites ekonomiku, ieskaitot atkritumu rašanās novēršanu un to </w:t>
            </w:r>
            <w:proofErr w:type="spellStart"/>
            <w:r w:rsidRPr="00146FA3">
              <w:rPr>
                <w:rFonts w:eastAsia="Times New Roman"/>
                <w:b/>
                <w:bCs/>
                <w:sz w:val="20"/>
                <w:szCs w:val="20"/>
                <w:lang w:eastAsia="lv-LV"/>
              </w:rPr>
              <w:t>reciklēšanu</w:t>
            </w:r>
            <w:proofErr w:type="spellEnd"/>
            <w:r w:rsidRPr="00146FA3">
              <w:rPr>
                <w:rFonts w:eastAsia="Times New Roman"/>
                <w:sz w:val="20"/>
                <w:szCs w:val="20"/>
                <w:lang w:eastAsia="lv-LV"/>
              </w:rPr>
              <w:t xml:space="preserve">. Vai paredzams, ka pasākums: (i) būtiski palielinās atkritumu rašanos, </w:t>
            </w:r>
            <w:proofErr w:type="spellStart"/>
            <w:r w:rsidRPr="00146FA3">
              <w:rPr>
                <w:rFonts w:eastAsia="Times New Roman"/>
                <w:sz w:val="20"/>
                <w:szCs w:val="20"/>
                <w:lang w:eastAsia="lv-LV"/>
              </w:rPr>
              <w:t>incinerāciju</w:t>
            </w:r>
            <w:proofErr w:type="spellEnd"/>
            <w:r w:rsidRPr="00146FA3">
              <w:rPr>
                <w:rFonts w:eastAsia="Times New Roman"/>
                <w:sz w:val="20"/>
                <w:szCs w:val="20"/>
                <w:lang w:eastAsia="lv-LV"/>
              </w:rPr>
              <w:t xml:space="preserve"> vai apglabāšanu, izņemot nepārstrādājamu bīstamo atkritumu </w:t>
            </w:r>
            <w:proofErr w:type="spellStart"/>
            <w:r w:rsidRPr="00146FA3">
              <w:rPr>
                <w:rFonts w:eastAsia="Times New Roman"/>
                <w:sz w:val="20"/>
                <w:szCs w:val="20"/>
                <w:lang w:eastAsia="lv-LV"/>
              </w:rPr>
              <w:t>incinerāciju</w:t>
            </w:r>
            <w:proofErr w:type="spellEnd"/>
            <w:r w:rsidRPr="00146FA3">
              <w:rPr>
                <w:rFonts w:eastAsia="Times New Roman"/>
                <w:sz w:val="20"/>
                <w:szCs w:val="20"/>
                <w:lang w:eastAsia="lv-LV"/>
              </w:rPr>
              <w:t>; vai</w:t>
            </w:r>
            <w:r w:rsidRPr="00146FA3">
              <w:rPr>
                <w:rFonts w:eastAsia="Times New Roman"/>
                <w:sz w:val="20"/>
                <w:szCs w:val="20"/>
                <w:lang w:eastAsia="lv-LV"/>
              </w:rPr>
              <w:br/>
              <w:t xml:space="preserve">(ii) dabas resursu tiešā vai </w:t>
            </w:r>
            <w:r w:rsidRPr="00146FA3">
              <w:rPr>
                <w:rFonts w:eastAsia="Times New Roman"/>
                <w:sz w:val="20"/>
                <w:szCs w:val="20"/>
                <w:lang w:eastAsia="lv-LV"/>
              </w:rPr>
              <w:lastRenderedPageBreak/>
              <w:t xml:space="preserve">netiešā izmantošanā jebkurā to aprites cikla posmā radīs būtisku </w:t>
            </w:r>
            <w:proofErr w:type="spellStart"/>
            <w:r w:rsidRPr="00146FA3">
              <w:rPr>
                <w:rFonts w:eastAsia="Times New Roman"/>
                <w:sz w:val="20"/>
                <w:szCs w:val="20"/>
                <w:lang w:eastAsia="lv-LV"/>
              </w:rPr>
              <w:t>neefektivitāti</w:t>
            </w:r>
            <w:proofErr w:type="spellEnd"/>
            <w:r w:rsidRPr="00146FA3">
              <w:rPr>
                <w:rFonts w:eastAsia="Times New Roman"/>
                <w:sz w:val="20"/>
                <w:szCs w:val="20"/>
                <w:lang w:eastAsia="lv-LV"/>
              </w:rPr>
              <w:t>, kas netiek samazināta līdz minimumam ar atbilstošiem pasākumiem; vai</w:t>
            </w:r>
            <w:r w:rsidRPr="00146FA3">
              <w:rPr>
                <w:rFonts w:eastAsia="Times New Roman"/>
                <w:sz w:val="20"/>
                <w:szCs w:val="20"/>
                <w:lang w:eastAsia="lv-LV"/>
              </w:rPr>
              <w:br/>
              <w:t>(iii) radīs būtisku un ilgtermiņa kaitējumu videi attiecībā uz aprites ekonomiku?</w:t>
            </w:r>
          </w:p>
        </w:tc>
        <w:tc>
          <w:tcPr>
            <w:tcW w:w="851" w:type="dxa"/>
            <w:tcBorders>
              <w:top w:val="single" w:sz="4" w:space="0" w:color="auto"/>
              <w:left w:val="single" w:sz="4" w:space="0" w:color="auto"/>
              <w:bottom w:val="single" w:sz="4" w:space="0" w:color="auto"/>
              <w:right w:val="nil"/>
            </w:tcBorders>
            <w:vAlign w:val="center"/>
            <w:hideMark/>
          </w:tcPr>
          <w:p w14:paraId="5F73AA84"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lastRenderedPageBreak/>
              <w:t>X</w:t>
            </w:r>
          </w:p>
        </w:tc>
        <w:tc>
          <w:tcPr>
            <w:tcW w:w="7512" w:type="dxa"/>
            <w:tcBorders>
              <w:top w:val="single" w:sz="4" w:space="0" w:color="auto"/>
              <w:left w:val="single" w:sz="4" w:space="0" w:color="auto"/>
              <w:bottom w:val="single" w:sz="4" w:space="0" w:color="auto"/>
              <w:right w:val="single" w:sz="4" w:space="0" w:color="auto"/>
            </w:tcBorders>
            <w:hideMark/>
          </w:tcPr>
          <w:p w14:paraId="6114E2ED" w14:textId="6E277034" w:rsidR="00B86E0F" w:rsidRPr="00B86E0F" w:rsidRDefault="00F66C96" w:rsidP="00B86E0F">
            <w:pPr>
              <w:spacing w:line="240" w:lineRule="auto"/>
              <w:jc w:val="both"/>
              <w:rPr>
                <w:rFonts w:eastAsia="Times New Roman"/>
                <w:sz w:val="20"/>
                <w:szCs w:val="20"/>
                <w:lang w:eastAsia="lv-LV"/>
              </w:rPr>
            </w:pPr>
            <w:r w:rsidRPr="00146FA3">
              <w:rPr>
                <w:rFonts w:eastAsia="Times New Roman"/>
                <w:sz w:val="20"/>
                <w:szCs w:val="20"/>
                <w:lang w:eastAsia="lv-LV"/>
              </w:rPr>
              <w:t>Pasākumam nav būtiskas ietekmes, jo</w:t>
            </w:r>
            <w:r w:rsidR="00B86E0F">
              <w:rPr>
                <w:rFonts w:eastAsia="Times New Roman"/>
                <w:sz w:val="20"/>
                <w:szCs w:val="20"/>
                <w:lang w:eastAsia="lv-LV"/>
              </w:rPr>
              <w:t xml:space="preserve"> p</w:t>
            </w:r>
            <w:r w:rsidR="00B86E0F" w:rsidRPr="00B86E0F">
              <w:rPr>
                <w:rFonts w:eastAsia="Times New Roman"/>
                <w:sz w:val="20"/>
                <w:szCs w:val="20"/>
                <w:lang w:eastAsia="lv-LV"/>
              </w:rPr>
              <w:t>rojektu īstenošanā</w:t>
            </w:r>
            <w:r w:rsidR="006E5B71">
              <w:rPr>
                <w:rFonts w:eastAsia="Times New Roman"/>
                <w:sz w:val="20"/>
                <w:szCs w:val="20"/>
                <w:lang w:eastAsia="lv-LV"/>
              </w:rPr>
              <w:t>, kur attiecināms,</w:t>
            </w:r>
            <w:r w:rsidR="00B86E0F">
              <w:rPr>
                <w:rFonts w:eastAsia="Times New Roman"/>
                <w:sz w:val="20"/>
                <w:szCs w:val="20"/>
                <w:lang w:eastAsia="lv-LV"/>
              </w:rPr>
              <w:t xml:space="preserve"> </w:t>
            </w:r>
            <w:r w:rsidR="00B86E0F" w:rsidRPr="00B86E0F">
              <w:rPr>
                <w:rFonts w:eastAsia="Times New Roman"/>
                <w:sz w:val="20"/>
                <w:szCs w:val="20"/>
                <w:lang w:eastAsia="lv-LV"/>
              </w:rPr>
              <w:t>tiks piemēroti zaļā publiskā iepirkuma principi, t.sk. projektos, uz kuriem tas attiecināms, tiks nodrošināta  Ministru kabineta 2017. gada 20. jūnija noteikumos  Nr. 353 “Prasības zaļajam publiskajam iepirkumam un to piemērošanas kārtība” (turpmāk – MK noteikumi Nr. 353) noteikto obligāto prasību izpilde attiecībā  uz apgaismojumu un satiksmes signāliem, piemērojot ciktāl tas ir racionāli un iespējami autoceļu būvdarbos otrreizējo izejvielu izmantošanu jaunu resursu vietā.</w:t>
            </w:r>
          </w:p>
          <w:p w14:paraId="1E09C8F3" w14:textId="77777777" w:rsidR="00B86E0F" w:rsidRDefault="00B86E0F" w:rsidP="00B86E0F">
            <w:pPr>
              <w:rPr>
                <w:sz w:val="20"/>
                <w:szCs w:val="20"/>
                <w:lang w:eastAsia="lv-LV"/>
              </w:rPr>
            </w:pPr>
          </w:p>
          <w:p w14:paraId="20A82359" w14:textId="306572FE" w:rsidR="00B86E0F" w:rsidRPr="00B86E0F" w:rsidRDefault="00B86E0F" w:rsidP="00B86E0F">
            <w:pPr>
              <w:jc w:val="both"/>
              <w:rPr>
                <w:sz w:val="20"/>
                <w:szCs w:val="20"/>
                <w:lang w:eastAsia="lv-LV"/>
              </w:rPr>
            </w:pPr>
            <w:r>
              <w:rPr>
                <w:sz w:val="20"/>
                <w:szCs w:val="20"/>
                <w:lang w:eastAsia="lv-LV"/>
              </w:rPr>
              <w:t>Iespējamā b</w:t>
            </w:r>
            <w:r w:rsidRPr="00B86E0F">
              <w:rPr>
                <w:sz w:val="20"/>
                <w:szCs w:val="20"/>
                <w:lang w:eastAsia="lv-LV"/>
              </w:rPr>
              <w:t xml:space="preserve">ūvniecības laikā būvdarbu veicēji tiks aicināti ierobežot atkritumu rašanos saskaņā ar Eiropas Savienības būvgružu un ēku nojaukšanas atkritumu apsaimniekošanas protokolu un ņemt vērā pieejamos tehniskos paņēmienus, kā arī atvieglot </w:t>
            </w:r>
            <w:proofErr w:type="spellStart"/>
            <w:r w:rsidRPr="00B86E0F">
              <w:rPr>
                <w:sz w:val="20"/>
                <w:szCs w:val="20"/>
                <w:lang w:eastAsia="lv-LV"/>
              </w:rPr>
              <w:t>atkalizmantošanu</w:t>
            </w:r>
            <w:proofErr w:type="spellEnd"/>
            <w:r w:rsidRPr="00B86E0F">
              <w:rPr>
                <w:sz w:val="20"/>
                <w:szCs w:val="20"/>
                <w:lang w:eastAsia="lv-LV"/>
              </w:rPr>
              <w:t xml:space="preserve"> </w:t>
            </w:r>
            <w:r w:rsidRPr="00B86E0F">
              <w:rPr>
                <w:sz w:val="20"/>
                <w:szCs w:val="20"/>
                <w:lang w:eastAsia="lv-LV"/>
              </w:rPr>
              <w:lastRenderedPageBreak/>
              <w:t>un pārstrādi, kas panākams ar būvgružu šķirošanai paredzēto, pieejamo sistēmu palīdzību selektīvi izņemot materiālus.</w:t>
            </w:r>
          </w:p>
          <w:p w14:paraId="6B9894CC" w14:textId="4F6995E4" w:rsidR="00F66C96" w:rsidRPr="00146FA3" w:rsidRDefault="00F66C96" w:rsidP="00B86E0F">
            <w:pPr>
              <w:spacing w:line="240" w:lineRule="auto"/>
              <w:ind w:left="742"/>
              <w:jc w:val="both"/>
              <w:rPr>
                <w:sz w:val="20"/>
                <w:szCs w:val="20"/>
                <w:lang w:eastAsia="lv-LV"/>
              </w:rPr>
            </w:pPr>
          </w:p>
        </w:tc>
      </w:tr>
      <w:tr w:rsidR="00F66C96" w:rsidRPr="00146FA3" w14:paraId="7B35D75B" w14:textId="77777777" w:rsidTr="00F66C96">
        <w:trPr>
          <w:trHeight w:val="1100"/>
        </w:trPr>
        <w:tc>
          <w:tcPr>
            <w:tcW w:w="2410" w:type="dxa"/>
            <w:tcBorders>
              <w:top w:val="single" w:sz="4" w:space="0" w:color="auto"/>
              <w:left w:val="single" w:sz="4" w:space="0" w:color="auto"/>
              <w:bottom w:val="single" w:sz="4" w:space="0" w:color="auto"/>
              <w:right w:val="single" w:sz="4" w:space="0" w:color="auto"/>
            </w:tcBorders>
            <w:hideMark/>
          </w:tcPr>
          <w:p w14:paraId="7922A0D9" w14:textId="77777777" w:rsidR="00F66C96" w:rsidRPr="00146FA3" w:rsidRDefault="00F66C96" w:rsidP="00F66C96">
            <w:pPr>
              <w:spacing w:line="240" w:lineRule="auto"/>
              <w:rPr>
                <w:rFonts w:eastAsia="Times New Roman"/>
                <w:sz w:val="20"/>
                <w:szCs w:val="20"/>
                <w:lang w:eastAsia="lv-LV"/>
              </w:rPr>
            </w:pPr>
            <w:r w:rsidRPr="00146FA3">
              <w:rPr>
                <w:rFonts w:eastAsia="Times New Roman"/>
                <w:b/>
                <w:bCs/>
                <w:sz w:val="20"/>
                <w:szCs w:val="20"/>
                <w:lang w:eastAsia="lv-LV"/>
              </w:rPr>
              <w:lastRenderedPageBreak/>
              <w:t xml:space="preserve">Piesārņojuma novēršana un kontrole. </w:t>
            </w:r>
            <w:r w:rsidRPr="00146FA3">
              <w:rPr>
                <w:rFonts w:eastAsia="Times New Roman"/>
                <w:sz w:val="20"/>
                <w:szCs w:val="20"/>
                <w:lang w:eastAsia="lv-LV"/>
              </w:rPr>
              <w:t>Vai paredzams, ka pasākums ievērojami palielinās piesārņotāju emisijas gaisā, ūdenī vai zemē?</w:t>
            </w:r>
          </w:p>
        </w:tc>
        <w:tc>
          <w:tcPr>
            <w:tcW w:w="851" w:type="dxa"/>
            <w:tcBorders>
              <w:top w:val="single" w:sz="4" w:space="0" w:color="auto"/>
              <w:left w:val="single" w:sz="4" w:space="0" w:color="auto"/>
              <w:bottom w:val="single" w:sz="4" w:space="0" w:color="auto"/>
              <w:right w:val="nil"/>
            </w:tcBorders>
            <w:vAlign w:val="center"/>
            <w:hideMark/>
          </w:tcPr>
          <w:p w14:paraId="4081AFC0"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7512" w:type="dxa"/>
            <w:tcBorders>
              <w:top w:val="single" w:sz="4" w:space="0" w:color="auto"/>
              <w:left w:val="single" w:sz="4" w:space="0" w:color="auto"/>
              <w:bottom w:val="single" w:sz="4" w:space="0" w:color="auto"/>
              <w:right w:val="single" w:sz="4" w:space="0" w:color="auto"/>
            </w:tcBorders>
            <w:hideMark/>
          </w:tcPr>
          <w:p w14:paraId="4A402999" w14:textId="2E5256E3" w:rsidR="00F66C96" w:rsidRPr="00146FA3" w:rsidRDefault="00F66C96" w:rsidP="00F66C96">
            <w:pPr>
              <w:spacing w:line="240" w:lineRule="auto"/>
              <w:jc w:val="both"/>
              <w:rPr>
                <w:rFonts w:eastAsia="Times New Roman"/>
                <w:sz w:val="20"/>
                <w:szCs w:val="20"/>
                <w:lang w:eastAsia="lv-LV"/>
              </w:rPr>
            </w:pPr>
            <w:r w:rsidRPr="00146FA3">
              <w:rPr>
                <w:rFonts w:eastAsia="Times New Roman"/>
                <w:sz w:val="20"/>
                <w:szCs w:val="20"/>
                <w:lang w:eastAsia="lv-LV"/>
              </w:rPr>
              <w:t>Pasākum</w:t>
            </w:r>
            <w:r w:rsidR="000D08F0">
              <w:rPr>
                <w:rFonts w:eastAsia="Times New Roman"/>
                <w:sz w:val="20"/>
                <w:szCs w:val="20"/>
                <w:lang w:eastAsia="lv-LV"/>
              </w:rPr>
              <w:t>a</w:t>
            </w:r>
            <w:r w:rsidRPr="00146FA3">
              <w:rPr>
                <w:rFonts w:eastAsia="Times New Roman"/>
                <w:sz w:val="20"/>
                <w:szCs w:val="20"/>
                <w:lang w:eastAsia="lv-LV"/>
              </w:rPr>
              <w:t xml:space="preserve"> </w:t>
            </w:r>
            <w:r w:rsidR="00672D25">
              <w:rPr>
                <w:rFonts w:eastAsia="Times New Roman"/>
                <w:sz w:val="20"/>
                <w:szCs w:val="20"/>
                <w:lang w:eastAsia="lv-LV"/>
              </w:rPr>
              <w:t>s</w:t>
            </w:r>
            <w:r w:rsidR="00672D25" w:rsidRPr="00A075ED">
              <w:rPr>
                <w:rFonts w:eastAsia="Times New Roman"/>
                <w:sz w:val="20"/>
                <w:szCs w:val="20"/>
                <w:lang w:eastAsia="lv-LV"/>
              </w:rPr>
              <w:t>atiksmes plūsm</w:t>
            </w:r>
            <w:r w:rsidR="00672D25">
              <w:rPr>
                <w:rFonts w:eastAsia="Times New Roman"/>
                <w:sz w:val="20"/>
                <w:szCs w:val="20"/>
                <w:lang w:eastAsia="lv-LV"/>
              </w:rPr>
              <w:t>u</w:t>
            </w:r>
            <w:r w:rsidR="00672D25" w:rsidRPr="00A075ED">
              <w:rPr>
                <w:rFonts w:eastAsia="Times New Roman"/>
                <w:sz w:val="20"/>
                <w:szCs w:val="20"/>
                <w:lang w:eastAsia="lv-LV"/>
              </w:rPr>
              <w:t xml:space="preserve"> vied</w:t>
            </w:r>
            <w:r w:rsidR="00672D25">
              <w:rPr>
                <w:rFonts w:eastAsia="Times New Roman"/>
                <w:sz w:val="20"/>
                <w:szCs w:val="20"/>
                <w:lang w:eastAsia="lv-LV"/>
              </w:rPr>
              <w:t>o</w:t>
            </w:r>
            <w:r w:rsidR="00672D25" w:rsidRPr="00A075ED">
              <w:rPr>
                <w:rFonts w:eastAsia="Times New Roman"/>
                <w:sz w:val="20"/>
                <w:szCs w:val="20"/>
                <w:lang w:eastAsia="lv-LV"/>
              </w:rPr>
              <w:t xml:space="preserve"> tehnoloģi</w:t>
            </w:r>
            <w:r w:rsidR="00672D25">
              <w:rPr>
                <w:rFonts w:eastAsia="Times New Roman"/>
                <w:sz w:val="20"/>
                <w:szCs w:val="20"/>
                <w:lang w:eastAsia="lv-LV"/>
              </w:rPr>
              <w:t xml:space="preserve">ju sistēmu </w:t>
            </w:r>
            <w:r w:rsidR="000D08F0">
              <w:rPr>
                <w:rFonts w:eastAsia="Times New Roman"/>
                <w:sz w:val="20"/>
                <w:szCs w:val="20"/>
                <w:lang w:eastAsia="lv-LV"/>
              </w:rPr>
              <w:t>ieviešana</w:t>
            </w:r>
            <w:r w:rsidR="00672D25">
              <w:rPr>
                <w:rFonts w:eastAsia="Times New Roman"/>
                <w:sz w:val="20"/>
                <w:szCs w:val="20"/>
                <w:lang w:eastAsia="lv-LV"/>
              </w:rPr>
              <w:t xml:space="preserve"> nepalielinās</w:t>
            </w:r>
            <w:r w:rsidRPr="00146FA3">
              <w:rPr>
                <w:rFonts w:eastAsia="Times New Roman"/>
                <w:sz w:val="20"/>
                <w:szCs w:val="20"/>
                <w:lang w:eastAsia="lv-LV"/>
              </w:rPr>
              <w:t xml:space="preserve"> </w:t>
            </w:r>
            <w:r w:rsidR="00672D25">
              <w:rPr>
                <w:rFonts w:eastAsia="Times New Roman"/>
                <w:sz w:val="20"/>
                <w:szCs w:val="20"/>
                <w:lang w:eastAsia="lv-LV"/>
              </w:rPr>
              <w:t>piesārņotāju emisijas gaisā, ūdeni vai zemē</w:t>
            </w:r>
            <w:r w:rsidRPr="00146FA3">
              <w:rPr>
                <w:rFonts w:eastAsia="Times New Roman"/>
                <w:sz w:val="20"/>
                <w:szCs w:val="20"/>
                <w:lang w:eastAsia="lv-LV"/>
              </w:rPr>
              <w:t>, jo:</w:t>
            </w:r>
          </w:p>
          <w:p w14:paraId="1A88AC0D" w14:textId="6075160D" w:rsidR="00F66C96" w:rsidRPr="00146FA3" w:rsidRDefault="00F66C96" w:rsidP="00F66C96">
            <w:pPr>
              <w:numPr>
                <w:ilvl w:val="0"/>
                <w:numId w:val="8"/>
              </w:numPr>
              <w:spacing w:line="240" w:lineRule="auto"/>
              <w:contextualSpacing/>
              <w:jc w:val="both"/>
              <w:rPr>
                <w:rFonts w:eastAsia="Times New Roman"/>
                <w:sz w:val="20"/>
                <w:szCs w:val="20"/>
                <w:lang w:eastAsia="lv-LV"/>
              </w:rPr>
            </w:pPr>
            <w:r w:rsidRPr="00146FA3">
              <w:rPr>
                <w:rFonts w:eastAsia="Times New Roman"/>
                <w:sz w:val="20"/>
                <w:szCs w:val="20"/>
                <w:lang w:eastAsia="lv-LV"/>
              </w:rPr>
              <w:t xml:space="preserve">īstermiņā projekta īstenošanas – </w:t>
            </w:r>
            <w:r w:rsidR="00672D25" w:rsidRPr="00672D25">
              <w:rPr>
                <w:rFonts w:eastAsia="Times New Roman"/>
                <w:sz w:val="20"/>
                <w:szCs w:val="20"/>
                <w:lang w:eastAsia="lv-LV"/>
              </w:rPr>
              <w:t>būvniecības procesā ietekme tiks mazināta, zaļā publiskā iepirkuma piemērošana paredzēta saskaņā ar MK noteikumiem Nr. 353, tiks ievēroti visi atbilstošie vides aizsardzības normatīvi.</w:t>
            </w:r>
          </w:p>
          <w:p w14:paraId="15DA0110" w14:textId="62A8E6A3" w:rsidR="00F66C96" w:rsidRDefault="00F66C96" w:rsidP="00672D25">
            <w:pPr>
              <w:numPr>
                <w:ilvl w:val="0"/>
                <w:numId w:val="8"/>
              </w:numPr>
              <w:spacing w:line="240" w:lineRule="auto"/>
              <w:contextualSpacing/>
              <w:jc w:val="both"/>
              <w:rPr>
                <w:rFonts w:eastAsia="Times New Roman"/>
                <w:sz w:val="20"/>
                <w:szCs w:val="20"/>
                <w:lang w:eastAsia="lv-LV"/>
              </w:rPr>
            </w:pPr>
            <w:r w:rsidRPr="00146FA3">
              <w:rPr>
                <w:rFonts w:eastAsia="Times New Roman"/>
                <w:sz w:val="20"/>
                <w:szCs w:val="20"/>
                <w:lang w:eastAsia="lv-LV"/>
              </w:rPr>
              <w:t xml:space="preserve">ilgtermiņā </w:t>
            </w:r>
            <w:r w:rsidR="00672D25">
              <w:rPr>
                <w:rFonts w:eastAsia="Times New Roman"/>
                <w:sz w:val="20"/>
                <w:szCs w:val="20"/>
                <w:lang w:eastAsia="lv-LV"/>
              </w:rPr>
              <w:t>i</w:t>
            </w:r>
            <w:r w:rsidR="00672D25" w:rsidRPr="00672D25">
              <w:rPr>
                <w:rFonts w:eastAsia="Times New Roman"/>
                <w:sz w:val="20"/>
                <w:szCs w:val="20"/>
                <w:lang w:eastAsia="lv-LV"/>
              </w:rPr>
              <w:t xml:space="preserve">eviešot </w:t>
            </w:r>
            <w:r w:rsidR="000D08F0">
              <w:rPr>
                <w:rFonts w:eastAsia="Times New Roman"/>
                <w:sz w:val="20"/>
                <w:szCs w:val="20"/>
                <w:lang w:eastAsia="lv-LV"/>
              </w:rPr>
              <w:t>s</w:t>
            </w:r>
            <w:r w:rsidR="000D08F0" w:rsidRPr="00A075ED">
              <w:rPr>
                <w:rFonts w:eastAsia="Times New Roman"/>
                <w:sz w:val="20"/>
                <w:szCs w:val="20"/>
                <w:lang w:eastAsia="lv-LV"/>
              </w:rPr>
              <w:t>atiksmes plūsm</w:t>
            </w:r>
            <w:r w:rsidR="000D08F0">
              <w:rPr>
                <w:rFonts w:eastAsia="Times New Roman"/>
                <w:sz w:val="20"/>
                <w:szCs w:val="20"/>
                <w:lang w:eastAsia="lv-LV"/>
              </w:rPr>
              <w:t>u</w:t>
            </w:r>
            <w:r w:rsidR="000D08F0" w:rsidRPr="00A075ED">
              <w:rPr>
                <w:rFonts w:eastAsia="Times New Roman"/>
                <w:sz w:val="20"/>
                <w:szCs w:val="20"/>
                <w:lang w:eastAsia="lv-LV"/>
              </w:rPr>
              <w:t xml:space="preserve"> vied</w:t>
            </w:r>
            <w:r w:rsidR="000D08F0">
              <w:rPr>
                <w:rFonts w:eastAsia="Times New Roman"/>
                <w:sz w:val="20"/>
                <w:szCs w:val="20"/>
                <w:lang w:eastAsia="lv-LV"/>
              </w:rPr>
              <w:t>o</w:t>
            </w:r>
            <w:r w:rsidR="000D08F0" w:rsidRPr="00A075ED">
              <w:rPr>
                <w:rFonts w:eastAsia="Times New Roman"/>
                <w:sz w:val="20"/>
                <w:szCs w:val="20"/>
                <w:lang w:eastAsia="lv-LV"/>
              </w:rPr>
              <w:t xml:space="preserve"> tehnoloģi</w:t>
            </w:r>
            <w:r w:rsidR="000D08F0">
              <w:rPr>
                <w:rFonts w:eastAsia="Times New Roman"/>
                <w:sz w:val="20"/>
                <w:szCs w:val="20"/>
                <w:lang w:eastAsia="lv-LV"/>
              </w:rPr>
              <w:t>ju sistēmas tiks</w:t>
            </w:r>
            <w:r w:rsidR="00672D25" w:rsidRPr="00672D25">
              <w:rPr>
                <w:rFonts w:eastAsia="Times New Roman"/>
                <w:sz w:val="20"/>
                <w:szCs w:val="20"/>
                <w:lang w:eastAsia="lv-LV"/>
              </w:rPr>
              <w:t xml:space="preserve"> uzlabot</w:t>
            </w:r>
            <w:r w:rsidR="000D08F0">
              <w:rPr>
                <w:rFonts w:eastAsia="Times New Roman"/>
                <w:sz w:val="20"/>
                <w:szCs w:val="20"/>
                <w:lang w:eastAsia="lv-LV"/>
              </w:rPr>
              <w:t>a</w:t>
            </w:r>
            <w:r w:rsidR="00672D25" w:rsidRPr="00672D25">
              <w:rPr>
                <w:rFonts w:eastAsia="Times New Roman"/>
                <w:sz w:val="20"/>
                <w:szCs w:val="20"/>
                <w:lang w:eastAsia="lv-LV"/>
              </w:rPr>
              <w:t xml:space="preserve"> pasažieru transporta plūsmas un kravu pārvadājumu efektivitāti un drošību, kā arī samazināt </w:t>
            </w:r>
            <w:r w:rsidR="007104BD">
              <w:rPr>
                <w:rFonts w:eastAsia="Times New Roman"/>
                <w:sz w:val="20"/>
                <w:szCs w:val="20"/>
                <w:lang w:eastAsia="lv-LV"/>
              </w:rPr>
              <w:t>SEG</w:t>
            </w:r>
            <w:r w:rsidR="00672D25" w:rsidRPr="00672D25">
              <w:rPr>
                <w:rFonts w:eastAsia="Times New Roman"/>
                <w:sz w:val="20"/>
                <w:szCs w:val="20"/>
                <w:lang w:eastAsia="lv-LV"/>
              </w:rPr>
              <w:t xml:space="preserve"> </w:t>
            </w:r>
            <w:r w:rsidR="007104BD">
              <w:rPr>
                <w:rFonts w:eastAsia="Times New Roman"/>
                <w:sz w:val="20"/>
                <w:szCs w:val="20"/>
                <w:lang w:eastAsia="lv-LV"/>
              </w:rPr>
              <w:t>emisiju</w:t>
            </w:r>
            <w:r w:rsidR="00672D25" w:rsidRPr="00672D25">
              <w:rPr>
                <w:rFonts w:eastAsia="Times New Roman"/>
                <w:sz w:val="20"/>
                <w:szCs w:val="20"/>
                <w:lang w:eastAsia="lv-LV"/>
              </w:rPr>
              <w:t xml:space="preserve"> daudzum</w:t>
            </w:r>
            <w:r w:rsidR="000D08F0">
              <w:rPr>
                <w:rFonts w:eastAsia="Times New Roman"/>
                <w:sz w:val="20"/>
                <w:szCs w:val="20"/>
                <w:lang w:eastAsia="lv-LV"/>
              </w:rPr>
              <w:t>s.</w:t>
            </w:r>
          </w:p>
          <w:p w14:paraId="3F0D45A6" w14:textId="303C56C8" w:rsidR="00672D25" w:rsidRPr="00146FA3" w:rsidRDefault="00672D25" w:rsidP="00672D25">
            <w:pPr>
              <w:spacing w:line="240" w:lineRule="auto"/>
              <w:contextualSpacing/>
              <w:jc w:val="both"/>
              <w:rPr>
                <w:rFonts w:eastAsia="Times New Roman"/>
                <w:sz w:val="20"/>
                <w:szCs w:val="20"/>
                <w:lang w:eastAsia="lv-LV"/>
              </w:rPr>
            </w:pPr>
          </w:p>
        </w:tc>
      </w:tr>
      <w:tr w:rsidR="00F66C96" w:rsidRPr="00146FA3" w14:paraId="43EBA3AD" w14:textId="77777777" w:rsidTr="00F66C96">
        <w:trPr>
          <w:trHeight w:val="2505"/>
        </w:trPr>
        <w:tc>
          <w:tcPr>
            <w:tcW w:w="2410" w:type="dxa"/>
            <w:tcBorders>
              <w:top w:val="single" w:sz="4" w:space="0" w:color="auto"/>
              <w:left w:val="single" w:sz="4" w:space="0" w:color="auto"/>
              <w:bottom w:val="single" w:sz="4" w:space="0" w:color="auto"/>
              <w:right w:val="single" w:sz="4" w:space="0" w:color="auto"/>
            </w:tcBorders>
            <w:hideMark/>
          </w:tcPr>
          <w:p w14:paraId="5B93A708" w14:textId="77777777" w:rsidR="00F66C96" w:rsidRPr="00146FA3" w:rsidRDefault="00F66C96" w:rsidP="00F66C96">
            <w:pPr>
              <w:spacing w:line="240" w:lineRule="auto"/>
              <w:rPr>
                <w:rFonts w:eastAsia="Times New Roman"/>
                <w:sz w:val="20"/>
                <w:szCs w:val="20"/>
                <w:lang w:eastAsia="lv-LV"/>
              </w:rPr>
            </w:pPr>
            <w:r w:rsidRPr="00146FA3">
              <w:rPr>
                <w:rFonts w:eastAsia="Times New Roman"/>
                <w:b/>
                <w:bCs/>
                <w:sz w:val="20"/>
                <w:szCs w:val="20"/>
                <w:lang w:eastAsia="lv-LV"/>
              </w:rPr>
              <w:t>Bioloģiskās daudzveidības un ekosistēmu aizsardzība un atjaunošana.</w:t>
            </w:r>
            <w:r w:rsidRPr="00146FA3">
              <w:rPr>
                <w:rFonts w:eastAsia="Times New Roman"/>
                <w:sz w:val="20"/>
                <w:szCs w:val="20"/>
                <w:lang w:eastAsia="lv-LV"/>
              </w:rPr>
              <w:t xml:space="preserve"> Vai paredzams, ka pasākums:</w:t>
            </w:r>
            <w:r w:rsidRPr="00146FA3">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851" w:type="dxa"/>
            <w:tcBorders>
              <w:top w:val="single" w:sz="4" w:space="0" w:color="auto"/>
              <w:left w:val="single" w:sz="4" w:space="0" w:color="auto"/>
              <w:bottom w:val="single" w:sz="4" w:space="0" w:color="auto"/>
              <w:right w:val="nil"/>
            </w:tcBorders>
            <w:vAlign w:val="center"/>
            <w:hideMark/>
          </w:tcPr>
          <w:p w14:paraId="4A7BCA2D" w14:textId="77777777" w:rsidR="00F66C96" w:rsidRPr="00146FA3" w:rsidRDefault="00F66C96" w:rsidP="00F66C96">
            <w:pPr>
              <w:spacing w:line="240" w:lineRule="auto"/>
              <w:jc w:val="center"/>
              <w:rPr>
                <w:rFonts w:eastAsia="Times New Roman"/>
                <w:b/>
                <w:bCs/>
                <w:sz w:val="20"/>
                <w:szCs w:val="20"/>
                <w:lang w:eastAsia="lv-LV"/>
              </w:rPr>
            </w:pPr>
            <w:r w:rsidRPr="00146FA3">
              <w:rPr>
                <w:rFonts w:eastAsia="Times New Roman"/>
                <w:b/>
                <w:bCs/>
                <w:sz w:val="20"/>
                <w:szCs w:val="20"/>
                <w:lang w:eastAsia="lv-LV"/>
              </w:rPr>
              <w:t>X</w:t>
            </w:r>
          </w:p>
        </w:tc>
        <w:tc>
          <w:tcPr>
            <w:tcW w:w="7512" w:type="dxa"/>
            <w:tcBorders>
              <w:top w:val="single" w:sz="4" w:space="0" w:color="auto"/>
              <w:left w:val="single" w:sz="4" w:space="0" w:color="auto"/>
              <w:bottom w:val="single" w:sz="4" w:space="0" w:color="auto"/>
              <w:right w:val="single" w:sz="4" w:space="0" w:color="auto"/>
            </w:tcBorders>
            <w:hideMark/>
          </w:tcPr>
          <w:p w14:paraId="71CA95F0" w14:textId="6F84F47C" w:rsidR="00F66C96" w:rsidRPr="00146FA3" w:rsidRDefault="00F66C96" w:rsidP="00A075ED">
            <w:pPr>
              <w:spacing w:after="120" w:line="240" w:lineRule="auto"/>
              <w:jc w:val="both"/>
              <w:rPr>
                <w:rFonts w:eastAsiaTheme="minorEastAsia"/>
                <w:sz w:val="20"/>
                <w:szCs w:val="20"/>
                <w:lang w:eastAsia="lv-LV"/>
              </w:rPr>
            </w:pPr>
            <w:r w:rsidRPr="00146FA3">
              <w:rPr>
                <w:rFonts w:eastAsia="Times New Roman"/>
                <w:sz w:val="20"/>
                <w:szCs w:val="20"/>
                <w:lang w:eastAsia="lv-LV"/>
              </w:rPr>
              <w:t>Pasākumam nav paredzama būtiska ietekme, jo</w:t>
            </w:r>
            <w:r w:rsidR="00A075ED">
              <w:rPr>
                <w:rFonts w:eastAsia="Times New Roman"/>
                <w:sz w:val="20"/>
                <w:szCs w:val="20"/>
                <w:lang w:eastAsia="lv-LV"/>
              </w:rPr>
              <w:t xml:space="preserve"> </w:t>
            </w:r>
            <w:r w:rsidRPr="00146FA3">
              <w:rPr>
                <w:rFonts w:eastAsia="Times New Roman"/>
                <w:sz w:val="20"/>
                <w:szCs w:val="20"/>
                <w:lang w:eastAsia="lv-LV"/>
              </w:rPr>
              <w:t xml:space="preserve">plānots, ka </w:t>
            </w:r>
            <w:r w:rsidR="00A075ED">
              <w:rPr>
                <w:rFonts w:eastAsia="Times New Roman"/>
                <w:sz w:val="20"/>
                <w:szCs w:val="20"/>
                <w:lang w:eastAsia="lv-LV"/>
              </w:rPr>
              <w:t>s</w:t>
            </w:r>
            <w:r w:rsidR="00A075ED" w:rsidRPr="00A075ED">
              <w:rPr>
                <w:rFonts w:eastAsia="Times New Roman"/>
                <w:sz w:val="20"/>
                <w:szCs w:val="20"/>
                <w:lang w:eastAsia="lv-LV"/>
              </w:rPr>
              <w:t>atiksmes plūsm</w:t>
            </w:r>
            <w:r w:rsidR="00A075ED">
              <w:rPr>
                <w:rFonts w:eastAsia="Times New Roman"/>
                <w:sz w:val="20"/>
                <w:szCs w:val="20"/>
                <w:lang w:eastAsia="lv-LV"/>
              </w:rPr>
              <w:t>u</w:t>
            </w:r>
            <w:r w:rsidR="00A075ED" w:rsidRPr="00A075ED">
              <w:rPr>
                <w:rFonts w:eastAsia="Times New Roman"/>
                <w:sz w:val="20"/>
                <w:szCs w:val="20"/>
                <w:lang w:eastAsia="lv-LV"/>
              </w:rPr>
              <w:t xml:space="preserve"> vied</w:t>
            </w:r>
            <w:r w:rsidR="00A075ED">
              <w:rPr>
                <w:rFonts w:eastAsia="Times New Roman"/>
                <w:sz w:val="20"/>
                <w:szCs w:val="20"/>
                <w:lang w:eastAsia="lv-LV"/>
              </w:rPr>
              <w:t>o</w:t>
            </w:r>
            <w:r w:rsidR="00A075ED" w:rsidRPr="00A075ED">
              <w:rPr>
                <w:rFonts w:eastAsia="Times New Roman"/>
                <w:sz w:val="20"/>
                <w:szCs w:val="20"/>
                <w:lang w:eastAsia="lv-LV"/>
              </w:rPr>
              <w:t xml:space="preserve"> tehnoloģi</w:t>
            </w:r>
            <w:r w:rsidR="00A075ED">
              <w:rPr>
                <w:rFonts w:eastAsia="Times New Roman"/>
                <w:sz w:val="20"/>
                <w:szCs w:val="20"/>
                <w:lang w:eastAsia="lv-LV"/>
              </w:rPr>
              <w:t xml:space="preserve">ju sistēmu </w:t>
            </w:r>
            <w:r w:rsidR="00B86E0F">
              <w:rPr>
                <w:rFonts w:eastAsia="Times New Roman"/>
                <w:sz w:val="20"/>
                <w:szCs w:val="20"/>
                <w:lang w:eastAsia="lv-LV"/>
              </w:rPr>
              <w:t xml:space="preserve">iespējamie </w:t>
            </w:r>
            <w:r w:rsidR="00A075ED">
              <w:rPr>
                <w:rFonts w:eastAsia="Times New Roman"/>
                <w:sz w:val="20"/>
                <w:szCs w:val="20"/>
                <w:lang w:eastAsia="lv-LV"/>
              </w:rPr>
              <w:t>būv</w:t>
            </w:r>
            <w:r w:rsidRPr="00146FA3">
              <w:rPr>
                <w:rFonts w:eastAsia="Times New Roman"/>
                <w:sz w:val="20"/>
                <w:szCs w:val="20"/>
                <w:lang w:eastAsia="lv-LV"/>
              </w:rPr>
              <w:t>darbi</w:t>
            </w:r>
            <w:r w:rsidRPr="00146FA3">
              <w:rPr>
                <w:sz w:val="20"/>
                <w:szCs w:val="20"/>
                <w:lang w:eastAsia="lv-LV"/>
              </w:rPr>
              <w:t xml:space="preserve"> tiks veikti </w:t>
            </w:r>
            <w:r w:rsidR="00A075ED">
              <w:rPr>
                <w:sz w:val="20"/>
                <w:szCs w:val="20"/>
                <w:lang w:eastAsia="lv-LV"/>
              </w:rPr>
              <w:t>satiksmes infrastruktūrai paredzētajā teritorijā</w:t>
            </w:r>
            <w:r w:rsidR="00B86E0F">
              <w:rPr>
                <w:sz w:val="20"/>
                <w:szCs w:val="20"/>
                <w:lang w:eastAsia="lv-LV"/>
              </w:rPr>
              <w:t>.</w:t>
            </w:r>
          </w:p>
          <w:p w14:paraId="21F15F8F" w14:textId="412F0D91" w:rsidR="00F66C96" w:rsidRPr="00146FA3" w:rsidRDefault="00672D25" w:rsidP="00A075ED">
            <w:pPr>
              <w:spacing w:after="120" w:line="240" w:lineRule="auto"/>
              <w:contextualSpacing/>
              <w:jc w:val="both"/>
              <w:rPr>
                <w:rFonts w:eastAsia="Times New Roman"/>
                <w:sz w:val="20"/>
                <w:szCs w:val="20"/>
                <w:lang w:eastAsia="lv-LV"/>
              </w:rPr>
            </w:pPr>
            <w:r>
              <w:rPr>
                <w:sz w:val="20"/>
                <w:szCs w:val="20"/>
                <w:lang w:eastAsia="lv-LV"/>
              </w:rPr>
              <w:t xml:space="preserve">Nepieciešamības gadījumā </w:t>
            </w:r>
            <w:r w:rsidR="00F66C96" w:rsidRPr="00146FA3">
              <w:rPr>
                <w:sz w:val="20"/>
                <w:szCs w:val="20"/>
                <w:lang w:eastAsia="lv-LV"/>
              </w:rPr>
              <w:t>visiem plānotajiem pasākumiem t</w:t>
            </w:r>
            <w:r w:rsidR="00F66C96" w:rsidRPr="00146FA3">
              <w:rPr>
                <w:rFonts w:eastAsia="Times New Roman"/>
                <w:sz w:val="20"/>
                <w:szCs w:val="20"/>
                <w:lang w:eastAsia="lv-LV"/>
              </w:rPr>
              <w:t xml:space="preserve">iks veikts ietekmes uz vidi novērtējums saskaņā ar normatīvajos aktos noteikto un Direktīvu 2011/92/ES par dažu sabiedrisku un privātu projektu ietekmes uz vidi novērtējumu, tai skaitā nepieciešamības gadījumā tiek noteikti un ieviesti ietekmi mazinošie pasākumi. </w:t>
            </w:r>
          </w:p>
        </w:tc>
      </w:tr>
    </w:tbl>
    <w:p w14:paraId="2BE72D15" w14:textId="77777777" w:rsidR="00F66C96" w:rsidRPr="00146FA3" w:rsidRDefault="00F66C96" w:rsidP="008B6EDE">
      <w:pPr>
        <w:spacing w:line="240" w:lineRule="auto"/>
        <w:jc w:val="center"/>
        <w:rPr>
          <w:rFonts w:eastAsia="Times New Roman"/>
          <w:b/>
          <w:sz w:val="20"/>
          <w:szCs w:val="20"/>
        </w:rPr>
      </w:pPr>
    </w:p>
    <w:sectPr w:rsidR="00F66C96" w:rsidRPr="00146FA3"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6058" w14:textId="77777777" w:rsidR="00F65488" w:rsidRDefault="00F65488" w:rsidP="003062B1">
      <w:pPr>
        <w:spacing w:line="240" w:lineRule="auto"/>
      </w:pPr>
      <w:r>
        <w:separator/>
      </w:r>
    </w:p>
  </w:endnote>
  <w:endnote w:type="continuationSeparator" w:id="0">
    <w:p w14:paraId="482CF831" w14:textId="77777777" w:rsidR="00F65488" w:rsidRDefault="00F65488"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25D31" w14:textId="77777777" w:rsidR="00F65488" w:rsidRDefault="00F65488" w:rsidP="003062B1">
      <w:pPr>
        <w:spacing w:line="240" w:lineRule="auto"/>
      </w:pPr>
      <w:r>
        <w:separator/>
      </w:r>
    </w:p>
  </w:footnote>
  <w:footnote w:type="continuationSeparator" w:id="0">
    <w:p w14:paraId="0976362A" w14:textId="77777777" w:rsidR="00F65488" w:rsidRDefault="00F65488" w:rsidP="003062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6F36"/>
    <w:multiLevelType w:val="hybridMultilevel"/>
    <w:tmpl w:val="5C28EEE2"/>
    <w:lvl w:ilvl="0" w:tplc="04260001">
      <w:start w:val="1"/>
      <w:numFmt w:val="bullet"/>
      <w:lvlText w:val=""/>
      <w:lvlJc w:val="left"/>
      <w:pPr>
        <w:ind w:left="720" w:hanging="360"/>
      </w:pPr>
      <w:rPr>
        <w:rFonts w:ascii="Symbol" w:hAnsi="Symbol" w:hint="default"/>
      </w:rPr>
    </w:lvl>
    <w:lvl w:ilvl="1" w:tplc="93049924">
      <w:start w:val="1"/>
      <w:numFmt w:val="lowerLetter"/>
      <w:lvlText w:val="%2."/>
      <w:lvlJc w:val="left"/>
      <w:pPr>
        <w:ind w:left="1440" w:hanging="360"/>
      </w:pPr>
    </w:lvl>
    <w:lvl w:ilvl="2" w:tplc="80D02B9E">
      <w:start w:val="1"/>
      <w:numFmt w:val="lowerRoman"/>
      <w:lvlText w:val="%3."/>
      <w:lvlJc w:val="right"/>
      <w:pPr>
        <w:ind w:left="2160" w:hanging="180"/>
      </w:pPr>
    </w:lvl>
    <w:lvl w:ilvl="3" w:tplc="D5141B5A">
      <w:start w:val="1"/>
      <w:numFmt w:val="decimal"/>
      <w:lvlText w:val="%4."/>
      <w:lvlJc w:val="left"/>
      <w:pPr>
        <w:ind w:left="2880" w:hanging="360"/>
      </w:pPr>
    </w:lvl>
    <w:lvl w:ilvl="4" w:tplc="B978D752">
      <w:start w:val="1"/>
      <w:numFmt w:val="lowerLetter"/>
      <w:lvlText w:val="%5."/>
      <w:lvlJc w:val="left"/>
      <w:pPr>
        <w:ind w:left="3600" w:hanging="360"/>
      </w:pPr>
    </w:lvl>
    <w:lvl w:ilvl="5" w:tplc="FBAC8A7E">
      <w:start w:val="1"/>
      <w:numFmt w:val="lowerRoman"/>
      <w:lvlText w:val="%6."/>
      <w:lvlJc w:val="right"/>
      <w:pPr>
        <w:ind w:left="4320" w:hanging="180"/>
      </w:pPr>
    </w:lvl>
    <w:lvl w:ilvl="6" w:tplc="97B09FF6">
      <w:start w:val="1"/>
      <w:numFmt w:val="decimal"/>
      <w:lvlText w:val="%7."/>
      <w:lvlJc w:val="left"/>
      <w:pPr>
        <w:ind w:left="5040" w:hanging="360"/>
      </w:pPr>
    </w:lvl>
    <w:lvl w:ilvl="7" w:tplc="1444D2AE">
      <w:start w:val="1"/>
      <w:numFmt w:val="lowerLetter"/>
      <w:lvlText w:val="%8."/>
      <w:lvlJc w:val="left"/>
      <w:pPr>
        <w:ind w:left="5760" w:hanging="360"/>
      </w:pPr>
    </w:lvl>
    <w:lvl w:ilvl="8" w:tplc="D3F857FE">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31360D6"/>
    <w:multiLevelType w:val="hybridMultilevel"/>
    <w:tmpl w:val="FFFFFFFF"/>
    <w:lvl w:ilvl="0" w:tplc="8EDC1A62">
      <w:start w:val="1"/>
      <w:numFmt w:val="bullet"/>
      <w:lvlText w:val="·"/>
      <w:lvlJc w:val="left"/>
      <w:pPr>
        <w:ind w:left="720" w:hanging="360"/>
      </w:pPr>
      <w:rPr>
        <w:rFonts w:ascii="Symbol" w:hAnsi="Symbol" w:hint="default"/>
      </w:rPr>
    </w:lvl>
    <w:lvl w:ilvl="1" w:tplc="9B2A2BE2">
      <w:start w:val="1"/>
      <w:numFmt w:val="bullet"/>
      <w:lvlText w:val="o"/>
      <w:lvlJc w:val="left"/>
      <w:pPr>
        <w:ind w:left="1440" w:hanging="360"/>
      </w:pPr>
      <w:rPr>
        <w:rFonts w:ascii="Courier New" w:hAnsi="Courier New" w:hint="default"/>
      </w:rPr>
    </w:lvl>
    <w:lvl w:ilvl="2" w:tplc="D67045BA">
      <w:start w:val="1"/>
      <w:numFmt w:val="bullet"/>
      <w:lvlText w:val=""/>
      <w:lvlJc w:val="left"/>
      <w:pPr>
        <w:ind w:left="2160" w:hanging="360"/>
      </w:pPr>
      <w:rPr>
        <w:rFonts w:ascii="Wingdings" w:hAnsi="Wingdings" w:hint="default"/>
      </w:rPr>
    </w:lvl>
    <w:lvl w:ilvl="3" w:tplc="6D221048">
      <w:start w:val="1"/>
      <w:numFmt w:val="bullet"/>
      <w:lvlText w:val=""/>
      <w:lvlJc w:val="left"/>
      <w:pPr>
        <w:ind w:left="2880" w:hanging="360"/>
      </w:pPr>
      <w:rPr>
        <w:rFonts w:ascii="Symbol" w:hAnsi="Symbol" w:hint="default"/>
      </w:rPr>
    </w:lvl>
    <w:lvl w:ilvl="4" w:tplc="DF08C0B2">
      <w:start w:val="1"/>
      <w:numFmt w:val="bullet"/>
      <w:lvlText w:val="o"/>
      <w:lvlJc w:val="left"/>
      <w:pPr>
        <w:ind w:left="3600" w:hanging="360"/>
      </w:pPr>
      <w:rPr>
        <w:rFonts w:ascii="Courier New" w:hAnsi="Courier New" w:hint="default"/>
      </w:rPr>
    </w:lvl>
    <w:lvl w:ilvl="5" w:tplc="E404EED4">
      <w:start w:val="1"/>
      <w:numFmt w:val="bullet"/>
      <w:lvlText w:val=""/>
      <w:lvlJc w:val="left"/>
      <w:pPr>
        <w:ind w:left="4320" w:hanging="360"/>
      </w:pPr>
      <w:rPr>
        <w:rFonts w:ascii="Wingdings" w:hAnsi="Wingdings" w:hint="default"/>
      </w:rPr>
    </w:lvl>
    <w:lvl w:ilvl="6" w:tplc="036221C6">
      <w:start w:val="1"/>
      <w:numFmt w:val="bullet"/>
      <w:lvlText w:val=""/>
      <w:lvlJc w:val="left"/>
      <w:pPr>
        <w:ind w:left="5040" w:hanging="360"/>
      </w:pPr>
      <w:rPr>
        <w:rFonts w:ascii="Symbol" w:hAnsi="Symbol" w:hint="default"/>
      </w:rPr>
    </w:lvl>
    <w:lvl w:ilvl="7" w:tplc="1456AF1C">
      <w:start w:val="1"/>
      <w:numFmt w:val="bullet"/>
      <w:lvlText w:val="o"/>
      <w:lvlJc w:val="left"/>
      <w:pPr>
        <w:ind w:left="5760" w:hanging="360"/>
      </w:pPr>
      <w:rPr>
        <w:rFonts w:ascii="Courier New" w:hAnsi="Courier New" w:hint="default"/>
      </w:rPr>
    </w:lvl>
    <w:lvl w:ilvl="8" w:tplc="700E2CBE">
      <w:start w:val="1"/>
      <w:numFmt w:val="bullet"/>
      <w:lvlText w:val=""/>
      <w:lvlJc w:val="left"/>
      <w:pPr>
        <w:ind w:left="6480" w:hanging="360"/>
      </w:pPr>
      <w:rPr>
        <w:rFonts w:ascii="Wingdings" w:hAnsi="Wingdings" w:hint="default"/>
      </w:rPr>
    </w:lvl>
  </w:abstractNum>
  <w:abstractNum w:abstractNumId="3" w15:restartNumberingAfterBreak="0">
    <w:nsid w:val="13607196"/>
    <w:multiLevelType w:val="hybridMultilevel"/>
    <w:tmpl w:val="BE601278"/>
    <w:lvl w:ilvl="0" w:tplc="B502C4D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56F7EA1"/>
    <w:multiLevelType w:val="hybridMultilevel"/>
    <w:tmpl w:val="FFFFFFFF"/>
    <w:lvl w:ilvl="0" w:tplc="9A7C332C">
      <w:start w:val="1"/>
      <w:numFmt w:val="bullet"/>
      <w:lvlText w:val="·"/>
      <w:lvlJc w:val="left"/>
      <w:pPr>
        <w:ind w:left="720" w:hanging="360"/>
      </w:pPr>
      <w:rPr>
        <w:rFonts w:ascii="Symbol" w:hAnsi="Symbol" w:hint="default"/>
      </w:rPr>
    </w:lvl>
    <w:lvl w:ilvl="1" w:tplc="AEC0A3BC">
      <w:start w:val="1"/>
      <w:numFmt w:val="bullet"/>
      <w:lvlText w:val="o"/>
      <w:lvlJc w:val="left"/>
      <w:pPr>
        <w:ind w:left="1440" w:hanging="360"/>
      </w:pPr>
      <w:rPr>
        <w:rFonts w:ascii="Courier New" w:hAnsi="Courier New" w:hint="default"/>
      </w:rPr>
    </w:lvl>
    <w:lvl w:ilvl="2" w:tplc="E09097FA">
      <w:start w:val="1"/>
      <w:numFmt w:val="bullet"/>
      <w:lvlText w:val=""/>
      <w:lvlJc w:val="left"/>
      <w:pPr>
        <w:ind w:left="2160" w:hanging="360"/>
      </w:pPr>
      <w:rPr>
        <w:rFonts w:ascii="Wingdings" w:hAnsi="Wingdings" w:hint="default"/>
      </w:rPr>
    </w:lvl>
    <w:lvl w:ilvl="3" w:tplc="CF66307E">
      <w:start w:val="1"/>
      <w:numFmt w:val="bullet"/>
      <w:lvlText w:val=""/>
      <w:lvlJc w:val="left"/>
      <w:pPr>
        <w:ind w:left="2880" w:hanging="360"/>
      </w:pPr>
      <w:rPr>
        <w:rFonts w:ascii="Symbol" w:hAnsi="Symbol" w:hint="default"/>
      </w:rPr>
    </w:lvl>
    <w:lvl w:ilvl="4" w:tplc="DF4C1F32">
      <w:start w:val="1"/>
      <w:numFmt w:val="bullet"/>
      <w:lvlText w:val="o"/>
      <w:lvlJc w:val="left"/>
      <w:pPr>
        <w:ind w:left="3600" w:hanging="360"/>
      </w:pPr>
      <w:rPr>
        <w:rFonts w:ascii="Courier New" w:hAnsi="Courier New" w:hint="default"/>
      </w:rPr>
    </w:lvl>
    <w:lvl w:ilvl="5" w:tplc="470AD69C">
      <w:start w:val="1"/>
      <w:numFmt w:val="bullet"/>
      <w:lvlText w:val=""/>
      <w:lvlJc w:val="left"/>
      <w:pPr>
        <w:ind w:left="4320" w:hanging="360"/>
      </w:pPr>
      <w:rPr>
        <w:rFonts w:ascii="Wingdings" w:hAnsi="Wingdings" w:hint="default"/>
      </w:rPr>
    </w:lvl>
    <w:lvl w:ilvl="6" w:tplc="CB202ECE">
      <w:start w:val="1"/>
      <w:numFmt w:val="bullet"/>
      <w:lvlText w:val=""/>
      <w:lvlJc w:val="left"/>
      <w:pPr>
        <w:ind w:left="5040" w:hanging="360"/>
      </w:pPr>
      <w:rPr>
        <w:rFonts w:ascii="Symbol" w:hAnsi="Symbol" w:hint="default"/>
      </w:rPr>
    </w:lvl>
    <w:lvl w:ilvl="7" w:tplc="071285C0">
      <w:start w:val="1"/>
      <w:numFmt w:val="bullet"/>
      <w:lvlText w:val="o"/>
      <w:lvlJc w:val="left"/>
      <w:pPr>
        <w:ind w:left="5760" w:hanging="360"/>
      </w:pPr>
      <w:rPr>
        <w:rFonts w:ascii="Courier New" w:hAnsi="Courier New" w:hint="default"/>
      </w:rPr>
    </w:lvl>
    <w:lvl w:ilvl="8" w:tplc="A0D0C42A">
      <w:start w:val="1"/>
      <w:numFmt w:val="bullet"/>
      <w:lvlText w:val=""/>
      <w:lvlJc w:val="left"/>
      <w:pPr>
        <w:ind w:left="6480" w:hanging="360"/>
      </w:pPr>
      <w:rPr>
        <w:rFonts w:ascii="Wingdings" w:hAnsi="Wingdings" w:hint="default"/>
      </w:rPr>
    </w:lvl>
  </w:abstractNum>
  <w:abstractNum w:abstractNumId="5" w15:restartNumberingAfterBreak="0">
    <w:nsid w:val="158413CF"/>
    <w:multiLevelType w:val="hybridMultilevel"/>
    <w:tmpl w:val="21A40E0A"/>
    <w:lvl w:ilvl="0" w:tplc="04260001">
      <w:start w:val="1"/>
      <w:numFmt w:val="bullet"/>
      <w:lvlText w:val=""/>
      <w:lvlJc w:val="left"/>
      <w:pPr>
        <w:ind w:left="742" w:hanging="360"/>
      </w:pPr>
      <w:rPr>
        <w:rFonts w:ascii="Symbol" w:hAnsi="Symbol" w:hint="default"/>
      </w:rPr>
    </w:lvl>
    <w:lvl w:ilvl="1" w:tplc="04260003" w:tentative="1">
      <w:start w:val="1"/>
      <w:numFmt w:val="bullet"/>
      <w:lvlText w:val="o"/>
      <w:lvlJc w:val="left"/>
      <w:pPr>
        <w:ind w:left="1462" w:hanging="360"/>
      </w:pPr>
      <w:rPr>
        <w:rFonts w:ascii="Courier New" w:hAnsi="Courier New" w:cs="Courier New" w:hint="default"/>
      </w:rPr>
    </w:lvl>
    <w:lvl w:ilvl="2" w:tplc="04260005" w:tentative="1">
      <w:start w:val="1"/>
      <w:numFmt w:val="bullet"/>
      <w:lvlText w:val=""/>
      <w:lvlJc w:val="left"/>
      <w:pPr>
        <w:ind w:left="2182" w:hanging="360"/>
      </w:pPr>
      <w:rPr>
        <w:rFonts w:ascii="Wingdings" w:hAnsi="Wingdings" w:hint="default"/>
      </w:rPr>
    </w:lvl>
    <w:lvl w:ilvl="3" w:tplc="04260001" w:tentative="1">
      <w:start w:val="1"/>
      <w:numFmt w:val="bullet"/>
      <w:lvlText w:val=""/>
      <w:lvlJc w:val="left"/>
      <w:pPr>
        <w:ind w:left="2902" w:hanging="360"/>
      </w:pPr>
      <w:rPr>
        <w:rFonts w:ascii="Symbol" w:hAnsi="Symbol" w:hint="default"/>
      </w:rPr>
    </w:lvl>
    <w:lvl w:ilvl="4" w:tplc="04260003" w:tentative="1">
      <w:start w:val="1"/>
      <w:numFmt w:val="bullet"/>
      <w:lvlText w:val="o"/>
      <w:lvlJc w:val="left"/>
      <w:pPr>
        <w:ind w:left="3622" w:hanging="360"/>
      </w:pPr>
      <w:rPr>
        <w:rFonts w:ascii="Courier New" w:hAnsi="Courier New" w:cs="Courier New" w:hint="default"/>
      </w:rPr>
    </w:lvl>
    <w:lvl w:ilvl="5" w:tplc="04260005" w:tentative="1">
      <w:start w:val="1"/>
      <w:numFmt w:val="bullet"/>
      <w:lvlText w:val=""/>
      <w:lvlJc w:val="left"/>
      <w:pPr>
        <w:ind w:left="4342" w:hanging="360"/>
      </w:pPr>
      <w:rPr>
        <w:rFonts w:ascii="Wingdings" w:hAnsi="Wingdings" w:hint="default"/>
      </w:rPr>
    </w:lvl>
    <w:lvl w:ilvl="6" w:tplc="04260001" w:tentative="1">
      <w:start w:val="1"/>
      <w:numFmt w:val="bullet"/>
      <w:lvlText w:val=""/>
      <w:lvlJc w:val="left"/>
      <w:pPr>
        <w:ind w:left="5062" w:hanging="360"/>
      </w:pPr>
      <w:rPr>
        <w:rFonts w:ascii="Symbol" w:hAnsi="Symbol" w:hint="default"/>
      </w:rPr>
    </w:lvl>
    <w:lvl w:ilvl="7" w:tplc="04260003" w:tentative="1">
      <w:start w:val="1"/>
      <w:numFmt w:val="bullet"/>
      <w:lvlText w:val="o"/>
      <w:lvlJc w:val="left"/>
      <w:pPr>
        <w:ind w:left="5782" w:hanging="360"/>
      </w:pPr>
      <w:rPr>
        <w:rFonts w:ascii="Courier New" w:hAnsi="Courier New" w:cs="Courier New" w:hint="default"/>
      </w:rPr>
    </w:lvl>
    <w:lvl w:ilvl="8" w:tplc="04260005" w:tentative="1">
      <w:start w:val="1"/>
      <w:numFmt w:val="bullet"/>
      <w:lvlText w:val=""/>
      <w:lvlJc w:val="left"/>
      <w:pPr>
        <w:ind w:left="6502" w:hanging="360"/>
      </w:pPr>
      <w:rPr>
        <w:rFonts w:ascii="Wingdings" w:hAnsi="Wingdings" w:hint="default"/>
      </w:rPr>
    </w:lvl>
  </w:abstractNum>
  <w:abstractNum w:abstractNumId="6" w15:restartNumberingAfterBreak="0">
    <w:nsid w:val="236768AC"/>
    <w:multiLevelType w:val="hybridMultilevel"/>
    <w:tmpl w:val="A4A49C1C"/>
    <w:lvl w:ilvl="0" w:tplc="04260001">
      <w:start w:val="1"/>
      <w:numFmt w:val="bullet"/>
      <w:lvlText w:val=""/>
      <w:lvlJc w:val="left"/>
      <w:pPr>
        <w:ind w:left="764" w:hanging="360"/>
      </w:pPr>
      <w:rPr>
        <w:rFonts w:ascii="Symbol" w:hAnsi="Symbol" w:hint="default"/>
      </w:rPr>
    </w:lvl>
    <w:lvl w:ilvl="1" w:tplc="04260003" w:tentative="1">
      <w:start w:val="1"/>
      <w:numFmt w:val="bullet"/>
      <w:lvlText w:val="o"/>
      <w:lvlJc w:val="left"/>
      <w:pPr>
        <w:ind w:left="1484" w:hanging="360"/>
      </w:pPr>
      <w:rPr>
        <w:rFonts w:ascii="Courier New" w:hAnsi="Courier New" w:cs="Courier New" w:hint="default"/>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7" w15:restartNumberingAfterBreak="0">
    <w:nsid w:val="23B336DC"/>
    <w:multiLevelType w:val="hybridMultilevel"/>
    <w:tmpl w:val="854E81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DCB747A"/>
    <w:multiLevelType w:val="hybridMultilevel"/>
    <w:tmpl w:val="5BBA6E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FBA2C59"/>
    <w:multiLevelType w:val="hybridMultilevel"/>
    <w:tmpl w:val="069007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19693E"/>
    <w:multiLevelType w:val="hybridMultilevel"/>
    <w:tmpl w:val="665A21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3AB44BC"/>
    <w:multiLevelType w:val="hybridMultilevel"/>
    <w:tmpl w:val="6FB86DB4"/>
    <w:lvl w:ilvl="0" w:tplc="8E245E34">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15:restartNumberingAfterBreak="0">
    <w:nsid w:val="569903A4"/>
    <w:multiLevelType w:val="hybridMultilevel"/>
    <w:tmpl w:val="FFFFFFFF"/>
    <w:lvl w:ilvl="0" w:tplc="C7548DE2">
      <w:start w:val="1"/>
      <w:numFmt w:val="bullet"/>
      <w:lvlText w:val="·"/>
      <w:lvlJc w:val="left"/>
      <w:pPr>
        <w:ind w:left="720" w:hanging="360"/>
      </w:pPr>
      <w:rPr>
        <w:rFonts w:ascii="Symbol" w:hAnsi="Symbol" w:hint="default"/>
      </w:rPr>
    </w:lvl>
    <w:lvl w:ilvl="1" w:tplc="889C3AF2">
      <w:start w:val="1"/>
      <w:numFmt w:val="bullet"/>
      <w:lvlText w:val="o"/>
      <w:lvlJc w:val="left"/>
      <w:pPr>
        <w:ind w:left="1440" w:hanging="360"/>
      </w:pPr>
      <w:rPr>
        <w:rFonts w:ascii="Courier New" w:hAnsi="Courier New" w:hint="default"/>
      </w:rPr>
    </w:lvl>
    <w:lvl w:ilvl="2" w:tplc="B58093F8">
      <w:start w:val="1"/>
      <w:numFmt w:val="bullet"/>
      <w:lvlText w:val=""/>
      <w:lvlJc w:val="left"/>
      <w:pPr>
        <w:ind w:left="2160" w:hanging="360"/>
      </w:pPr>
      <w:rPr>
        <w:rFonts w:ascii="Wingdings" w:hAnsi="Wingdings" w:hint="default"/>
      </w:rPr>
    </w:lvl>
    <w:lvl w:ilvl="3" w:tplc="F4D417FA">
      <w:start w:val="1"/>
      <w:numFmt w:val="bullet"/>
      <w:lvlText w:val=""/>
      <w:lvlJc w:val="left"/>
      <w:pPr>
        <w:ind w:left="2880" w:hanging="360"/>
      </w:pPr>
      <w:rPr>
        <w:rFonts w:ascii="Symbol" w:hAnsi="Symbol" w:hint="default"/>
      </w:rPr>
    </w:lvl>
    <w:lvl w:ilvl="4" w:tplc="365E00EC">
      <w:start w:val="1"/>
      <w:numFmt w:val="bullet"/>
      <w:lvlText w:val="o"/>
      <w:lvlJc w:val="left"/>
      <w:pPr>
        <w:ind w:left="3600" w:hanging="360"/>
      </w:pPr>
      <w:rPr>
        <w:rFonts w:ascii="Courier New" w:hAnsi="Courier New" w:hint="default"/>
      </w:rPr>
    </w:lvl>
    <w:lvl w:ilvl="5" w:tplc="987C667A">
      <w:start w:val="1"/>
      <w:numFmt w:val="bullet"/>
      <w:lvlText w:val=""/>
      <w:lvlJc w:val="left"/>
      <w:pPr>
        <w:ind w:left="4320" w:hanging="360"/>
      </w:pPr>
      <w:rPr>
        <w:rFonts w:ascii="Wingdings" w:hAnsi="Wingdings" w:hint="default"/>
      </w:rPr>
    </w:lvl>
    <w:lvl w:ilvl="6" w:tplc="E57ECD2A">
      <w:start w:val="1"/>
      <w:numFmt w:val="bullet"/>
      <w:lvlText w:val=""/>
      <w:lvlJc w:val="left"/>
      <w:pPr>
        <w:ind w:left="5040" w:hanging="360"/>
      </w:pPr>
      <w:rPr>
        <w:rFonts w:ascii="Symbol" w:hAnsi="Symbol" w:hint="default"/>
      </w:rPr>
    </w:lvl>
    <w:lvl w:ilvl="7" w:tplc="426A6FB4">
      <w:start w:val="1"/>
      <w:numFmt w:val="bullet"/>
      <w:lvlText w:val="o"/>
      <w:lvlJc w:val="left"/>
      <w:pPr>
        <w:ind w:left="5760" w:hanging="360"/>
      </w:pPr>
      <w:rPr>
        <w:rFonts w:ascii="Courier New" w:hAnsi="Courier New" w:hint="default"/>
      </w:rPr>
    </w:lvl>
    <w:lvl w:ilvl="8" w:tplc="B56A3076">
      <w:start w:val="1"/>
      <w:numFmt w:val="bullet"/>
      <w:lvlText w:val=""/>
      <w:lvlJc w:val="left"/>
      <w:pPr>
        <w:ind w:left="6480" w:hanging="360"/>
      </w:pPr>
      <w:rPr>
        <w:rFonts w:ascii="Wingdings" w:hAnsi="Wingdings" w:hint="default"/>
      </w:rPr>
    </w:lvl>
  </w:abstractNum>
  <w:abstractNum w:abstractNumId="14" w15:restartNumberingAfterBreak="0">
    <w:nsid w:val="5C962C9D"/>
    <w:multiLevelType w:val="hybridMultilevel"/>
    <w:tmpl w:val="FFFFFFFF"/>
    <w:lvl w:ilvl="0" w:tplc="7E5AB624">
      <w:start w:val="1"/>
      <w:numFmt w:val="bullet"/>
      <w:lvlText w:val="·"/>
      <w:lvlJc w:val="left"/>
      <w:pPr>
        <w:ind w:left="720" w:hanging="360"/>
      </w:pPr>
      <w:rPr>
        <w:rFonts w:ascii="Symbol" w:hAnsi="Symbol" w:hint="default"/>
      </w:rPr>
    </w:lvl>
    <w:lvl w:ilvl="1" w:tplc="28886028">
      <w:start w:val="1"/>
      <w:numFmt w:val="bullet"/>
      <w:lvlText w:val="o"/>
      <w:lvlJc w:val="left"/>
      <w:pPr>
        <w:ind w:left="1440" w:hanging="360"/>
      </w:pPr>
      <w:rPr>
        <w:rFonts w:ascii="Courier New" w:hAnsi="Courier New" w:hint="default"/>
      </w:rPr>
    </w:lvl>
    <w:lvl w:ilvl="2" w:tplc="3508BEEE">
      <w:start w:val="1"/>
      <w:numFmt w:val="bullet"/>
      <w:lvlText w:val=""/>
      <w:lvlJc w:val="left"/>
      <w:pPr>
        <w:ind w:left="2160" w:hanging="360"/>
      </w:pPr>
      <w:rPr>
        <w:rFonts w:ascii="Wingdings" w:hAnsi="Wingdings" w:hint="default"/>
      </w:rPr>
    </w:lvl>
    <w:lvl w:ilvl="3" w:tplc="383CA3B0">
      <w:start w:val="1"/>
      <w:numFmt w:val="bullet"/>
      <w:lvlText w:val=""/>
      <w:lvlJc w:val="left"/>
      <w:pPr>
        <w:ind w:left="2880" w:hanging="360"/>
      </w:pPr>
      <w:rPr>
        <w:rFonts w:ascii="Symbol" w:hAnsi="Symbol" w:hint="default"/>
      </w:rPr>
    </w:lvl>
    <w:lvl w:ilvl="4" w:tplc="11E62052">
      <w:start w:val="1"/>
      <w:numFmt w:val="bullet"/>
      <w:lvlText w:val="o"/>
      <w:lvlJc w:val="left"/>
      <w:pPr>
        <w:ind w:left="3600" w:hanging="360"/>
      </w:pPr>
      <w:rPr>
        <w:rFonts w:ascii="Courier New" w:hAnsi="Courier New" w:hint="default"/>
      </w:rPr>
    </w:lvl>
    <w:lvl w:ilvl="5" w:tplc="32EAA976">
      <w:start w:val="1"/>
      <w:numFmt w:val="bullet"/>
      <w:lvlText w:val=""/>
      <w:lvlJc w:val="left"/>
      <w:pPr>
        <w:ind w:left="4320" w:hanging="360"/>
      </w:pPr>
      <w:rPr>
        <w:rFonts w:ascii="Wingdings" w:hAnsi="Wingdings" w:hint="default"/>
      </w:rPr>
    </w:lvl>
    <w:lvl w:ilvl="6" w:tplc="B704C1E2">
      <w:start w:val="1"/>
      <w:numFmt w:val="bullet"/>
      <w:lvlText w:val=""/>
      <w:lvlJc w:val="left"/>
      <w:pPr>
        <w:ind w:left="5040" w:hanging="360"/>
      </w:pPr>
      <w:rPr>
        <w:rFonts w:ascii="Symbol" w:hAnsi="Symbol" w:hint="default"/>
      </w:rPr>
    </w:lvl>
    <w:lvl w:ilvl="7" w:tplc="866C40DA">
      <w:start w:val="1"/>
      <w:numFmt w:val="bullet"/>
      <w:lvlText w:val="o"/>
      <w:lvlJc w:val="left"/>
      <w:pPr>
        <w:ind w:left="5760" w:hanging="360"/>
      </w:pPr>
      <w:rPr>
        <w:rFonts w:ascii="Courier New" w:hAnsi="Courier New" w:hint="default"/>
      </w:rPr>
    </w:lvl>
    <w:lvl w:ilvl="8" w:tplc="5F34D630">
      <w:start w:val="1"/>
      <w:numFmt w:val="bullet"/>
      <w:lvlText w:val=""/>
      <w:lvlJc w:val="left"/>
      <w:pPr>
        <w:ind w:left="6480" w:hanging="360"/>
      </w:pPr>
      <w:rPr>
        <w:rFonts w:ascii="Wingdings" w:hAnsi="Wingdings" w:hint="default"/>
      </w:rPr>
    </w:lvl>
  </w:abstractNum>
  <w:abstractNum w:abstractNumId="15" w15:restartNumberingAfterBreak="0">
    <w:nsid w:val="649D3725"/>
    <w:multiLevelType w:val="hybridMultilevel"/>
    <w:tmpl w:val="0EA8B89C"/>
    <w:lvl w:ilvl="0" w:tplc="60E23E86">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4A12F1"/>
    <w:multiLevelType w:val="hybridMultilevel"/>
    <w:tmpl w:val="FFFFFFFF"/>
    <w:lvl w:ilvl="0" w:tplc="9FBA1E62">
      <w:start w:val="1"/>
      <w:numFmt w:val="bullet"/>
      <w:lvlText w:val="·"/>
      <w:lvlJc w:val="left"/>
      <w:pPr>
        <w:ind w:left="720" w:hanging="360"/>
      </w:pPr>
      <w:rPr>
        <w:rFonts w:ascii="Symbol" w:hAnsi="Symbol" w:hint="default"/>
      </w:rPr>
    </w:lvl>
    <w:lvl w:ilvl="1" w:tplc="085AB322">
      <w:start w:val="1"/>
      <w:numFmt w:val="bullet"/>
      <w:lvlText w:val="o"/>
      <w:lvlJc w:val="left"/>
      <w:pPr>
        <w:ind w:left="1440" w:hanging="360"/>
      </w:pPr>
      <w:rPr>
        <w:rFonts w:ascii="Courier New" w:hAnsi="Courier New" w:hint="default"/>
      </w:rPr>
    </w:lvl>
    <w:lvl w:ilvl="2" w:tplc="C1E64352">
      <w:start w:val="1"/>
      <w:numFmt w:val="bullet"/>
      <w:lvlText w:val=""/>
      <w:lvlJc w:val="left"/>
      <w:pPr>
        <w:ind w:left="2160" w:hanging="360"/>
      </w:pPr>
      <w:rPr>
        <w:rFonts w:ascii="Wingdings" w:hAnsi="Wingdings" w:hint="default"/>
      </w:rPr>
    </w:lvl>
    <w:lvl w:ilvl="3" w:tplc="F24E4CFA">
      <w:start w:val="1"/>
      <w:numFmt w:val="bullet"/>
      <w:lvlText w:val=""/>
      <w:lvlJc w:val="left"/>
      <w:pPr>
        <w:ind w:left="2880" w:hanging="360"/>
      </w:pPr>
      <w:rPr>
        <w:rFonts w:ascii="Symbol" w:hAnsi="Symbol" w:hint="default"/>
      </w:rPr>
    </w:lvl>
    <w:lvl w:ilvl="4" w:tplc="98FC85AE">
      <w:start w:val="1"/>
      <w:numFmt w:val="bullet"/>
      <w:lvlText w:val="o"/>
      <w:lvlJc w:val="left"/>
      <w:pPr>
        <w:ind w:left="3600" w:hanging="360"/>
      </w:pPr>
      <w:rPr>
        <w:rFonts w:ascii="Courier New" w:hAnsi="Courier New" w:hint="default"/>
      </w:rPr>
    </w:lvl>
    <w:lvl w:ilvl="5" w:tplc="F81625EC">
      <w:start w:val="1"/>
      <w:numFmt w:val="bullet"/>
      <w:lvlText w:val=""/>
      <w:lvlJc w:val="left"/>
      <w:pPr>
        <w:ind w:left="4320" w:hanging="360"/>
      </w:pPr>
      <w:rPr>
        <w:rFonts w:ascii="Wingdings" w:hAnsi="Wingdings" w:hint="default"/>
      </w:rPr>
    </w:lvl>
    <w:lvl w:ilvl="6" w:tplc="3286A27E">
      <w:start w:val="1"/>
      <w:numFmt w:val="bullet"/>
      <w:lvlText w:val=""/>
      <w:lvlJc w:val="left"/>
      <w:pPr>
        <w:ind w:left="5040" w:hanging="360"/>
      </w:pPr>
      <w:rPr>
        <w:rFonts w:ascii="Symbol" w:hAnsi="Symbol" w:hint="default"/>
      </w:rPr>
    </w:lvl>
    <w:lvl w:ilvl="7" w:tplc="3BD258E8">
      <w:start w:val="1"/>
      <w:numFmt w:val="bullet"/>
      <w:lvlText w:val="o"/>
      <w:lvlJc w:val="left"/>
      <w:pPr>
        <w:ind w:left="5760" w:hanging="360"/>
      </w:pPr>
      <w:rPr>
        <w:rFonts w:ascii="Courier New" w:hAnsi="Courier New" w:hint="default"/>
      </w:rPr>
    </w:lvl>
    <w:lvl w:ilvl="8" w:tplc="1714B906">
      <w:start w:val="1"/>
      <w:numFmt w:val="bullet"/>
      <w:lvlText w:val=""/>
      <w:lvlJc w:val="left"/>
      <w:pPr>
        <w:ind w:left="6480" w:hanging="360"/>
      </w:pPr>
      <w:rPr>
        <w:rFonts w:ascii="Wingdings" w:hAnsi="Wingdings" w:hint="default"/>
      </w:rPr>
    </w:lvl>
  </w:abstractNum>
  <w:abstractNum w:abstractNumId="17" w15:restartNumberingAfterBreak="0">
    <w:nsid w:val="6AEC212C"/>
    <w:multiLevelType w:val="hybridMultilevel"/>
    <w:tmpl w:val="7F0200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19"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18"/>
  </w:num>
  <w:num w:numId="2">
    <w:abstractNumId w:val="12"/>
  </w:num>
  <w:num w:numId="3">
    <w:abstractNumId w:val="1"/>
  </w:num>
  <w:num w:numId="4">
    <w:abstractNumId w:val="19"/>
  </w:num>
  <w:num w:numId="5">
    <w:abstractNumId w:val="11"/>
  </w:num>
  <w:num w:numId="6">
    <w:abstractNumId w:val="13"/>
  </w:num>
  <w:num w:numId="7">
    <w:abstractNumId w:val="9"/>
  </w:num>
  <w:num w:numId="8">
    <w:abstractNumId w:val="10"/>
  </w:num>
  <w:num w:numId="9">
    <w:abstractNumId w:val="16"/>
  </w:num>
  <w:num w:numId="10">
    <w:abstractNumId w:val="5"/>
  </w:num>
  <w:num w:numId="11">
    <w:abstractNumId w:val="6"/>
  </w:num>
  <w:num w:numId="12">
    <w:abstractNumId w:val="14"/>
  </w:num>
  <w:num w:numId="13">
    <w:abstractNumId w:val="4"/>
  </w:num>
  <w:num w:numId="14">
    <w:abstractNumId w:val="2"/>
  </w:num>
  <w:num w:numId="15">
    <w:abstractNumId w:val="0"/>
  </w:num>
  <w:num w:numId="16">
    <w:abstractNumId w:val="7"/>
  </w:num>
  <w:num w:numId="17">
    <w:abstractNumId w:val="15"/>
  </w:num>
  <w:num w:numId="18">
    <w:abstractNumId w:val="3"/>
  </w:num>
  <w:num w:numId="19">
    <w:abstractNumId w:val="1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D08F0"/>
    <w:rsid w:val="0010640F"/>
    <w:rsid w:val="0014217F"/>
    <w:rsid w:val="00146FA3"/>
    <w:rsid w:val="001A42F1"/>
    <w:rsid w:val="00280940"/>
    <w:rsid w:val="003062B1"/>
    <w:rsid w:val="00336337"/>
    <w:rsid w:val="00346A86"/>
    <w:rsid w:val="00362B4A"/>
    <w:rsid w:val="004D25B6"/>
    <w:rsid w:val="005F49ED"/>
    <w:rsid w:val="00672D25"/>
    <w:rsid w:val="006E5B71"/>
    <w:rsid w:val="006F5137"/>
    <w:rsid w:val="007104BD"/>
    <w:rsid w:val="007268C0"/>
    <w:rsid w:val="007B4E48"/>
    <w:rsid w:val="00806A7F"/>
    <w:rsid w:val="008454FC"/>
    <w:rsid w:val="008B6EDE"/>
    <w:rsid w:val="008C572F"/>
    <w:rsid w:val="008E4479"/>
    <w:rsid w:val="00A075ED"/>
    <w:rsid w:val="00A44469"/>
    <w:rsid w:val="00AC65B8"/>
    <w:rsid w:val="00AD0A7F"/>
    <w:rsid w:val="00B76BCF"/>
    <w:rsid w:val="00B86E0F"/>
    <w:rsid w:val="00CB6E39"/>
    <w:rsid w:val="00CC55E7"/>
    <w:rsid w:val="00CD752F"/>
    <w:rsid w:val="00D40226"/>
    <w:rsid w:val="00D53A60"/>
    <w:rsid w:val="00D7033A"/>
    <w:rsid w:val="00D87F65"/>
    <w:rsid w:val="00E16CB4"/>
    <w:rsid w:val="00E437C2"/>
    <w:rsid w:val="00EC4ACF"/>
    <w:rsid w:val="00ED511C"/>
    <w:rsid w:val="00F44C8B"/>
    <w:rsid w:val="00F65488"/>
    <w:rsid w:val="00F66C96"/>
    <w:rsid w:val="00F95B6E"/>
    <w:rsid w:val="00FA69C2"/>
    <w:rsid w:val="00FD1ED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FA69C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41E26-D582-4EC5-87E8-170DFF41B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3370</Words>
  <Characters>1921</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Puriņa</cp:lastModifiedBy>
  <cp:revision>2</cp:revision>
  <dcterms:created xsi:type="dcterms:W3CDTF">2022-01-25T10:47:00Z</dcterms:created>
  <dcterms:modified xsi:type="dcterms:W3CDTF">2022-01-25T10:47:00Z</dcterms:modified>
</cp:coreProperties>
</file>