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171FD5" w14:textId="77777777" w:rsidR="00315922" w:rsidRDefault="00315922" w:rsidP="00315922">
      <w:pPr>
        <w:spacing w:line="240" w:lineRule="auto"/>
        <w:jc w:val="center"/>
        <w:rPr>
          <w:rFonts w:eastAsia="Times New Roman"/>
          <w:b/>
          <w:sz w:val="20"/>
          <w:szCs w:val="20"/>
        </w:rPr>
      </w:pPr>
      <w:r>
        <w:rPr>
          <w:rFonts w:eastAsia="Times New Roman"/>
          <w:b/>
          <w:sz w:val="20"/>
          <w:szCs w:val="20"/>
        </w:rPr>
        <w:t xml:space="preserve">3.1.1.SAM “Attīstīt ilgtspējīgu, pret klimatu izturīgu, inteliģentu, drošu un </w:t>
      </w:r>
      <w:proofErr w:type="spellStart"/>
      <w:r>
        <w:rPr>
          <w:rFonts w:eastAsia="Times New Roman"/>
          <w:b/>
          <w:sz w:val="20"/>
          <w:szCs w:val="20"/>
        </w:rPr>
        <w:t>vairākveidu</w:t>
      </w:r>
      <w:proofErr w:type="spellEnd"/>
      <w:r>
        <w:rPr>
          <w:rFonts w:eastAsia="Times New Roman"/>
          <w:b/>
          <w:sz w:val="20"/>
          <w:szCs w:val="20"/>
        </w:rPr>
        <w:t xml:space="preserve"> TEN-T infrastruktūru” </w:t>
      </w:r>
    </w:p>
    <w:p w14:paraId="2D2D17E1" w14:textId="3D93D849" w:rsidR="00315922" w:rsidRDefault="00315922" w:rsidP="00315922">
      <w:pPr>
        <w:spacing w:line="240" w:lineRule="auto"/>
        <w:jc w:val="center"/>
        <w:rPr>
          <w:lang w:val="en-GB" w:eastAsia="en-GB"/>
        </w:rPr>
      </w:pPr>
      <w:r>
        <w:rPr>
          <w:rFonts w:eastAsia="Times New Roman"/>
          <w:b/>
          <w:sz w:val="20"/>
          <w:szCs w:val="20"/>
        </w:rPr>
        <w:t>3.1.1.6.pasākumam “Lielo ostu publiskās infrastruktūras attīstība”</w:t>
      </w:r>
    </w:p>
    <w:p w14:paraId="74C8F47E" w14:textId="60988AF1" w:rsidR="00C956D8" w:rsidRPr="00315922" w:rsidRDefault="00C956D8" w:rsidP="00413509">
      <w:pPr>
        <w:spacing w:line="240" w:lineRule="auto"/>
        <w:jc w:val="center"/>
        <w:rPr>
          <w:rFonts w:eastAsia="Times New Roman"/>
          <w:b/>
          <w:sz w:val="20"/>
          <w:szCs w:val="20"/>
          <w:lang w:val="en-GB"/>
        </w:rPr>
      </w:pP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54431E" w:rsidRDefault="00D20447"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54431E" w:rsidRDefault="00D20447" w:rsidP="0054431E">
            <w:pPr>
              <w:spacing w:line="259" w:lineRule="auto"/>
              <w:rPr>
                <w:rFonts w:eastAsiaTheme="minorEastAsia"/>
                <w:sz w:val="20"/>
                <w:szCs w:val="20"/>
              </w:rPr>
            </w:pPr>
            <w:r w:rsidRPr="0054431E">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576E4844"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44806B63"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6F6912C" w14:textId="7751A2F9" w:rsidR="0054431E" w:rsidRPr="00E544CE" w:rsidRDefault="00A36C6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B81F909"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48FCD80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7673B38" w14:textId="014FF0EC" w:rsidR="006225FC" w:rsidRPr="00E544CE" w:rsidRDefault="00D20447" w:rsidP="00D20447">
            <w:pPr>
              <w:spacing w:line="240" w:lineRule="auto"/>
              <w:jc w:val="both"/>
              <w:rPr>
                <w:rFonts w:eastAsiaTheme="minorEastAsia"/>
                <w:sz w:val="20"/>
                <w:szCs w:val="20"/>
                <w:lang w:eastAsia="lv-LV"/>
              </w:rPr>
            </w:pPr>
            <w:r w:rsidRPr="0054431E">
              <w:rPr>
                <w:rFonts w:eastAsia="Times New Roman"/>
                <w:sz w:val="20"/>
                <w:szCs w:val="20"/>
                <w:lang w:eastAsia="lv-LV"/>
              </w:rPr>
              <w:t>Skat. novērtējuma 2.daļu.</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37076478"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2DA4A59"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3078507" w14:textId="179D5139" w:rsidR="006410AC" w:rsidRPr="0054431E" w:rsidRDefault="00A36C6E" w:rsidP="009D6B0A">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3D1007D"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0941A85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32A20513" w:rsidR="00CB425E" w:rsidRPr="0054431E" w:rsidRDefault="00A36C6E" w:rsidP="00CB425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7BCB92D8" w14:textId="4BCD5D0F" w:rsidR="008F0C19" w:rsidRDefault="008F0C19" w:rsidP="0054431E">
            <w:pPr>
              <w:spacing w:line="240" w:lineRule="auto"/>
              <w:rPr>
                <w:rFonts w:eastAsia="Times New Roman"/>
                <w:b/>
                <w:bCs/>
                <w:sz w:val="20"/>
                <w:szCs w:val="20"/>
                <w:lang w:eastAsia="lv-LV"/>
              </w:rPr>
            </w:pPr>
          </w:p>
          <w:p w14:paraId="2077D434" w14:textId="77777777" w:rsidR="008F0C19" w:rsidRPr="0054431E" w:rsidRDefault="008F0C19"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w:t>
            </w:r>
            <w:proofErr w:type="spellStart"/>
            <w:r w:rsidRPr="0054431E">
              <w:rPr>
                <w:rFonts w:eastAsia="Times New Roman"/>
                <w:b/>
                <w:bCs/>
                <w:sz w:val="20"/>
                <w:szCs w:val="20"/>
                <w:lang w:eastAsia="lv-LV"/>
              </w:rPr>
              <w:t>izvērtējums</w:t>
            </w:r>
            <w:proofErr w:type="spellEnd"/>
            <w:r w:rsidRPr="0054431E">
              <w:rPr>
                <w:rFonts w:eastAsia="Times New Roman"/>
                <w:b/>
                <w:bCs/>
                <w:sz w:val="20"/>
                <w:szCs w:val="20"/>
                <w:lang w:eastAsia="lv-LV"/>
              </w:rPr>
              <w:t xml:space="preserve">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54431E" w:rsidRPr="0054431E" w:rsidRDefault="00A36C6E"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A36C6E" w:rsidRPr="0054431E" w:rsidDel="00D20447" w:rsidRDefault="00D20447" w:rsidP="0054431E">
            <w:pPr>
              <w:spacing w:line="240" w:lineRule="auto"/>
              <w:rPr>
                <w:rFonts w:eastAsia="Times New Roman"/>
                <w:sz w:val="20"/>
                <w:szCs w:val="20"/>
                <w:lang w:eastAsia="lv-LV"/>
              </w:rPr>
            </w:pPr>
            <w:r w:rsidRPr="0054431E" w:rsidDel="00D20447">
              <w:rPr>
                <w:rFonts w:eastAsia="Times New Roman"/>
                <w:sz w:val="20"/>
                <w:szCs w:val="20"/>
                <w:lang w:eastAsia="lv-LV"/>
              </w:rPr>
              <w:t xml:space="preserve"> </w:t>
            </w:r>
          </w:p>
          <w:p w14:paraId="463F0DCD" w14:textId="77777777" w:rsidR="00A36C6E" w:rsidRPr="0054431E" w:rsidRDefault="00A36C6E" w:rsidP="00A36C6E">
            <w:pPr>
              <w:spacing w:line="259" w:lineRule="auto"/>
              <w:rPr>
                <w:sz w:val="20"/>
                <w:szCs w:val="20"/>
              </w:rPr>
            </w:pPr>
            <w:r w:rsidRPr="0054431E">
              <w:rPr>
                <w:b/>
                <w:bCs/>
                <w:sz w:val="20"/>
                <w:szCs w:val="20"/>
              </w:rPr>
              <w:t>Ietekme uz SEG emisijām</w:t>
            </w:r>
            <w:r w:rsidRPr="0054431E">
              <w:rPr>
                <w:sz w:val="20"/>
                <w:szCs w:val="20"/>
              </w:rPr>
              <w:t xml:space="preserve"> </w:t>
            </w:r>
          </w:p>
          <w:p w14:paraId="6EE4D6CF" w14:textId="0393A849" w:rsidR="00315922" w:rsidRPr="00315922" w:rsidRDefault="00315922" w:rsidP="00BD13D5">
            <w:pPr>
              <w:numPr>
                <w:ilvl w:val="0"/>
                <w:numId w:val="6"/>
              </w:numPr>
              <w:spacing w:line="240" w:lineRule="auto"/>
              <w:ind w:left="714" w:hanging="357"/>
              <w:contextualSpacing/>
              <w:rPr>
                <w:sz w:val="20"/>
                <w:szCs w:val="20"/>
              </w:rPr>
            </w:pPr>
            <w:r w:rsidRPr="00315922">
              <w:rPr>
                <w:sz w:val="20"/>
                <w:szCs w:val="20"/>
              </w:rPr>
              <w:t xml:space="preserve">Pasākums </w:t>
            </w:r>
            <w:r>
              <w:rPr>
                <w:sz w:val="20"/>
                <w:szCs w:val="20"/>
              </w:rPr>
              <w:t>4</w:t>
            </w:r>
            <w:r w:rsidRPr="00315922">
              <w:rPr>
                <w:sz w:val="20"/>
                <w:szCs w:val="20"/>
              </w:rPr>
              <w:t>0% atbalsta klimata pārmaiņu mērķi (</w:t>
            </w:r>
            <w:r w:rsidR="00757655">
              <w:rPr>
                <w:sz w:val="20"/>
                <w:szCs w:val="20"/>
              </w:rPr>
              <w:t>111</w:t>
            </w:r>
            <w:r w:rsidRPr="00315922">
              <w:rPr>
                <w:sz w:val="20"/>
                <w:szCs w:val="20"/>
              </w:rPr>
              <w:t xml:space="preserve"> -</w:t>
            </w:r>
            <w:r w:rsidR="00757655">
              <w:rPr>
                <w:sz w:val="20"/>
                <w:szCs w:val="20"/>
              </w:rPr>
              <w:t xml:space="preserve"> j</w:t>
            </w:r>
            <w:r w:rsidR="00757655" w:rsidRPr="00757655">
              <w:rPr>
                <w:sz w:val="20"/>
                <w:szCs w:val="20"/>
              </w:rPr>
              <w:t>ūras ostas (TEN-T), izņemot objektus, kas ir paredzēti fosilā kurināmā transportēšanai</w:t>
            </w:r>
            <w:r w:rsidRPr="00315922">
              <w:rPr>
                <w:sz w:val="20"/>
                <w:szCs w:val="20"/>
              </w:rPr>
              <w:t xml:space="preserve">) un tādējādi tiek uzskatīts par </w:t>
            </w:r>
            <w:r w:rsidR="00757655">
              <w:rPr>
                <w:sz w:val="20"/>
                <w:szCs w:val="20"/>
              </w:rPr>
              <w:t xml:space="preserve">daļēji </w:t>
            </w:r>
            <w:r w:rsidRPr="00315922">
              <w:rPr>
                <w:sz w:val="20"/>
                <w:szCs w:val="20"/>
              </w:rPr>
              <w:t>atbilstīgu NBK attiecībā uz attiecīgo mērķi.</w:t>
            </w:r>
          </w:p>
          <w:p w14:paraId="1ABFF2E8" w14:textId="35248F6F" w:rsidR="00A36C6E" w:rsidRDefault="008E06DF" w:rsidP="00A36C6E">
            <w:pPr>
              <w:numPr>
                <w:ilvl w:val="0"/>
                <w:numId w:val="6"/>
              </w:numPr>
              <w:spacing w:line="240" w:lineRule="auto"/>
              <w:ind w:left="714" w:hanging="357"/>
              <w:contextualSpacing/>
              <w:rPr>
                <w:rFonts w:eastAsiaTheme="minorEastAsia"/>
                <w:sz w:val="20"/>
                <w:szCs w:val="20"/>
              </w:rPr>
            </w:pPr>
            <w:r>
              <w:rPr>
                <w:rFonts w:eastAsiaTheme="minorEastAsia"/>
                <w:sz w:val="20"/>
                <w:szCs w:val="20"/>
              </w:rPr>
              <w:t xml:space="preserve">Saskaņā ar </w:t>
            </w:r>
            <w:r w:rsidRPr="008E06DF">
              <w:rPr>
                <w:rFonts w:eastAsiaTheme="minorEastAsia"/>
                <w:sz w:val="20"/>
                <w:szCs w:val="20"/>
              </w:rPr>
              <w:t xml:space="preserve">Transporta attīstības pamatnostādņu 2021.-2027. gadam </w:t>
            </w:r>
            <w:r>
              <w:rPr>
                <w:rFonts w:eastAsiaTheme="minorEastAsia"/>
                <w:sz w:val="20"/>
                <w:szCs w:val="20"/>
              </w:rPr>
              <w:t xml:space="preserve">(TAP2027) </w:t>
            </w:r>
            <w:r w:rsidRPr="008E06DF">
              <w:rPr>
                <w:rFonts w:eastAsiaTheme="minorEastAsia"/>
                <w:sz w:val="20"/>
                <w:szCs w:val="20"/>
              </w:rPr>
              <w:t>Stratēģiskā ietekmes uz vidi novērtējuma Vides pārskat</w:t>
            </w:r>
            <w:r>
              <w:rPr>
                <w:rFonts w:eastAsiaTheme="minorEastAsia"/>
                <w:sz w:val="20"/>
                <w:szCs w:val="20"/>
              </w:rPr>
              <w:t>u pasākuma</w:t>
            </w:r>
            <w:r w:rsidR="00962995" w:rsidRPr="00962995">
              <w:rPr>
                <w:rFonts w:eastAsiaTheme="minorEastAsia"/>
                <w:sz w:val="20"/>
                <w:szCs w:val="20"/>
              </w:rPr>
              <w:t xml:space="preserve"> īstenošanas rezultātā sagaidāms kuģošanas SEG emisiju, kas rodas stāvēšanas laikā ostās, samazinājums. Tomēr </w:t>
            </w:r>
            <w:r>
              <w:rPr>
                <w:rFonts w:eastAsiaTheme="minorEastAsia"/>
                <w:sz w:val="20"/>
                <w:szCs w:val="20"/>
              </w:rPr>
              <w:t>pasākuma</w:t>
            </w:r>
            <w:r w:rsidR="00962995" w:rsidRPr="00962995">
              <w:rPr>
                <w:rFonts w:eastAsiaTheme="minorEastAsia"/>
                <w:sz w:val="20"/>
                <w:szCs w:val="20"/>
              </w:rPr>
              <w:t xml:space="preserve"> īstenošana neradīs būtisku SEG emisiju samazināšanu.</w:t>
            </w:r>
          </w:p>
          <w:p w14:paraId="23FB934A" w14:textId="6CCC2155" w:rsidR="00364CC0" w:rsidRPr="00364CC0" w:rsidRDefault="00364CC0" w:rsidP="00364CC0">
            <w:pPr>
              <w:numPr>
                <w:ilvl w:val="0"/>
                <w:numId w:val="6"/>
              </w:numPr>
              <w:spacing w:line="240" w:lineRule="auto"/>
              <w:ind w:left="714" w:hanging="357"/>
              <w:contextualSpacing/>
              <w:rPr>
                <w:rFonts w:eastAsiaTheme="minorEastAsia"/>
                <w:sz w:val="20"/>
                <w:szCs w:val="20"/>
              </w:rPr>
            </w:pPr>
            <w:r>
              <w:rPr>
                <w:sz w:val="20"/>
                <w:szCs w:val="20"/>
                <w:lang w:eastAsia="lv-LV"/>
              </w:rPr>
              <w:t>Atbilstoši Darbības programmas Latvijai 2021.-2027.gadam Stratēģiskā ietekmes uz vidi novērtējuma Vides pārskatam, a</w:t>
            </w:r>
            <w:r w:rsidRPr="002C6E0A">
              <w:rPr>
                <w:sz w:val="20"/>
                <w:szCs w:val="20"/>
                <w:lang w:eastAsia="lv-LV"/>
              </w:rPr>
              <w:t>tbalsta pasākumiem lielo ostu publiskās infrastruktūras attīstībai, tai skaitā videi draudzīgas ostas infrastruktūras attīstībai, alternatīvo degvielu pieejamīb</w:t>
            </w:r>
            <w:r>
              <w:rPr>
                <w:sz w:val="20"/>
                <w:szCs w:val="20"/>
                <w:lang w:eastAsia="lv-LV"/>
              </w:rPr>
              <w:t>ai,</w:t>
            </w:r>
            <w:r>
              <w:rPr>
                <w:rFonts w:eastAsiaTheme="minorEastAsia"/>
                <w:sz w:val="20"/>
                <w:szCs w:val="20"/>
              </w:rPr>
              <w:t xml:space="preserve"> </w:t>
            </w:r>
            <w:r w:rsidRPr="00364CC0">
              <w:rPr>
                <w:rFonts w:eastAsiaTheme="minorEastAsia"/>
                <w:sz w:val="20"/>
                <w:szCs w:val="20"/>
              </w:rPr>
              <w:t>būs pozitīva ietekme uz SEG emisiju mazināšanu.</w:t>
            </w:r>
          </w:p>
          <w:p w14:paraId="4ECC9A7B" w14:textId="77777777" w:rsidR="00A36C6E" w:rsidRDefault="00A36C6E" w:rsidP="00A36C6E">
            <w:pPr>
              <w:spacing w:line="240" w:lineRule="auto"/>
              <w:contextualSpacing/>
              <w:rPr>
                <w:rFonts w:eastAsia="Calibri"/>
                <w:sz w:val="20"/>
                <w:szCs w:val="20"/>
              </w:rPr>
            </w:pPr>
          </w:p>
          <w:p w14:paraId="1A4F3581" w14:textId="77777777" w:rsidR="00A36C6E" w:rsidRPr="004E1B1A" w:rsidRDefault="00A36C6E" w:rsidP="00A36C6E">
            <w:pPr>
              <w:spacing w:line="240" w:lineRule="auto"/>
              <w:rPr>
                <w:rFonts w:eastAsia="Calibri"/>
                <w:b/>
                <w:bCs/>
                <w:sz w:val="20"/>
                <w:szCs w:val="20"/>
              </w:rPr>
            </w:pPr>
            <w:r w:rsidRPr="004E1B1A">
              <w:rPr>
                <w:rFonts w:eastAsia="Calibri"/>
                <w:b/>
                <w:bCs/>
                <w:sz w:val="20"/>
                <w:szCs w:val="20"/>
              </w:rPr>
              <w:t xml:space="preserve">Papildinoši pasākumi un investīcijas ar SEG emisiju samazinošu efektu </w:t>
            </w:r>
          </w:p>
          <w:p w14:paraId="6BC46104" w14:textId="573C17B3" w:rsidR="00A36C6E" w:rsidRPr="004E1B1A" w:rsidRDefault="00A36C6E" w:rsidP="00A36C6E">
            <w:pPr>
              <w:spacing w:line="240" w:lineRule="auto"/>
              <w:contextualSpacing/>
              <w:rPr>
                <w:rFonts w:eastAsiaTheme="minorEastAsia"/>
                <w:sz w:val="20"/>
                <w:szCs w:val="20"/>
              </w:rPr>
            </w:pPr>
            <w:r w:rsidRPr="004E1B1A">
              <w:rPr>
                <w:rFonts w:eastAsia="Calibri"/>
                <w:sz w:val="20"/>
                <w:szCs w:val="20"/>
              </w:rPr>
              <w:t xml:space="preserve">Investīcijas </w:t>
            </w:r>
            <w:r w:rsidR="008E06DF">
              <w:rPr>
                <w:rFonts w:eastAsia="Calibri"/>
                <w:sz w:val="20"/>
                <w:szCs w:val="20"/>
                <w:lang w:bidi="lv-LV"/>
              </w:rPr>
              <w:t>lielo ostu publiskās infrastruktūras attīstībā</w:t>
            </w:r>
            <w:r w:rsidR="00195017" w:rsidRPr="00195017">
              <w:rPr>
                <w:rFonts w:eastAsia="Calibri"/>
                <w:sz w:val="20"/>
                <w:szCs w:val="20"/>
                <w:lang w:bidi="lv-LV"/>
              </w:rPr>
              <w:t xml:space="preserve"> </w:t>
            </w:r>
            <w:r w:rsidRPr="004E1B1A">
              <w:rPr>
                <w:rFonts w:eastAsia="Calibri"/>
                <w:sz w:val="20"/>
                <w:szCs w:val="20"/>
              </w:rPr>
              <w:t xml:space="preserve">plānotas sinerģijā ar citiem pasākumiem, kas atbalsta pāreju uz </w:t>
            </w:r>
            <w:proofErr w:type="spellStart"/>
            <w:r w:rsidRPr="004E1B1A">
              <w:rPr>
                <w:rFonts w:eastAsia="Calibri"/>
                <w:sz w:val="20"/>
                <w:szCs w:val="20"/>
              </w:rPr>
              <w:t>mazemisiju</w:t>
            </w:r>
            <w:proofErr w:type="spellEnd"/>
            <w:r w:rsidRPr="004E1B1A">
              <w:rPr>
                <w:rFonts w:eastAsia="Calibri"/>
                <w:sz w:val="20"/>
                <w:szCs w:val="20"/>
              </w:rPr>
              <w:t xml:space="preserve"> vai </w:t>
            </w:r>
            <w:proofErr w:type="spellStart"/>
            <w:r w:rsidRPr="004E1B1A">
              <w:rPr>
                <w:rFonts w:eastAsia="Calibri"/>
                <w:sz w:val="20"/>
                <w:szCs w:val="20"/>
              </w:rPr>
              <w:t>bezemisiju</w:t>
            </w:r>
            <w:proofErr w:type="spellEnd"/>
            <w:r w:rsidRPr="004E1B1A">
              <w:rPr>
                <w:rFonts w:eastAsia="Calibri"/>
                <w:sz w:val="20"/>
                <w:szCs w:val="20"/>
              </w:rPr>
              <w:t xml:space="preserve"> transportlīdzekļu veidiem, un investīcijām, kas stimulē sabiedriskā transporta izmantošanu saskaņā ar </w:t>
            </w:r>
            <w:r w:rsidR="008E06DF">
              <w:rPr>
                <w:rFonts w:eastAsia="Calibri"/>
                <w:sz w:val="20"/>
                <w:szCs w:val="20"/>
              </w:rPr>
              <w:t>TAP2027</w:t>
            </w:r>
            <w:r w:rsidRPr="004E1B1A">
              <w:rPr>
                <w:rFonts w:eastAsia="Calibri"/>
                <w:sz w:val="20"/>
                <w:szCs w:val="20"/>
              </w:rPr>
              <w:t xml:space="preserve"> noteikto mērķi – integrēta transporta sistēma, kas nodrošina drošu, efektīvu, pieejamu, viedu un ilgtspējīgu mobilitāti, veicina valsts ekonomisko izaugsmi, reģionālo attīstību un nodrošina virzību uz </w:t>
            </w:r>
            <w:proofErr w:type="spellStart"/>
            <w:r w:rsidRPr="004E1B1A">
              <w:rPr>
                <w:rFonts w:eastAsia="Calibri"/>
                <w:sz w:val="20"/>
                <w:szCs w:val="20"/>
              </w:rPr>
              <w:t>klimatneitrālu</w:t>
            </w:r>
            <w:proofErr w:type="spellEnd"/>
            <w:r w:rsidRPr="004E1B1A">
              <w:rPr>
                <w:rFonts w:eastAsia="Calibri"/>
                <w:sz w:val="20"/>
                <w:szCs w:val="20"/>
              </w:rPr>
              <w:t xml:space="preserve"> ekonomiku.</w:t>
            </w:r>
          </w:p>
          <w:p w14:paraId="67CAB769" w14:textId="77777777" w:rsidR="00A36C6E" w:rsidRPr="0054431E" w:rsidRDefault="00A36C6E" w:rsidP="00A36C6E">
            <w:pPr>
              <w:suppressAutoHyphens/>
              <w:autoSpaceDN w:val="0"/>
              <w:spacing w:after="160" w:line="247" w:lineRule="auto"/>
              <w:ind w:left="720"/>
              <w:textAlignment w:val="baseline"/>
              <w:rPr>
                <w:sz w:val="20"/>
                <w:szCs w:val="20"/>
              </w:rPr>
            </w:pPr>
          </w:p>
          <w:p w14:paraId="66EB12C8" w14:textId="77777777" w:rsidR="00A36C6E" w:rsidRPr="0054431E" w:rsidRDefault="00A36C6E" w:rsidP="00A36C6E">
            <w:pPr>
              <w:suppressAutoHyphens/>
              <w:autoSpaceDN w:val="0"/>
              <w:spacing w:after="160" w:line="247" w:lineRule="auto"/>
              <w:textAlignment w:val="baseline"/>
              <w:rPr>
                <w:b/>
                <w:bCs/>
                <w:sz w:val="20"/>
                <w:szCs w:val="20"/>
              </w:rPr>
            </w:pPr>
            <w:r w:rsidRPr="0054431E">
              <w:rPr>
                <w:b/>
                <w:bCs/>
                <w:sz w:val="20"/>
                <w:szCs w:val="20"/>
              </w:rPr>
              <w:t>Sasaiste ar mobilitātes un ilgtspējīga transporta attīstības mērķiem</w:t>
            </w:r>
          </w:p>
          <w:p w14:paraId="38EE8C3C" w14:textId="00440B14" w:rsidR="00A36C6E" w:rsidRPr="001835EA" w:rsidRDefault="00A36C6E" w:rsidP="00A36C6E">
            <w:pPr>
              <w:numPr>
                <w:ilvl w:val="0"/>
                <w:numId w:val="13"/>
              </w:numPr>
              <w:spacing w:after="160" w:line="240" w:lineRule="auto"/>
              <w:contextualSpacing/>
              <w:rPr>
                <w:rFonts w:eastAsiaTheme="minorEastAsia"/>
                <w:sz w:val="20"/>
                <w:szCs w:val="20"/>
              </w:rPr>
            </w:pPr>
            <w:r>
              <w:rPr>
                <w:rFonts w:eastAsia="Calibri"/>
                <w:sz w:val="20"/>
                <w:szCs w:val="20"/>
              </w:rPr>
              <w:t>I</w:t>
            </w:r>
            <w:r w:rsidRPr="004E1B1A">
              <w:rPr>
                <w:rFonts w:eastAsia="Calibri"/>
                <w:sz w:val="20"/>
                <w:szCs w:val="20"/>
              </w:rPr>
              <w:t xml:space="preserve">nvestīcijas atbilst </w:t>
            </w:r>
            <w:r w:rsidRPr="001835EA">
              <w:rPr>
                <w:rFonts w:eastAsia="Calibri"/>
                <w:sz w:val="20"/>
                <w:szCs w:val="20"/>
              </w:rPr>
              <w:t>“Latvijas Nacionālais attīstības plāns 2021. - 2027.gadam” rīcības virziena “Tehnoloģiskā vide un pakalpojumi” 31</w:t>
            </w:r>
            <w:r w:rsidR="00D47D3E">
              <w:rPr>
                <w:rFonts w:eastAsia="Calibri"/>
                <w:sz w:val="20"/>
                <w:szCs w:val="20"/>
              </w:rPr>
              <w:t>3</w:t>
            </w:r>
            <w:r w:rsidRPr="001835EA">
              <w:rPr>
                <w:rFonts w:eastAsia="Calibri"/>
                <w:sz w:val="20"/>
                <w:szCs w:val="20"/>
              </w:rPr>
              <w:t>.uzdevum</w:t>
            </w:r>
            <w:r w:rsidR="00D47D3E">
              <w:rPr>
                <w:rFonts w:eastAsia="Calibri"/>
                <w:sz w:val="20"/>
                <w:szCs w:val="20"/>
              </w:rPr>
              <w:t>am</w:t>
            </w:r>
            <w:r w:rsidRPr="001835EA">
              <w:rPr>
                <w:rFonts w:eastAsia="Calibri"/>
                <w:sz w:val="20"/>
                <w:szCs w:val="20"/>
              </w:rPr>
              <w:t xml:space="preserve"> “</w:t>
            </w:r>
            <w:r w:rsidR="00D47D3E" w:rsidRPr="00D47D3E">
              <w:rPr>
                <w:rFonts w:eastAsia="Calibri"/>
                <w:sz w:val="20"/>
                <w:szCs w:val="20"/>
              </w:rPr>
              <w:t xml:space="preserve">Starptautiskās savienojamības uzlabošana, īstenojot Rail </w:t>
            </w:r>
            <w:proofErr w:type="spellStart"/>
            <w:r w:rsidR="00D47D3E" w:rsidRPr="00D47D3E">
              <w:rPr>
                <w:rFonts w:eastAsia="Calibri"/>
                <w:sz w:val="20"/>
                <w:szCs w:val="20"/>
              </w:rPr>
              <w:t>Baltica</w:t>
            </w:r>
            <w:proofErr w:type="spellEnd"/>
            <w:r w:rsidR="00D47D3E" w:rsidRPr="00D47D3E">
              <w:rPr>
                <w:rFonts w:eastAsia="Calibri"/>
                <w:sz w:val="20"/>
                <w:szCs w:val="20"/>
              </w:rPr>
              <w:t xml:space="preserve"> projektu, tālāk attīstot starptautisko lidostu “Rīga” un vienlaikus paaugstinot tranzīta pakalpojumu konkurētspēju un jaunu tirgu apguvi, veidojot Rīgu par nozīmīgu un modernu multimodālu transporta mezglu, tai skaitā uzlabojot infrastruktūru, tādējādi </w:t>
            </w:r>
            <w:r w:rsidR="00D47D3E" w:rsidRPr="00D47D3E">
              <w:rPr>
                <w:rFonts w:eastAsia="Calibri"/>
                <w:sz w:val="20"/>
                <w:szCs w:val="20"/>
              </w:rPr>
              <w:lastRenderedPageBreak/>
              <w:t>palielinot Eiropas vienotā transporta tīkla produktivitāti un sekmējot vides mērķu ievērošanu</w:t>
            </w:r>
            <w:r w:rsidRPr="001835EA">
              <w:rPr>
                <w:rFonts w:eastAsia="Calibri"/>
                <w:sz w:val="20"/>
                <w:szCs w:val="20"/>
              </w:rPr>
              <w:t>”</w:t>
            </w:r>
            <w:r>
              <w:rPr>
                <w:rFonts w:eastAsia="Calibri"/>
                <w:sz w:val="20"/>
                <w:szCs w:val="20"/>
              </w:rPr>
              <w:t>.</w:t>
            </w:r>
          </w:p>
          <w:p w14:paraId="32869E0F" w14:textId="6F45DF04" w:rsidR="00A36C6E" w:rsidRPr="00A650C5" w:rsidRDefault="00A36C6E" w:rsidP="00A36C6E">
            <w:pPr>
              <w:numPr>
                <w:ilvl w:val="0"/>
                <w:numId w:val="13"/>
              </w:numPr>
              <w:spacing w:after="160" w:line="240" w:lineRule="auto"/>
              <w:contextualSpacing/>
              <w:rPr>
                <w:rFonts w:eastAsiaTheme="minorEastAsia"/>
                <w:sz w:val="20"/>
                <w:szCs w:val="20"/>
              </w:rPr>
            </w:pPr>
            <w:r>
              <w:rPr>
                <w:rFonts w:eastAsiaTheme="minorEastAsia"/>
                <w:sz w:val="20"/>
                <w:szCs w:val="20"/>
              </w:rPr>
              <w:t xml:space="preserve">Tāpat investīcijas atbilst </w:t>
            </w:r>
            <w:r w:rsidRPr="001835EA">
              <w:rPr>
                <w:rFonts w:eastAsiaTheme="minorEastAsia"/>
                <w:sz w:val="20"/>
                <w:szCs w:val="20"/>
              </w:rPr>
              <w:t>“Transporta attīstības pamatnostādnēs 2021. – 2027.gadam</w:t>
            </w:r>
            <w:r w:rsidRPr="00A650C5">
              <w:rPr>
                <w:rFonts w:eastAsiaTheme="minorEastAsia"/>
                <w:sz w:val="20"/>
                <w:szCs w:val="20"/>
              </w:rPr>
              <w:t xml:space="preserve">” </w:t>
            </w:r>
            <w:r w:rsidR="00EC643B">
              <w:rPr>
                <w:rFonts w:eastAsiaTheme="minorEastAsia"/>
                <w:sz w:val="20"/>
                <w:szCs w:val="20"/>
              </w:rPr>
              <w:t>3</w:t>
            </w:r>
            <w:r w:rsidRPr="00E544CE">
              <w:rPr>
                <w:rFonts w:eastAsiaTheme="minorEastAsia"/>
                <w:sz w:val="20"/>
                <w:szCs w:val="20"/>
              </w:rPr>
              <w:t>. rīcības virziena “</w:t>
            </w:r>
            <w:r w:rsidR="00EC643B" w:rsidRPr="00EC643B">
              <w:rPr>
                <w:rFonts w:eastAsiaTheme="minorEastAsia"/>
                <w:sz w:val="20"/>
                <w:szCs w:val="20"/>
              </w:rPr>
              <w:t>Loģistikas pakalpojumu konkurētspējas paaugstināšana</w:t>
            </w:r>
            <w:r w:rsidRPr="00E544CE">
              <w:rPr>
                <w:rFonts w:eastAsiaTheme="minorEastAsia"/>
                <w:sz w:val="20"/>
                <w:szCs w:val="20"/>
              </w:rPr>
              <w:t xml:space="preserve">” </w:t>
            </w:r>
            <w:r w:rsidR="00EC643B">
              <w:rPr>
                <w:rFonts w:eastAsiaTheme="minorEastAsia"/>
                <w:sz w:val="20"/>
                <w:szCs w:val="20"/>
              </w:rPr>
              <w:t>3</w:t>
            </w:r>
            <w:r w:rsidRPr="00E544CE">
              <w:rPr>
                <w:rFonts w:eastAsiaTheme="minorEastAsia"/>
                <w:sz w:val="20"/>
                <w:szCs w:val="20"/>
              </w:rPr>
              <w:t>.</w:t>
            </w:r>
            <w:r w:rsidR="00A650C5" w:rsidRPr="00E544CE">
              <w:rPr>
                <w:rFonts w:eastAsiaTheme="minorEastAsia"/>
                <w:sz w:val="20"/>
                <w:szCs w:val="20"/>
              </w:rPr>
              <w:t>2.</w:t>
            </w:r>
            <w:r w:rsidRPr="00E544CE">
              <w:rPr>
                <w:rFonts w:eastAsiaTheme="minorEastAsia"/>
                <w:sz w:val="20"/>
                <w:szCs w:val="20"/>
              </w:rPr>
              <w:t xml:space="preserve"> uzdevumam “</w:t>
            </w:r>
            <w:r w:rsidR="00EC643B" w:rsidRPr="00EC643B">
              <w:rPr>
                <w:rFonts w:eastAsiaTheme="minorEastAsia"/>
                <w:sz w:val="20"/>
                <w:szCs w:val="20"/>
              </w:rPr>
              <w:t>Pilnveidot Latvijas ostu infrastruktūru</w:t>
            </w:r>
            <w:r w:rsidRPr="00E544CE">
              <w:rPr>
                <w:rFonts w:eastAsiaTheme="minorEastAsia"/>
                <w:sz w:val="20"/>
                <w:szCs w:val="20"/>
              </w:rPr>
              <w:t>”</w:t>
            </w:r>
            <w:r w:rsidR="00A650C5" w:rsidRPr="00A650C5">
              <w:rPr>
                <w:rFonts w:eastAsiaTheme="minorEastAsia"/>
                <w:sz w:val="20"/>
                <w:szCs w:val="20"/>
              </w:rPr>
              <w:t>.</w:t>
            </w:r>
          </w:p>
          <w:p w14:paraId="716A6B21" w14:textId="77777777" w:rsidR="00A36C6E" w:rsidRPr="0054431E" w:rsidRDefault="00A36C6E" w:rsidP="00A36C6E">
            <w:pPr>
              <w:suppressAutoHyphens/>
              <w:autoSpaceDN w:val="0"/>
              <w:spacing w:after="160" w:line="247" w:lineRule="auto"/>
              <w:contextualSpacing/>
              <w:textAlignment w:val="baseline"/>
              <w:rPr>
                <w:b/>
                <w:sz w:val="20"/>
                <w:szCs w:val="20"/>
                <w:lang w:eastAsia="lv-LV"/>
              </w:rPr>
            </w:pPr>
            <w:r w:rsidRPr="001835EA">
              <w:rPr>
                <w:rFonts w:eastAsiaTheme="minorEastAsia"/>
                <w:sz w:val="20"/>
                <w:szCs w:val="20"/>
              </w:rPr>
              <w:t>“Transporta attīstības pamatnostādnēs 2021. – 2027.gadam</w:t>
            </w:r>
            <w:r w:rsidRPr="00E544CE">
              <w:rPr>
                <w:rFonts w:eastAsiaTheme="minorEastAsia"/>
                <w:sz w:val="20"/>
                <w:szCs w:val="20"/>
              </w:rPr>
              <w:t xml:space="preserve">” </w:t>
            </w:r>
            <w:r w:rsidRPr="00E544CE">
              <w:rPr>
                <w:rFonts w:eastAsia="Calibri"/>
                <w:sz w:val="20"/>
                <w:szCs w:val="20"/>
              </w:rPr>
              <w:t>transporta politikas mērķis noteikts saskaņā ar vienu no Eiropas Zaļā kursa elementiem – paātrināt pāreju uz ilgtspējīgu un viedu mobilitāti.</w:t>
            </w:r>
          </w:p>
          <w:p w14:paraId="1A9CCE59" w14:textId="77777777" w:rsidR="00A36C6E" w:rsidRPr="0054431E" w:rsidRDefault="00A36C6E" w:rsidP="00A36C6E">
            <w:pPr>
              <w:suppressAutoHyphens/>
              <w:autoSpaceDN w:val="0"/>
              <w:spacing w:after="160" w:line="247" w:lineRule="auto"/>
              <w:ind w:left="720"/>
              <w:contextualSpacing/>
              <w:textAlignment w:val="baseline"/>
              <w:rPr>
                <w:rFonts w:eastAsiaTheme="minorEastAsia"/>
                <w:sz w:val="20"/>
                <w:szCs w:val="20"/>
              </w:rPr>
            </w:pPr>
          </w:p>
          <w:p w14:paraId="509226E2" w14:textId="77777777" w:rsidR="00A36C6E" w:rsidRPr="0054431E" w:rsidRDefault="00A36C6E" w:rsidP="00A36C6E">
            <w:pPr>
              <w:spacing w:line="259" w:lineRule="auto"/>
              <w:rPr>
                <w:b/>
                <w:bCs/>
                <w:sz w:val="20"/>
                <w:szCs w:val="20"/>
              </w:rPr>
            </w:pPr>
          </w:p>
          <w:p w14:paraId="11EA844C" w14:textId="77777777" w:rsidR="00A36C6E" w:rsidRPr="0054431E" w:rsidRDefault="00A36C6E" w:rsidP="00A36C6E">
            <w:pPr>
              <w:spacing w:line="259" w:lineRule="auto"/>
              <w:rPr>
                <w:b/>
                <w:bCs/>
                <w:sz w:val="20"/>
                <w:szCs w:val="20"/>
              </w:rPr>
            </w:pPr>
            <w:r w:rsidRPr="0054431E">
              <w:rPr>
                <w:b/>
                <w:bCs/>
                <w:sz w:val="20"/>
                <w:szCs w:val="20"/>
              </w:rPr>
              <w:t>Sasaiste ar politikas plānošanas dokumentiem</w:t>
            </w:r>
          </w:p>
          <w:p w14:paraId="6CE20311" w14:textId="45B7E5C0" w:rsidR="00A36C6E" w:rsidRPr="0054431E" w:rsidRDefault="00A36C6E" w:rsidP="00A36C6E">
            <w:pPr>
              <w:numPr>
                <w:ilvl w:val="0"/>
                <w:numId w:val="3"/>
              </w:numPr>
              <w:spacing w:line="259" w:lineRule="auto"/>
              <w:contextualSpacing/>
              <w:rPr>
                <w:sz w:val="20"/>
                <w:szCs w:val="20"/>
              </w:rPr>
            </w:pPr>
            <w:r w:rsidRPr="0054431E">
              <w:rPr>
                <w:sz w:val="20"/>
                <w:szCs w:val="20"/>
              </w:rPr>
              <w:t xml:space="preserve">Saskaņā ar Latvijas stratēģiju </w:t>
            </w:r>
            <w:proofErr w:type="spellStart"/>
            <w:r w:rsidRPr="0054431E">
              <w:rPr>
                <w:sz w:val="20"/>
                <w:szCs w:val="20"/>
              </w:rPr>
              <w:t>klimatneitralitātes</w:t>
            </w:r>
            <w:proofErr w:type="spellEnd"/>
            <w:r w:rsidRPr="0054431E">
              <w:rPr>
                <w:sz w:val="20"/>
                <w:szCs w:val="20"/>
              </w:rPr>
              <w:t xml:space="preserve"> sasniegšanai līdz 2050. gadam v</w:t>
            </w:r>
            <w:r w:rsidRPr="0054431E">
              <w:rPr>
                <w:rFonts w:eastAsia="Times New Roman"/>
                <w:sz w:val="20"/>
                <w:szCs w:val="20"/>
                <w:lang w:eastAsia="lv-LV"/>
              </w:rPr>
              <w:t>isiem transporta veidiem būtu jāveicina mobilitātes sistēmas dekarbonizācija. Mērķis ir līdz 2050.gadam sasniegt nulles emisiju līmeni</w:t>
            </w:r>
            <w:r w:rsidRPr="0054431E">
              <w:rPr>
                <w:sz w:val="20"/>
                <w:szCs w:val="20"/>
              </w:rPr>
              <w:t>.</w:t>
            </w:r>
            <w:r w:rsidRPr="0054431E">
              <w:rPr>
                <w:rFonts w:eastAsia="Times New Roman"/>
                <w:sz w:val="20"/>
                <w:szCs w:val="20"/>
                <w:lang w:eastAsia="lv-LV"/>
              </w:rPr>
              <w:t xml:space="preserve"> </w:t>
            </w:r>
            <w:r w:rsidR="00F13CEF">
              <w:rPr>
                <w:rFonts w:eastAsia="Times New Roman"/>
                <w:sz w:val="20"/>
                <w:szCs w:val="20"/>
                <w:lang w:eastAsia="lv-LV"/>
              </w:rPr>
              <w:t xml:space="preserve">Kā viens no iespējamiem risinājumiem oglekļa mazietilpīgas attīstības nodrošināšanai stratēģijā norādīts </w:t>
            </w:r>
            <w:proofErr w:type="spellStart"/>
            <w:r w:rsidR="00F13CEF">
              <w:rPr>
                <w:rFonts w:eastAsia="Times New Roman"/>
                <w:sz w:val="20"/>
                <w:szCs w:val="20"/>
                <w:lang w:eastAsia="lv-LV"/>
              </w:rPr>
              <w:t>resursefektīvs</w:t>
            </w:r>
            <w:proofErr w:type="spellEnd"/>
            <w:r w:rsidR="00F13CEF">
              <w:rPr>
                <w:rFonts w:eastAsia="Times New Roman"/>
                <w:sz w:val="20"/>
                <w:szCs w:val="20"/>
                <w:lang w:eastAsia="lv-LV"/>
              </w:rPr>
              <w:t xml:space="preserve"> un videi draudzīgs transports, kas paredz kā </w:t>
            </w:r>
            <w:r w:rsidR="00F13CEF" w:rsidRPr="00F13CEF">
              <w:rPr>
                <w:rFonts w:eastAsia="Times New Roman"/>
                <w:sz w:val="20"/>
                <w:szCs w:val="20"/>
                <w:lang w:eastAsia="lv-LV"/>
              </w:rPr>
              <w:t xml:space="preserve">2050. gadā transporta sektors ir </w:t>
            </w:r>
            <w:proofErr w:type="spellStart"/>
            <w:r w:rsidR="00F13CEF" w:rsidRPr="00F13CEF">
              <w:rPr>
                <w:rFonts w:eastAsia="Times New Roman"/>
                <w:sz w:val="20"/>
                <w:szCs w:val="20"/>
                <w:lang w:eastAsia="lv-LV"/>
              </w:rPr>
              <w:t>dekarbonizēts</w:t>
            </w:r>
            <w:proofErr w:type="spellEnd"/>
            <w:r w:rsidR="00F13CEF" w:rsidRPr="00F13CEF">
              <w:rPr>
                <w:rFonts w:eastAsia="Times New Roman"/>
                <w:sz w:val="20"/>
                <w:szCs w:val="20"/>
                <w:lang w:eastAsia="lv-LV"/>
              </w:rPr>
              <w:t>, kas galvenokārt ir panākts, pateicoties dažādām iniciatīvām un inovācijām transporta infrastruktūrā un transportlīdzekļu tehnoloģijās, kā arī izmaiņām sabiedrības ikdienas paradumos</w:t>
            </w:r>
            <w:r w:rsidR="00F13CEF">
              <w:rPr>
                <w:rFonts w:eastAsia="Times New Roman"/>
                <w:sz w:val="20"/>
                <w:szCs w:val="20"/>
                <w:lang w:eastAsia="lv-LV"/>
              </w:rPr>
              <w:t>. Viena no iniciatīvām ir ū</w:t>
            </w:r>
            <w:r w:rsidR="00F13CEF" w:rsidRPr="00F13CEF">
              <w:rPr>
                <w:rFonts w:eastAsia="Times New Roman"/>
                <w:sz w:val="20"/>
                <w:szCs w:val="20"/>
                <w:lang w:eastAsia="lv-LV"/>
              </w:rPr>
              <w:t>dens transport</w:t>
            </w:r>
            <w:r w:rsidR="005733C3">
              <w:rPr>
                <w:rFonts w:eastAsia="Times New Roman"/>
                <w:sz w:val="20"/>
                <w:szCs w:val="20"/>
                <w:lang w:eastAsia="lv-LV"/>
              </w:rPr>
              <w:t>ā</w:t>
            </w:r>
            <w:r w:rsidR="00F13CEF" w:rsidRPr="00F13CEF">
              <w:rPr>
                <w:rFonts w:eastAsia="Times New Roman"/>
                <w:sz w:val="20"/>
                <w:szCs w:val="20"/>
                <w:lang w:eastAsia="lv-LV"/>
              </w:rPr>
              <w:t xml:space="preserve"> izmanto</w:t>
            </w:r>
            <w:r w:rsidR="005733C3">
              <w:rPr>
                <w:rFonts w:eastAsia="Times New Roman"/>
                <w:sz w:val="20"/>
                <w:szCs w:val="20"/>
                <w:lang w:eastAsia="lv-LV"/>
              </w:rPr>
              <w:t>t</w:t>
            </w:r>
            <w:r w:rsidR="00F13CEF" w:rsidRPr="00F13CEF">
              <w:rPr>
                <w:rFonts w:eastAsia="Times New Roman"/>
                <w:sz w:val="20"/>
                <w:szCs w:val="20"/>
                <w:lang w:eastAsia="lv-LV"/>
              </w:rPr>
              <w:t xml:space="preserve"> alternatīvās degvielas un energoefektīvus risinājumus degvielas patēriņa samazināšanai</w:t>
            </w:r>
            <w:r w:rsidR="00F13CEF">
              <w:rPr>
                <w:rFonts w:eastAsia="Times New Roman"/>
                <w:sz w:val="20"/>
                <w:szCs w:val="20"/>
                <w:lang w:eastAsia="lv-LV"/>
              </w:rPr>
              <w:t xml:space="preserve">. </w:t>
            </w:r>
            <w:r w:rsidR="005733C3">
              <w:rPr>
                <w:rFonts w:eastAsia="Times New Roman"/>
                <w:sz w:val="20"/>
                <w:szCs w:val="20"/>
                <w:lang w:eastAsia="lv-LV"/>
              </w:rPr>
              <w:t>Stratēģijā norādīts, ka o</w:t>
            </w:r>
            <w:r w:rsidR="005733C3" w:rsidRPr="005733C3">
              <w:rPr>
                <w:rFonts w:eastAsia="Times New Roman"/>
                <w:sz w:val="20"/>
                <w:szCs w:val="20"/>
                <w:lang w:eastAsia="lv-LV"/>
              </w:rPr>
              <w:t>stu elektrifikācija samazina ostās stāvošo kuģu emisijas, tādā veidā samazinot ostu negatīvo ietekmi uz apkārtējo vidi un klimatu.</w:t>
            </w:r>
            <w:r w:rsidRPr="00E544CE">
              <w:rPr>
                <w:rFonts w:eastAsia="Times New Roman"/>
                <w:sz w:val="20"/>
                <w:szCs w:val="20"/>
                <w:lang w:eastAsia="lv-LV"/>
              </w:rPr>
              <w:t xml:space="preserve"> </w:t>
            </w:r>
            <w:r w:rsidR="005733C3">
              <w:rPr>
                <w:rFonts w:eastAsia="Times New Roman"/>
                <w:sz w:val="20"/>
                <w:szCs w:val="20"/>
                <w:lang w:eastAsia="lv-LV"/>
              </w:rPr>
              <w:t>Līdz ar to, pasākuma ietvaros p</w:t>
            </w:r>
            <w:r w:rsidRPr="00E544CE">
              <w:rPr>
                <w:sz w:val="20"/>
                <w:szCs w:val="20"/>
              </w:rPr>
              <w:t xml:space="preserve">aredzētās darbības palīdz sasniegt </w:t>
            </w:r>
            <w:proofErr w:type="spellStart"/>
            <w:r w:rsidRPr="00E544CE">
              <w:rPr>
                <w:sz w:val="20"/>
                <w:szCs w:val="20"/>
              </w:rPr>
              <w:t>klimatneitralitātes</w:t>
            </w:r>
            <w:proofErr w:type="spellEnd"/>
            <w:r w:rsidRPr="00E544CE">
              <w:rPr>
                <w:sz w:val="20"/>
                <w:szCs w:val="20"/>
              </w:rPr>
              <w:t xml:space="preserve"> mērķus.</w:t>
            </w:r>
          </w:p>
          <w:p w14:paraId="359C8A81" w14:textId="032CCB67" w:rsidR="00A36C6E" w:rsidRPr="0054431E" w:rsidRDefault="00A36C6E" w:rsidP="00A36C6E">
            <w:pPr>
              <w:numPr>
                <w:ilvl w:val="0"/>
                <w:numId w:val="3"/>
              </w:numPr>
              <w:spacing w:line="259" w:lineRule="auto"/>
              <w:contextualSpacing/>
              <w:rPr>
                <w:sz w:val="20"/>
                <w:szCs w:val="20"/>
              </w:rPr>
            </w:pPr>
            <w:r w:rsidRPr="0054431E">
              <w:rPr>
                <w:sz w:val="20"/>
                <w:szCs w:val="20"/>
              </w:rPr>
              <w:t xml:space="preserve">Latvijas Nacionālo klimata un enerģētikas plāna 2021.–2030.gadam (NEKP) mērķis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r w:rsidR="009E6CA7">
              <w:rPr>
                <w:rFonts w:eastAsia="Calibri"/>
                <w:sz w:val="20"/>
                <w:szCs w:val="20"/>
              </w:rPr>
              <w:t>.</w:t>
            </w:r>
          </w:p>
          <w:p w14:paraId="517A3CEC" w14:textId="6FC5D55E" w:rsidR="00A36C6E" w:rsidRPr="0054431E" w:rsidRDefault="00A36C6E" w:rsidP="00A36C6E">
            <w:pPr>
              <w:numPr>
                <w:ilvl w:val="0"/>
                <w:numId w:val="3"/>
              </w:numPr>
              <w:spacing w:line="259" w:lineRule="auto"/>
              <w:contextualSpacing/>
              <w:rPr>
                <w:sz w:val="20"/>
                <w:szCs w:val="20"/>
              </w:rPr>
            </w:pPr>
            <w:r w:rsidRPr="0054431E">
              <w:rPr>
                <w:sz w:val="20"/>
                <w:szCs w:val="20"/>
              </w:rPr>
              <w:t>Saskaņā ar Gaisa piesārņojuma samazināšanas rīcības plānu 2020.-2030.gadam</w:t>
            </w:r>
            <w:r w:rsidR="007667FA">
              <w:rPr>
                <w:sz w:val="20"/>
                <w:szCs w:val="20"/>
              </w:rPr>
              <w:t xml:space="preserve"> </w:t>
            </w:r>
            <w:r w:rsidR="0079786B">
              <w:rPr>
                <w:sz w:val="20"/>
                <w:szCs w:val="20"/>
              </w:rPr>
              <w:t>kā viens no rīcības virzieniem plānā izvirzīto mērķu sasniegšanai ir e</w:t>
            </w:r>
            <w:r w:rsidR="0079786B" w:rsidRPr="0079786B">
              <w:rPr>
                <w:sz w:val="20"/>
                <w:szCs w:val="20"/>
              </w:rPr>
              <w:t>misiju samazināšana transporta sektorā</w:t>
            </w:r>
            <w:r w:rsidR="0079786B">
              <w:rPr>
                <w:sz w:val="20"/>
                <w:szCs w:val="20"/>
              </w:rPr>
              <w:t>, kas cita starpā paredz a</w:t>
            </w:r>
            <w:r w:rsidR="0079786B" w:rsidRPr="0079786B">
              <w:rPr>
                <w:sz w:val="20"/>
                <w:szCs w:val="20"/>
              </w:rPr>
              <w:t>lternatīvo degvielu infrastruktūras izveidošan</w:t>
            </w:r>
            <w:r w:rsidR="0079786B">
              <w:rPr>
                <w:sz w:val="20"/>
                <w:szCs w:val="20"/>
              </w:rPr>
              <w:t>u</w:t>
            </w:r>
            <w:r w:rsidR="007667FA">
              <w:rPr>
                <w:rFonts w:eastAsia="Times New Roman"/>
                <w:sz w:val="20"/>
                <w:szCs w:val="20"/>
                <w:lang w:eastAsia="lv-LV"/>
              </w:rPr>
              <w:t>.</w:t>
            </w:r>
            <w:r w:rsidRPr="0054431E">
              <w:rPr>
                <w:sz w:val="20"/>
                <w:szCs w:val="20"/>
              </w:rPr>
              <w:t xml:space="preserve"> </w:t>
            </w:r>
            <w:r w:rsidR="0079786B">
              <w:rPr>
                <w:sz w:val="20"/>
                <w:szCs w:val="20"/>
              </w:rPr>
              <w:t>Līdz ar to, i</w:t>
            </w:r>
            <w:r w:rsidRPr="0054431E">
              <w:rPr>
                <w:sz w:val="20"/>
                <w:szCs w:val="20"/>
              </w:rPr>
              <w:t xml:space="preserve">eguldījumi </w:t>
            </w:r>
            <w:r w:rsidR="0079786B">
              <w:rPr>
                <w:sz w:val="20"/>
                <w:szCs w:val="20"/>
              </w:rPr>
              <w:t xml:space="preserve">pasākuma ietvaros </w:t>
            </w:r>
            <w:r w:rsidRPr="0054431E">
              <w:rPr>
                <w:sz w:val="20"/>
                <w:szCs w:val="20"/>
              </w:rPr>
              <w:t xml:space="preserve">tiešā veidā sniedz ieguldījumu plāna mērķu sasniegšanā. </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6016E605" w:rsidR="0054431E" w:rsidRDefault="0079786B" w:rsidP="0054431E">
            <w:pPr>
              <w:spacing w:line="240" w:lineRule="auto"/>
              <w:jc w:val="both"/>
              <w:rPr>
                <w:rFonts w:eastAsia="Calibri"/>
                <w:sz w:val="20"/>
                <w:szCs w:val="20"/>
              </w:rPr>
            </w:pPr>
            <w:r>
              <w:rPr>
                <w:rFonts w:eastAsia="Calibri"/>
                <w:sz w:val="20"/>
                <w:szCs w:val="20"/>
                <w:lang w:bidi="lv-LV"/>
              </w:rPr>
              <w:t>Lielo ostu publiskās infrastruktūras attīstība</w:t>
            </w:r>
            <w:r w:rsidR="002D2DC4" w:rsidRPr="002D2DC4">
              <w:rPr>
                <w:rFonts w:eastAsia="Calibri"/>
                <w:sz w:val="20"/>
                <w:szCs w:val="20"/>
                <w:lang w:bidi="lv-LV"/>
              </w:rPr>
              <w:t xml:space="preserve"> </w:t>
            </w:r>
            <w:r w:rsidR="0054431E" w:rsidRPr="00E544CE">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7667FA">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20B40EF2" w14:textId="03F6AC2F" w:rsidR="00E30D2C" w:rsidRDefault="00E30D2C" w:rsidP="0054431E">
            <w:pPr>
              <w:spacing w:line="240" w:lineRule="auto"/>
              <w:jc w:val="both"/>
              <w:rPr>
                <w:rFonts w:eastAsia="Calibri"/>
                <w:sz w:val="20"/>
                <w:szCs w:val="20"/>
              </w:rPr>
            </w:pPr>
          </w:p>
          <w:p w14:paraId="29383E4C" w14:textId="16C8F3D2" w:rsidR="00E30D2C" w:rsidRPr="0054431E" w:rsidRDefault="00E30D2C" w:rsidP="0054431E">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7A26E5F6" w14:textId="77777777" w:rsidR="00E30D2C" w:rsidRPr="004E1B1A" w:rsidRDefault="00E30D2C" w:rsidP="00E30D2C">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09AD61A5" w14:textId="77777777" w:rsidR="00E30D2C" w:rsidRDefault="00E30D2C" w:rsidP="0054431E">
            <w:pPr>
              <w:shd w:val="clear" w:color="auto" w:fill="FFFFFF"/>
              <w:spacing w:line="240" w:lineRule="auto"/>
              <w:jc w:val="both"/>
              <w:rPr>
                <w:rFonts w:eastAsia="Times New Roman"/>
                <w:sz w:val="20"/>
                <w:szCs w:val="20"/>
                <w:lang w:eastAsia="lv-LV"/>
              </w:rPr>
            </w:pPr>
          </w:p>
          <w:p w14:paraId="1FE5D641" w14:textId="4F4448E5"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lastRenderedPageBreak/>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ED6C8E3" w14:textId="77777777" w:rsidR="0054431E" w:rsidRPr="0054431E" w:rsidRDefault="0054431E" w:rsidP="0054431E">
            <w:pPr>
              <w:spacing w:line="240" w:lineRule="auto"/>
              <w:jc w:val="both"/>
              <w:rPr>
                <w:rFonts w:eastAsiaTheme="minorEastAsia"/>
                <w:sz w:val="20"/>
                <w:szCs w:val="20"/>
              </w:rPr>
            </w:pPr>
          </w:p>
          <w:p w14:paraId="70E5911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4431E" w14:paraId="653ECEAC" w14:textId="77777777" w:rsidTr="008F0C19">
              <w:tc>
                <w:tcPr>
                  <w:tcW w:w="1444" w:type="dxa"/>
                  <w:vMerge w:val="restart"/>
                </w:tcPr>
                <w:p w14:paraId="09DDEA73" w14:textId="6958E7E1" w:rsidR="0054431E" w:rsidRDefault="0054431E" w:rsidP="0054431E">
                  <w:pPr>
                    <w:spacing w:line="240" w:lineRule="auto"/>
                    <w:jc w:val="both"/>
                    <w:rPr>
                      <w:sz w:val="20"/>
                      <w:szCs w:val="20"/>
                    </w:rPr>
                  </w:pPr>
                </w:p>
                <w:p w14:paraId="479CD626" w14:textId="22A317CA" w:rsidR="00681E02" w:rsidRPr="0054431E" w:rsidRDefault="00A706C1" w:rsidP="0054431E">
                  <w:pPr>
                    <w:spacing w:line="240" w:lineRule="auto"/>
                    <w:jc w:val="both"/>
                    <w:rPr>
                      <w:rFonts w:eastAsia="Calibri"/>
                      <w:sz w:val="20"/>
                      <w:szCs w:val="20"/>
                    </w:rPr>
                  </w:pPr>
                  <w:r>
                    <w:rPr>
                      <w:rFonts w:eastAsia="Calibri"/>
                      <w:sz w:val="20"/>
                      <w:szCs w:val="20"/>
                      <w:lang w:bidi="lv-LV"/>
                    </w:rPr>
                    <w:t>Lielo ostu publiskās infrastruktūras attīstība</w:t>
                  </w:r>
                </w:p>
              </w:tc>
              <w:tc>
                <w:tcPr>
                  <w:tcW w:w="2268" w:type="dxa"/>
                </w:tcPr>
                <w:p w14:paraId="66D04AD7" w14:textId="3B1799D7" w:rsidR="0054431E" w:rsidRPr="0054431E" w:rsidRDefault="00A706C1" w:rsidP="0054431E">
                  <w:pPr>
                    <w:spacing w:line="240" w:lineRule="auto"/>
                    <w:jc w:val="both"/>
                    <w:rPr>
                      <w:rFonts w:eastAsia="Calibri"/>
                      <w:sz w:val="20"/>
                      <w:szCs w:val="20"/>
                    </w:rPr>
                  </w:pPr>
                  <w:r w:rsidRPr="00A706C1">
                    <w:rPr>
                      <w:rFonts w:eastAsia="Calibri"/>
                      <w:b/>
                      <w:bCs/>
                      <w:sz w:val="20"/>
                      <w:szCs w:val="20"/>
                    </w:rPr>
                    <w:t>Uzplūdu radīto bojājumu pieaugums ostām</w:t>
                  </w:r>
                </w:p>
              </w:tc>
              <w:tc>
                <w:tcPr>
                  <w:tcW w:w="2551" w:type="dxa"/>
                </w:tcPr>
                <w:p w14:paraId="5FD40E8B" w14:textId="25E7E1F1" w:rsidR="0054431E" w:rsidRPr="0054431E" w:rsidRDefault="00A706C1" w:rsidP="0054431E">
                  <w:pPr>
                    <w:spacing w:line="240" w:lineRule="auto"/>
                    <w:jc w:val="both"/>
                    <w:rPr>
                      <w:rFonts w:eastAsia="Calibri"/>
                      <w:sz w:val="20"/>
                      <w:szCs w:val="20"/>
                    </w:rPr>
                  </w:pPr>
                  <w:r w:rsidRPr="00A706C1">
                    <w:rPr>
                      <w:rFonts w:eastAsia="Calibri"/>
                      <w:sz w:val="20"/>
                      <w:szCs w:val="20"/>
                    </w:rPr>
                    <w:t>Bojājumi ostu infrastruktūrai; preču bojājumi; ekonomiskie zaudējumi.</w:t>
                  </w:r>
                </w:p>
              </w:tc>
            </w:tr>
            <w:tr w:rsidR="0054431E" w:rsidRPr="0054431E" w14:paraId="62054BD4" w14:textId="77777777" w:rsidTr="008F0C19">
              <w:tc>
                <w:tcPr>
                  <w:tcW w:w="1444" w:type="dxa"/>
                  <w:vMerge/>
                </w:tcPr>
                <w:p w14:paraId="358B9711" w14:textId="77777777" w:rsidR="0054431E" w:rsidRPr="0054431E" w:rsidRDefault="0054431E" w:rsidP="0054431E">
                  <w:pPr>
                    <w:spacing w:line="240" w:lineRule="auto"/>
                    <w:jc w:val="both"/>
                    <w:rPr>
                      <w:rFonts w:eastAsia="Calibri"/>
                      <w:sz w:val="20"/>
                      <w:szCs w:val="20"/>
                    </w:rPr>
                  </w:pPr>
                </w:p>
              </w:tc>
              <w:tc>
                <w:tcPr>
                  <w:tcW w:w="2268" w:type="dxa"/>
                </w:tcPr>
                <w:p w14:paraId="472F474F" w14:textId="0F1982CB" w:rsidR="0054431E" w:rsidRPr="0054431E" w:rsidRDefault="00A706C1" w:rsidP="0054431E">
                  <w:pPr>
                    <w:spacing w:line="240" w:lineRule="auto"/>
                    <w:jc w:val="both"/>
                    <w:rPr>
                      <w:rFonts w:eastAsia="Calibri"/>
                      <w:sz w:val="20"/>
                      <w:szCs w:val="20"/>
                    </w:rPr>
                  </w:pPr>
                  <w:r w:rsidRPr="00A706C1">
                    <w:rPr>
                      <w:rFonts w:eastAsia="Calibri"/>
                      <w:b/>
                      <w:bCs/>
                      <w:sz w:val="20"/>
                      <w:szCs w:val="20"/>
                    </w:rPr>
                    <w:t>Draudi krasta pārvadiem jūras līmeņa celšanās/augstu plūdmaiņu/vētru dēļ</w:t>
                  </w:r>
                </w:p>
              </w:tc>
              <w:tc>
                <w:tcPr>
                  <w:tcW w:w="2551" w:type="dxa"/>
                </w:tcPr>
                <w:p w14:paraId="7BCF7D42" w14:textId="3C85A619" w:rsidR="0054431E" w:rsidRPr="0054431E" w:rsidRDefault="00A706C1" w:rsidP="0054431E">
                  <w:pPr>
                    <w:spacing w:line="240" w:lineRule="auto"/>
                    <w:jc w:val="both"/>
                    <w:rPr>
                      <w:rFonts w:eastAsia="Calibri"/>
                      <w:sz w:val="20"/>
                      <w:szCs w:val="20"/>
                    </w:rPr>
                  </w:pPr>
                  <w:r w:rsidRPr="00A706C1">
                    <w:rPr>
                      <w:rFonts w:eastAsia="Calibri"/>
                      <w:sz w:val="20"/>
                      <w:szCs w:val="20"/>
                    </w:rPr>
                    <w:t>Bojājumi TEC; kravu un pasažieru pārvadājumu ostās efektivitātes samazināšanās; energoapgādes traucējumi.</w:t>
                  </w:r>
                </w:p>
              </w:tc>
            </w:tr>
          </w:tbl>
          <w:p w14:paraId="15D11AB0" w14:textId="77777777" w:rsidR="0054431E" w:rsidRPr="0054431E" w:rsidRDefault="0054431E"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193F10AB" w:rsidR="0054431E" w:rsidRDefault="0054431E" w:rsidP="0054431E">
            <w:pPr>
              <w:spacing w:line="240" w:lineRule="auto"/>
              <w:jc w:val="both"/>
              <w:rPr>
                <w:rFonts w:eastAsiaTheme="minorEastAsia"/>
                <w:sz w:val="20"/>
                <w:szCs w:val="20"/>
              </w:rPr>
            </w:pPr>
            <w:r w:rsidRPr="0054431E">
              <w:rPr>
                <w:rFonts w:eastAsiaTheme="minorEastAsia"/>
                <w:sz w:val="20"/>
                <w:szCs w:val="20"/>
              </w:rPr>
              <w:t>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w:t>
            </w:r>
            <w:r w:rsidR="00D970FA">
              <w:rPr>
                <w:rFonts w:eastAsiaTheme="minorEastAsia"/>
                <w:sz w:val="20"/>
                <w:szCs w:val="20"/>
              </w:rPr>
              <w:t>,</w:t>
            </w:r>
            <w:r w:rsidRPr="0054431E">
              <w:rPr>
                <w:rFonts w:eastAsiaTheme="minorEastAsia"/>
                <w:sz w:val="20"/>
                <w:szCs w:val="20"/>
              </w:rPr>
              <w:t xml:space="preserve"> preventīvās darbības, lai novērstu potenciāli radītos vētras bojājumus, putekļu emisijas samazināšana karstos un sausos laika apstākļos. </w:t>
            </w:r>
          </w:p>
          <w:p w14:paraId="69A0454F" w14:textId="77777777" w:rsidR="00681E02" w:rsidRPr="0054431E" w:rsidRDefault="00681E02" w:rsidP="0054431E">
            <w:pPr>
              <w:spacing w:line="240" w:lineRule="auto"/>
              <w:jc w:val="both"/>
              <w:rPr>
                <w:rFonts w:eastAsiaTheme="minorEastAsia"/>
                <w:sz w:val="20"/>
                <w:szCs w:val="20"/>
              </w:rPr>
            </w:pPr>
          </w:p>
          <w:p w14:paraId="4A034A52" w14:textId="77777777" w:rsidR="0054431E" w:rsidRPr="0054431E" w:rsidRDefault="0054431E" w:rsidP="00E544CE">
            <w:pPr>
              <w:spacing w:line="240" w:lineRule="auto"/>
              <w:contextualSpacing/>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10E0B30E" w:rsid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6E930473" w14:textId="77777777" w:rsidR="0054431E" w:rsidRPr="0054431E" w:rsidRDefault="0054431E" w:rsidP="008E41CD">
            <w:pPr>
              <w:spacing w:line="240" w:lineRule="auto"/>
              <w:jc w:val="both"/>
              <w:rPr>
                <w:rFonts w:eastAsiaTheme="minorEastAsia"/>
                <w:sz w:val="20"/>
                <w:szCs w:val="20"/>
              </w:rPr>
            </w:pPr>
          </w:p>
        </w:tc>
      </w:tr>
      <w:tr w:rsidR="00D20447" w:rsidRPr="0054431E" w14:paraId="2B336F9C" w14:textId="77777777" w:rsidTr="00E544C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D20447" w:rsidRPr="00364CC0" w:rsidRDefault="00D20447" w:rsidP="00D20447">
            <w:pPr>
              <w:spacing w:line="240" w:lineRule="auto"/>
              <w:rPr>
                <w:sz w:val="20"/>
                <w:szCs w:val="20"/>
              </w:rPr>
            </w:pPr>
            <w:r w:rsidRPr="00364CC0">
              <w:rPr>
                <w:rFonts w:eastAsia="Times New Roman"/>
                <w:b/>
                <w:bCs/>
                <w:sz w:val="20"/>
                <w:szCs w:val="20"/>
                <w:lang w:eastAsia="lv-LV"/>
              </w:rPr>
              <w:lastRenderedPageBreak/>
              <w:t xml:space="preserve">Ilgtspējīga ūdens un jūras resursu izmantošana un aizsardzība. </w:t>
            </w:r>
            <w:r w:rsidRPr="00364CC0">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77FB11E1" w:rsidR="00D20447" w:rsidRPr="0016336C" w:rsidRDefault="00DD7817" w:rsidP="00D20447">
            <w:pPr>
              <w:spacing w:line="240" w:lineRule="auto"/>
              <w:jc w:val="center"/>
              <w:rPr>
                <w:rFonts w:eastAsia="Times New Roman"/>
                <w:b/>
                <w:bCs/>
                <w:sz w:val="20"/>
                <w:szCs w:val="20"/>
                <w:highlight w:val="yellow"/>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D0D5061" w14:textId="2523D284" w:rsidR="002C6E0A" w:rsidRDefault="002C6E0A" w:rsidP="002C6E0A">
            <w:pPr>
              <w:spacing w:line="240" w:lineRule="auto"/>
              <w:contextualSpacing/>
              <w:rPr>
                <w:sz w:val="20"/>
                <w:szCs w:val="20"/>
                <w:lang w:eastAsia="lv-LV"/>
              </w:rPr>
            </w:pPr>
            <w:r>
              <w:rPr>
                <w:sz w:val="20"/>
                <w:szCs w:val="20"/>
                <w:lang w:eastAsia="lv-LV"/>
              </w:rPr>
              <w:t xml:space="preserve">Atbilstoši </w:t>
            </w:r>
            <w:r w:rsidR="00291E29">
              <w:rPr>
                <w:sz w:val="20"/>
                <w:szCs w:val="20"/>
                <w:lang w:eastAsia="lv-LV"/>
              </w:rPr>
              <w:t>Darbības programmas Latvijai 2021.-2027.gadam Stratē</w:t>
            </w:r>
            <w:r w:rsidR="00364CC0">
              <w:rPr>
                <w:sz w:val="20"/>
                <w:szCs w:val="20"/>
                <w:lang w:eastAsia="lv-LV"/>
              </w:rPr>
              <w:t>ģ</w:t>
            </w:r>
            <w:r w:rsidR="00291E29">
              <w:rPr>
                <w:sz w:val="20"/>
                <w:szCs w:val="20"/>
                <w:lang w:eastAsia="lv-LV"/>
              </w:rPr>
              <w:t>iskā ietekmes uz vidi novērtējuma Vides pārskatam, a</w:t>
            </w:r>
            <w:r w:rsidRPr="002C6E0A">
              <w:rPr>
                <w:sz w:val="20"/>
                <w:szCs w:val="20"/>
                <w:lang w:eastAsia="lv-LV"/>
              </w:rPr>
              <w:t>tbalsta pasākumiem lielo ostu publiskās infrastruktūras attīstībai, tai skaitā videi draudzīgas ostas infrastruktūras attīstībai, alternatīvo degvielu pieejamīb</w:t>
            </w:r>
            <w:r w:rsidR="00291E29">
              <w:rPr>
                <w:sz w:val="20"/>
                <w:szCs w:val="20"/>
                <w:lang w:eastAsia="lv-LV"/>
              </w:rPr>
              <w:t>ai,</w:t>
            </w:r>
            <w:r w:rsidRPr="002C6E0A">
              <w:rPr>
                <w:sz w:val="20"/>
                <w:szCs w:val="20"/>
                <w:lang w:eastAsia="lv-LV"/>
              </w:rPr>
              <w:t xml:space="preserve"> būs pozitīva ietekme uz ūdeņu kvalitāti.</w:t>
            </w:r>
          </w:p>
          <w:p w14:paraId="130468C1" w14:textId="76378BE5" w:rsidR="00291E29" w:rsidRPr="00E544CE" w:rsidRDefault="00291E29" w:rsidP="002C6E0A">
            <w:pPr>
              <w:spacing w:line="240" w:lineRule="auto"/>
              <w:contextualSpacing/>
              <w:rPr>
                <w:sz w:val="20"/>
                <w:szCs w:val="20"/>
                <w:lang w:eastAsia="lv-LV"/>
              </w:rPr>
            </w:pPr>
          </w:p>
        </w:tc>
      </w:tr>
      <w:tr w:rsidR="00D20447"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 xml:space="preserve">Pāreja uz aprites ekonomiku, ieskaitot atkritumu rašanās novēršanu un to </w:t>
            </w:r>
            <w:proofErr w:type="spellStart"/>
            <w:r w:rsidRPr="0054431E">
              <w:rPr>
                <w:rFonts w:eastAsia="Times New Roman"/>
                <w:b/>
                <w:bCs/>
                <w:sz w:val="20"/>
                <w:szCs w:val="20"/>
                <w:lang w:eastAsia="lv-LV"/>
              </w:rPr>
              <w:t>reciklēšanu</w:t>
            </w:r>
            <w:proofErr w:type="spellEnd"/>
            <w:r w:rsidRPr="0054431E">
              <w:rPr>
                <w:rFonts w:eastAsia="Times New Roman"/>
                <w:sz w:val="20"/>
                <w:szCs w:val="20"/>
                <w:lang w:eastAsia="lv-LV"/>
              </w:rPr>
              <w:t xml:space="preserve">. Vai paredzams, ka pasākums: (i) būtiski palielinās atkritumu rašanos,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xml:space="preserve"> vai apglabāšanu, izņemot nepārstrādājamu bīstamo atkritumu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vai</w:t>
            </w:r>
            <w:r w:rsidRPr="0054431E">
              <w:rPr>
                <w:rFonts w:eastAsia="Times New Roman"/>
                <w:sz w:val="20"/>
                <w:szCs w:val="20"/>
                <w:lang w:eastAsia="lv-LV"/>
              </w:rPr>
              <w:br/>
              <w:t xml:space="preserve">(ii) dabas resursu tiešā vai netiešā izmantošanā jebkurā to aprites cikla posmā radīs būtisku </w:t>
            </w:r>
            <w:proofErr w:type="spellStart"/>
            <w:r w:rsidRPr="0054431E">
              <w:rPr>
                <w:rFonts w:eastAsia="Times New Roman"/>
                <w:sz w:val="20"/>
                <w:szCs w:val="20"/>
                <w:lang w:eastAsia="lv-LV"/>
              </w:rPr>
              <w:t>neefektivitāti</w:t>
            </w:r>
            <w:proofErr w:type="spellEnd"/>
            <w:r w:rsidRPr="0054431E">
              <w:rPr>
                <w:rFonts w:eastAsia="Times New Roman"/>
                <w:sz w:val="20"/>
                <w:szCs w:val="20"/>
                <w:lang w:eastAsia="lv-LV"/>
              </w:rPr>
              <w:t>,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5E9CE76" w:rsidR="00D20447" w:rsidRPr="0054431E" w:rsidRDefault="00DD7817" w:rsidP="00D20447">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84EEE6B" w14:textId="77777777" w:rsidR="0016336C" w:rsidRPr="00061F03" w:rsidRDefault="0016336C" w:rsidP="0016336C">
            <w:pPr>
              <w:spacing w:line="240" w:lineRule="auto"/>
              <w:jc w:val="both"/>
              <w:rPr>
                <w:rFonts w:eastAsia="Times New Roman"/>
                <w:sz w:val="20"/>
                <w:szCs w:val="20"/>
                <w:lang w:eastAsia="lv-LV"/>
              </w:rPr>
            </w:pPr>
          </w:p>
          <w:p w14:paraId="3F93A675" w14:textId="071D7509" w:rsidR="00D20447" w:rsidRPr="0054431E" w:rsidRDefault="0016336C" w:rsidP="0016336C">
            <w:pPr>
              <w:suppressAutoHyphens/>
              <w:autoSpaceDN w:val="0"/>
              <w:spacing w:after="120" w:line="240" w:lineRule="auto"/>
              <w:jc w:val="both"/>
              <w:textAlignment w:val="baseline"/>
              <w:rPr>
                <w:rFonts w:eastAsia="Times New Roman"/>
                <w:sz w:val="20"/>
                <w:szCs w:val="20"/>
                <w:lang w:eastAsia="lv-LV"/>
              </w:rPr>
            </w:pPr>
            <w:r w:rsidRPr="00061F03">
              <w:rPr>
                <w:sz w:val="20"/>
                <w:szCs w:val="20"/>
              </w:rPr>
              <w:t>Atkritumu rašanās būvniecības laikā tiks ierobežota saskaņā ar ES būvniecības un nojaukšanas atkritumu apsaimniekošanas protokolu un tiks veicināta atkārtota materiālu izmantošana un augstas kvalitātes pārstrāde, piemērojot materiālu atlasi, izmantojot labākās pieejamās būvgružiem paredzētās šķirošanas sistēmas.</w:t>
            </w:r>
          </w:p>
        </w:tc>
      </w:tr>
      <w:tr w:rsidR="00D20447"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25A26A19" w:rsidR="00D20447" w:rsidRPr="0054431E" w:rsidRDefault="00DD7817" w:rsidP="00D20447">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CC64B36" w14:textId="64C6289A" w:rsidR="0016336C" w:rsidRDefault="00D20447" w:rsidP="00D20447">
            <w:pPr>
              <w:spacing w:line="240" w:lineRule="auto"/>
              <w:jc w:val="both"/>
              <w:rPr>
                <w:sz w:val="20"/>
                <w:szCs w:val="20"/>
              </w:rPr>
            </w:pPr>
            <w:r w:rsidRPr="00E544CE">
              <w:rPr>
                <w:rFonts w:eastAsia="Times New Roman"/>
                <w:sz w:val="20"/>
                <w:szCs w:val="20"/>
                <w:lang w:eastAsia="lv-LV"/>
              </w:rPr>
              <w:t>Nav paredzams, ka pasākums būtiski palielinās piesārņotāju emisijas gaisā,</w:t>
            </w:r>
            <w:r w:rsidRPr="00AF25BB">
              <w:rPr>
                <w:rFonts w:eastAsia="Times New Roman"/>
                <w:sz w:val="20"/>
                <w:szCs w:val="20"/>
                <w:lang w:eastAsia="lv-LV"/>
              </w:rPr>
              <w:t xml:space="preserve"> jo </w:t>
            </w:r>
            <w:r w:rsidR="00DC48C1">
              <w:rPr>
                <w:rFonts w:eastAsia="Times New Roman"/>
                <w:sz w:val="20"/>
                <w:szCs w:val="20"/>
                <w:lang w:eastAsia="lv-LV"/>
              </w:rPr>
              <w:t>lielo ostu publiskās infrastruktūras attīstība</w:t>
            </w:r>
            <w:r w:rsidRPr="00AF25BB">
              <w:rPr>
                <w:rFonts w:eastAsia="Times New Roman"/>
                <w:sz w:val="20"/>
                <w:szCs w:val="20"/>
                <w:lang w:eastAsia="lv-LV"/>
              </w:rPr>
              <w:t xml:space="preserve"> ir daļa no visaptverošā plāna transporta jomā un </w:t>
            </w:r>
            <w:r w:rsidRPr="00E544CE">
              <w:rPr>
                <w:rFonts w:eastAsia="Times New Roman"/>
                <w:sz w:val="20"/>
                <w:szCs w:val="20"/>
                <w:lang w:eastAsia="lv-LV"/>
              </w:rPr>
              <w:t>atbilst Gaisa piesārņojuma samazināšanas rīcības plānam 2020.-2030. gadam</w:t>
            </w:r>
            <w:r w:rsidRPr="00AF25BB">
              <w:rPr>
                <w:rFonts w:eastAsia="Times New Roman"/>
                <w:sz w:val="20"/>
                <w:szCs w:val="20"/>
                <w:lang w:eastAsia="lv-LV"/>
              </w:rPr>
              <w:t xml:space="preserve">, kur </w:t>
            </w:r>
            <w:r w:rsidR="0016336C">
              <w:rPr>
                <w:sz w:val="20"/>
                <w:szCs w:val="20"/>
              </w:rPr>
              <w:t>kā viens no rīcības virzieniem plānā izvirzīto mērķu sasniegšanai ir e</w:t>
            </w:r>
            <w:r w:rsidR="0016336C" w:rsidRPr="0079786B">
              <w:rPr>
                <w:sz w:val="20"/>
                <w:szCs w:val="20"/>
              </w:rPr>
              <w:t>misiju samazināšana transporta sektorā</w:t>
            </w:r>
            <w:r w:rsidR="0016336C">
              <w:rPr>
                <w:sz w:val="20"/>
                <w:szCs w:val="20"/>
              </w:rPr>
              <w:t>, kas cita starpā paredz a</w:t>
            </w:r>
            <w:r w:rsidR="0016336C" w:rsidRPr="0079786B">
              <w:rPr>
                <w:sz w:val="20"/>
                <w:szCs w:val="20"/>
              </w:rPr>
              <w:t>lternatīvo degvielu infrastruktūras izveidošan</w:t>
            </w:r>
            <w:r w:rsidR="0016336C">
              <w:rPr>
                <w:sz w:val="20"/>
                <w:szCs w:val="20"/>
              </w:rPr>
              <w:t>u</w:t>
            </w:r>
            <w:r w:rsidR="0016336C">
              <w:rPr>
                <w:rFonts w:eastAsia="Times New Roman"/>
                <w:sz w:val="20"/>
                <w:szCs w:val="20"/>
                <w:lang w:eastAsia="lv-LV"/>
              </w:rPr>
              <w:t>.</w:t>
            </w:r>
            <w:r w:rsidR="0016336C" w:rsidRPr="0054431E">
              <w:rPr>
                <w:sz w:val="20"/>
                <w:szCs w:val="20"/>
              </w:rPr>
              <w:t xml:space="preserve"> </w:t>
            </w:r>
            <w:r w:rsidR="0016336C">
              <w:rPr>
                <w:sz w:val="20"/>
                <w:szCs w:val="20"/>
              </w:rPr>
              <w:t>Līdz ar to, i</w:t>
            </w:r>
            <w:r w:rsidR="0016336C" w:rsidRPr="0054431E">
              <w:rPr>
                <w:sz w:val="20"/>
                <w:szCs w:val="20"/>
              </w:rPr>
              <w:t xml:space="preserve">eguldījumi </w:t>
            </w:r>
            <w:r w:rsidR="0016336C">
              <w:rPr>
                <w:sz w:val="20"/>
                <w:szCs w:val="20"/>
              </w:rPr>
              <w:t xml:space="preserve">pasākuma ietvaros </w:t>
            </w:r>
            <w:r w:rsidR="0016336C" w:rsidRPr="0054431E">
              <w:rPr>
                <w:sz w:val="20"/>
                <w:szCs w:val="20"/>
              </w:rPr>
              <w:t>tiešā veidā sniedz ieguldījumu plāna mērķu sasniegšanā.</w:t>
            </w:r>
          </w:p>
          <w:p w14:paraId="21107E54" w14:textId="10CB22F4" w:rsidR="00DD7817" w:rsidRDefault="00DD7817" w:rsidP="00D20447">
            <w:pPr>
              <w:spacing w:line="240" w:lineRule="auto"/>
              <w:jc w:val="both"/>
              <w:rPr>
                <w:sz w:val="20"/>
                <w:szCs w:val="20"/>
              </w:rPr>
            </w:pPr>
          </w:p>
          <w:p w14:paraId="5C089439" w14:textId="084BCC16" w:rsidR="00DD7817" w:rsidRPr="006410AC" w:rsidRDefault="00DD7817" w:rsidP="00D20447">
            <w:pPr>
              <w:spacing w:line="240" w:lineRule="auto"/>
              <w:jc w:val="both"/>
              <w:rPr>
                <w:rFonts w:eastAsia="Times New Roman"/>
                <w:sz w:val="20"/>
                <w:szCs w:val="20"/>
                <w:lang w:eastAsia="lv-LV"/>
              </w:rPr>
            </w:pPr>
            <w:r>
              <w:rPr>
                <w:sz w:val="20"/>
                <w:szCs w:val="20"/>
                <w:lang w:eastAsia="lv-LV"/>
              </w:rPr>
              <w:t>Atbilstoši Darbības programmas Latvijai 2021.-2027.gadam Stratēģiskā ietekmes uz vidi novērtējuma Vides pārskatam, a</w:t>
            </w:r>
            <w:r w:rsidRPr="002C6E0A">
              <w:rPr>
                <w:sz w:val="20"/>
                <w:szCs w:val="20"/>
                <w:lang w:eastAsia="lv-LV"/>
              </w:rPr>
              <w:t>tbalsta pasākumiem lielo ostu publiskās infrastruktūras attīstībai, tai skaitā videi draudzīgas ostas infrastruktūras attīstībai, alternatīvo degvielu pieejamīb</w:t>
            </w:r>
            <w:r>
              <w:rPr>
                <w:sz w:val="20"/>
                <w:szCs w:val="20"/>
                <w:lang w:eastAsia="lv-LV"/>
              </w:rPr>
              <w:t>ai,</w:t>
            </w:r>
            <w:r>
              <w:rPr>
                <w:rFonts w:eastAsiaTheme="minorEastAsia"/>
                <w:sz w:val="20"/>
                <w:szCs w:val="20"/>
              </w:rPr>
              <w:t xml:space="preserve"> </w:t>
            </w:r>
            <w:r w:rsidRPr="00364CC0">
              <w:rPr>
                <w:rFonts w:eastAsiaTheme="minorEastAsia"/>
                <w:sz w:val="20"/>
                <w:szCs w:val="20"/>
              </w:rPr>
              <w:t>būs pozitīva ietekme uz gaisa kvalitāti</w:t>
            </w:r>
            <w:r>
              <w:rPr>
                <w:rFonts w:eastAsiaTheme="minorEastAsia"/>
                <w:sz w:val="20"/>
                <w:szCs w:val="20"/>
              </w:rPr>
              <w:t>.</w:t>
            </w:r>
          </w:p>
          <w:p w14:paraId="74195EC1" w14:textId="540813CD" w:rsidR="00D20447" w:rsidRPr="0054431E" w:rsidRDefault="00D20447" w:rsidP="00D20447">
            <w:pPr>
              <w:suppressAutoHyphens/>
              <w:autoSpaceDN w:val="0"/>
              <w:spacing w:after="120" w:line="240" w:lineRule="auto"/>
              <w:jc w:val="both"/>
              <w:textAlignment w:val="baseline"/>
              <w:rPr>
                <w:sz w:val="20"/>
                <w:szCs w:val="20"/>
              </w:rPr>
            </w:pPr>
          </w:p>
        </w:tc>
      </w:tr>
      <w:tr w:rsidR="00D20447"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62CD03D7" w:rsidR="00D20447" w:rsidRPr="0054431E" w:rsidRDefault="00DD7817" w:rsidP="00D20447">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3010E726" w14:textId="3C8E4DB7" w:rsidR="00D20447" w:rsidRDefault="00D20447" w:rsidP="00D20447">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p w14:paraId="138077D8" w14:textId="526347FF" w:rsidR="00D20447" w:rsidRDefault="00D20447" w:rsidP="00D20447">
            <w:pPr>
              <w:spacing w:line="240" w:lineRule="auto"/>
              <w:jc w:val="both"/>
              <w:rPr>
                <w:rFonts w:eastAsia="Times New Roman"/>
                <w:sz w:val="20"/>
                <w:szCs w:val="20"/>
                <w:lang w:eastAsia="lv-LV"/>
              </w:rPr>
            </w:pPr>
          </w:p>
          <w:p w14:paraId="4282678B" w14:textId="77777777" w:rsidR="00D20447" w:rsidRPr="004E1B1A" w:rsidRDefault="00D20447" w:rsidP="00D20447">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D20447" w:rsidRPr="0054431E" w:rsidRDefault="00D20447" w:rsidP="00E544CE">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13E13" w14:textId="77777777" w:rsidR="00C630B2" w:rsidRDefault="00C630B2" w:rsidP="003062B1">
      <w:pPr>
        <w:spacing w:line="240" w:lineRule="auto"/>
      </w:pPr>
      <w:r>
        <w:separator/>
      </w:r>
    </w:p>
  </w:endnote>
  <w:endnote w:type="continuationSeparator" w:id="0">
    <w:p w14:paraId="4336CC23" w14:textId="77777777" w:rsidR="00C630B2" w:rsidRDefault="00C630B2"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FEB22" w14:textId="77777777" w:rsidR="00C630B2" w:rsidRDefault="00C630B2" w:rsidP="003062B1">
      <w:pPr>
        <w:spacing w:line="240" w:lineRule="auto"/>
      </w:pPr>
      <w:r>
        <w:separator/>
      </w:r>
    </w:p>
  </w:footnote>
  <w:footnote w:type="continuationSeparator" w:id="0">
    <w:p w14:paraId="488C14FA" w14:textId="77777777" w:rsidR="00C630B2" w:rsidRDefault="00C630B2"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4"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5"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8"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7"/>
  </w:num>
  <w:num w:numId="2">
    <w:abstractNumId w:val="12"/>
  </w:num>
  <w:num w:numId="3">
    <w:abstractNumId w:val="1"/>
  </w:num>
  <w:num w:numId="4">
    <w:abstractNumId w:val="18"/>
  </w:num>
  <w:num w:numId="5">
    <w:abstractNumId w:val="11"/>
  </w:num>
  <w:num w:numId="6">
    <w:abstractNumId w:val="13"/>
  </w:num>
  <w:num w:numId="7">
    <w:abstractNumId w:val="9"/>
  </w:num>
  <w:num w:numId="8">
    <w:abstractNumId w:val="10"/>
  </w:num>
  <w:num w:numId="9">
    <w:abstractNumId w:val="16"/>
  </w:num>
  <w:num w:numId="10">
    <w:abstractNumId w:val="5"/>
  </w:num>
  <w:num w:numId="11">
    <w:abstractNumId w:val="6"/>
  </w:num>
  <w:num w:numId="12">
    <w:abstractNumId w:val="14"/>
  </w:num>
  <w:num w:numId="13">
    <w:abstractNumId w:val="4"/>
  </w:num>
  <w:num w:numId="14">
    <w:abstractNumId w:val="2"/>
  </w:num>
  <w:num w:numId="15">
    <w:abstractNumId w:val="0"/>
  </w:num>
  <w:num w:numId="16">
    <w:abstractNumId w:val="7"/>
  </w:num>
  <w:num w:numId="17">
    <w:abstractNumId w:val="15"/>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82AE6"/>
    <w:rsid w:val="000B5E15"/>
    <w:rsid w:val="0014217F"/>
    <w:rsid w:val="0016336C"/>
    <w:rsid w:val="00184AC8"/>
    <w:rsid w:val="00195017"/>
    <w:rsid w:val="001A42F1"/>
    <w:rsid w:val="001F1F1A"/>
    <w:rsid w:val="00280940"/>
    <w:rsid w:val="00291E29"/>
    <w:rsid w:val="002C6E0A"/>
    <w:rsid w:val="002D2DC4"/>
    <w:rsid w:val="003062B1"/>
    <w:rsid w:val="00312B50"/>
    <w:rsid w:val="00314A50"/>
    <w:rsid w:val="00315922"/>
    <w:rsid w:val="00320CBD"/>
    <w:rsid w:val="00336337"/>
    <w:rsid w:val="00346A86"/>
    <w:rsid w:val="00364CC0"/>
    <w:rsid w:val="003909F6"/>
    <w:rsid w:val="00413509"/>
    <w:rsid w:val="0045351F"/>
    <w:rsid w:val="00487024"/>
    <w:rsid w:val="00510B75"/>
    <w:rsid w:val="0054431E"/>
    <w:rsid w:val="005733C3"/>
    <w:rsid w:val="005F49ED"/>
    <w:rsid w:val="006225FC"/>
    <w:rsid w:val="006410AC"/>
    <w:rsid w:val="00681E02"/>
    <w:rsid w:val="0068486D"/>
    <w:rsid w:val="007268C0"/>
    <w:rsid w:val="00757655"/>
    <w:rsid w:val="007667FA"/>
    <w:rsid w:val="0078712E"/>
    <w:rsid w:val="0079786B"/>
    <w:rsid w:val="007B4E48"/>
    <w:rsid w:val="008153F2"/>
    <w:rsid w:val="0085407D"/>
    <w:rsid w:val="008B49E2"/>
    <w:rsid w:val="008B6EDE"/>
    <w:rsid w:val="008E06DF"/>
    <w:rsid w:val="008E41CD"/>
    <w:rsid w:val="008E4479"/>
    <w:rsid w:val="008F0C19"/>
    <w:rsid w:val="00940E2E"/>
    <w:rsid w:val="00962995"/>
    <w:rsid w:val="0097626D"/>
    <w:rsid w:val="009C25F7"/>
    <w:rsid w:val="009D40F4"/>
    <w:rsid w:val="009D6B0A"/>
    <w:rsid w:val="009E6CA7"/>
    <w:rsid w:val="00A17897"/>
    <w:rsid w:val="00A36C6E"/>
    <w:rsid w:val="00A650C5"/>
    <w:rsid w:val="00A706C1"/>
    <w:rsid w:val="00A73261"/>
    <w:rsid w:val="00AC65B8"/>
    <w:rsid w:val="00AD0A7F"/>
    <w:rsid w:val="00AE2937"/>
    <w:rsid w:val="00AF25BB"/>
    <w:rsid w:val="00AF754C"/>
    <w:rsid w:val="00B114EC"/>
    <w:rsid w:val="00B543E3"/>
    <w:rsid w:val="00B76BCF"/>
    <w:rsid w:val="00B82E35"/>
    <w:rsid w:val="00BD13D5"/>
    <w:rsid w:val="00C4295B"/>
    <w:rsid w:val="00C630B2"/>
    <w:rsid w:val="00C94501"/>
    <w:rsid w:val="00C956D8"/>
    <w:rsid w:val="00CB425E"/>
    <w:rsid w:val="00CD752F"/>
    <w:rsid w:val="00D20447"/>
    <w:rsid w:val="00D47D3E"/>
    <w:rsid w:val="00D54592"/>
    <w:rsid w:val="00D87F65"/>
    <w:rsid w:val="00D9107A"/>
    <w:rsid w:val="00D970FA"/>
    <w:rsid w:val="00DC48C1"/>
    <w:rsid w:val="00DD7817"/>
    <w:rsid w:val="00E16CB4"/>
    <w:rsid w:val="00E30D2C"/>
    <w:rsid w:val="00E367BC"/>
    <w:rsid w:val="00E437C2"/>
    <w:rsid w:val="00E544CE"/>
    <w:rsid w:val="00EC4ACF"/>
    <w:rsid w:val="00EC643B"/>
    <w:rsid w:val="00F13CEF"/>
    <w:rsid w:val="00F64FB5"/>
    <w:rsid w:val="00F66C96"/>
    <w:rsid w:val="00FE295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C956D8"/>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A706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7778">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7508</Words>
  <Characters>4281</Characters>
  <Application>Microsoft Office Word</Application>
  <DocSecurity>4</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Puriņa</cp:lastModifiedBy>
  <cp:revision>2</cp:revision>
  <dcterms:created xsi:type="dcterms:W3CDTF">2022-01-27T16:01:00Z</dcterms:created>
  <dcterms:modified xsi:type="dcterms:W3CDTF">2022-01-27T16:01:00Z</dcterms:modified>
</cp:coreProperties>
</file>