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B50D2"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544CA834" w14:textId="7E2C4DDF" w:rsidR="008B6EDE" w:rsidRDefault="00F66C96" w:rsidP="008B6EDE">
      <w:pPr>
        <w:spacing w:line="240" w:lineRule="auto"/>
        <w:jc w:val="center"/>
        <w:rPr>
          <w:rFonts w:eastAsia="Times New Roman"/>
          <w:b/>
          <w:sz w:val="20"/>
          <w:szCs w:val="20"/>
        </w:rPr>
      </w:pPr>
      <w:r>
        <w:rPr>
          <w:rFonts w:eastAsia="Times New Roman"/>
          <w:b/>
          <w:sz w:val="20"/>
          <w:szCs w:val="20"/>
        </w:rPr>
        <w:t>2.3.1</w:t>
      </w:r>
      <w:r w:rsidR="008B6EDE">
        <w:rPr>
          <w:rFonts w:eastAsia="Times New Roman"/>
          <w:b/>
          <w:sz w:val="20"/>
          <w:szCs w:val="20"/>
        </w:rPr>
        <w:t>.</w:t>
      </w:r>
      <w:r w:rsidR="00AC23B2">
        <w:rPr>
          <w:rFonts w:eastAsia="Times New Roman"/>
          <w:b/>
          <w:sz w:val="20"/>
          <w:szCs w:val="20"/>
        </w:rPr>
        <w:t>SAM</w:t>
      </w:r>
      <w:r w:rsidR="008B6EDE">
        <w:rPr>
          <w:rFonts w:eastAsia="Times New Roman"/>
          <w:b/>
          <w:sz w:val="20"/>
          <w:szCs w:val="20"/>
        </w:rPr>
        <w:t xml:space="preserve"> “</w:t>
      </w:r>
      <w:r w:rsidRPr="00F66C96">
        <w:rPr>
          <w:rFonts w:eastAsia="Times New Roman"/>
          <w:b/>
          <w:sz w:val="20"/>
          <w:szCs w:val="20"/>
        </w:rPr>
        <w:t xml:space="preserve">Veicināt ilgtspējīgu </w:t>
      </w:r>
      <w:proofErr w:type="spellStart"/>
      <w:r w:rsidRPr="00F66C96">
        <w:rPr>
          <w:rFonts w:eastAsia="Times New Roman"/>
          <w:b/>
          <w:sz w:val="20"/>
          <w:szCs w:val="20"/>
        </w:rPr>
        <w:t>daudzveidu</w:t>
      </w:r>
      <w:proofErr w:type="spellEnd"/>
      <w:r w:rsidRPr="00F66C96">
        <w:rPr>
          <w:rFonts w:eastAsia="Times New Roman"/>
          <w:b/>
          <w:sz w:val="20"/>
          <w:szCs w:val="20"/>
        </w:rPr>
        <w:t xml:space="preserve"> mobilitāti pilsētās</w:t>
      </w:r>
      <w:r w:rsidR="008B6EDE">
        <w:rPr>
          <w:rFonts w:eastAsia="Times New Roman"/>
          <w:b/>
          <w:sz w:val="20"/>
          <w:szCs w:val="20"/>
        </w:rPr>
        <w:t>”</w:t>
      </w:r>
      <w:r w:rsidR="008B6EDE" w:rsidRPr="008B6EDE">
        <w:rPr>
          <w:rFonts w:eastAsia="Times New Roman"/>
          <w:b/>
          <w:sz w:val="20"/>
          <w:szCs w:val="20"/>
        </w:rPr>
        <w:t xml:space="preserve"> </w:t>
      </w:r>
    </w:p>
    <w:p w14:paraId="4ACAD2DF" w14:textId="45DB06EC" w:rsidR="003062B1" w:rsidRDefault="00F66C96" w:rsidP="008B6EDE">
      <w:pPr>
        <w:spacing w:line="240" w:lineRule="auto"/>
        <w:jc w:val="center"/>
        <w:rPr>
          <w:rFonts w:eastAsia="Times New Roman"/>
          <w:b/>
          <w:sz w:val="20"/>
          <w:szCs w:val="20"/>
        </w:rPr>
      </w:pPr>
      <w:r>
        <w:rPr>
          <w:rFonts w:eastAsia="Times New Roman"/>
          <w:b/>
          <w:sz w:val="20"/>
          <w:szCs w:val="20"/>
        </w:rPr>
        <w:t>2.3</w:t>
      </w:r>
      <w:r w:rsidR="0014217F">
        <w:rPr>
          <w:rFonts w:eastAsia="Times New Roman"/>
          <w:b/>
          <w:sz w:val="20"/>
          <w:szCs w:val="20"/>
        </w:rPr>
        <w:t>.1.</w:t>
      </w:r>
      <w:r w:rsidR="00061F03">
        <w:rPr>
          <w:rFonts w:eastAsia="Times New Roman"/>
          <w:b/>
          <w:sz w:val="20"/>
          <w:szCs w:val="20"/>
        </w:rPr>
        <w:t>3</w:t>
      </w:r>
      <w:r w:rsidR="008B6EDE">
        <w:rPr>
          <w:rFonts w:eastAsia="Times New Roman"/>
          <w:b/>
          <w:sz w:val="20"/>
          <w:szCs w:val="20"/>
        </w:rPr>
        <w:t>.</w:t>
      </w:r>
      <w:r w:rsidR="00AC23B2">
        <w:rPr>
          <w:rFonts w:eastAsia="Times New Roman"/>
          <w:b/>
          <w:sz w:val="20"/>
          <w:szCs w:val="20"/>
        </w:rPr>
        <w:t>pasākumam</w:t>
      </w:r>
      <w:r w:rsidR="008B6EDE">
        <w:rPr>
          <w:rFonts w:eastAsia="Times New Roman"/>
          <w:b/>
          <w:sz w:val="20"/>
          <w:szCs w:val="20"/>
        </w:rPr>
        <w:t xml:space="preserve"> </w:t>
      </w:r>
      <w:r w:rsidR="007B4E48">
        <w:rPr>
          <w:rFonts w:eastAsia="Times New Roman"/>
          <w:b/>
          <w:sz w:val="20"/>
          <w:szCs w:val="20"/>
        </w:rPr>
        <w:t>“</w:t>
      </w:r>
      <w:proofErr w:type="spellStart"/>
      <w:r w:rsidR="00061F03" w:rsidRPr="00061F03">
        <w:rPr>
          <w:rFonts w:eastAsia="Times New Roman"/>
          <w:b/>
          <w:sz w:val="20"/>
          <w:szCs w:val="20"/>
        </w:rPr>
        <w:t>Veloinfrastruktūras</w:t>
      </w:r>
      <w:proofErr w:type="spellEnd"/>
      <w:r w:rsidR="00061F03" w:rsidRPr="00061F03">
        <w:rPr>
          <w:rFonts w:eastAsia="Times New Roman"/>
          <w:b/>
          <w:sz w:val="20"/>
          <w:szCs w:val="20"/>
        </w:rPr>
        <w:t xml:space="preserve"> attīstība</w:t>
      </w:r>
      <w:r w:rsidR="007B4E48">
        <w:rPr>
          <w:rFonts w:eastAsia="Times New Roman"/>
          <w:b/>
          <w:sz w:val="20"/>
          <w:szCs w:val="20"/>
        </w:rPr>
        <w:t>”</w:t>
      </w:r>
    </w:p>
    <w:p w14:paraId="34FDBC14" w14:textId="7BA6AB72" w:rsidR="00346A86" w:rsidRDefault="00346A86" w:rsidP="008B6EDE">
      <w:pPr>
        <w:spacing w:line="240" w:lineRule="auto"/>
        <w:jc w:val="center"/>
        <w:rPr>
          <w:rFonts w:eastAsia="Times New Roman"/>
          <w:b/>
          <w:sz w:val="20"/>
          <w:szCs w:val="20"/>
        </w:rPr>
      </w:pPr>
      <w:r>
        <w:rPr>
          <w:b/>
          <w:bCs/>
          <w:sz w:val="20"/>
          <w:szCs w:val="20"/>
          <w:lang w:val="en-GB"/>
        </w:rPr>
        <w:t>(</w:t>
      </w:r>
      <w:r w:rsidRPr="00346A86">
        <w:rPr>
          <w:b/>
          <w:bCs/>
          <w:sz w:val="20"/>
          <w:szCs w:val="20"/>
          <w:lang w:val="en-GB"/>
        </w:rPr>
        <w:t xml:space="preserve">AF </w:t>
      </w:r>
      <w:proofErr w:type="spellStart"/>
      <w:r w:rsidRPr="00346A86">
        <w:rPr>
          <w:b/>
          <w:bCs/>
          <w:sz w:val="20"/>
          <w:szCs w:val="20"/>
          <w:lang w:val="en-GB"/>
        </w:rPr>
        <w:t>investīcija</w:t>
      </w:r>
      <w:proofErr w:type="spellEnd"/>
      <w:r w:rsidRPr="00346A86">
        <w:rPr>
          <w:b/>
          <w:bCs/>
          <w:sz w:val="20"/>
          <w:szCs w:val="20"/>
          <w:lang w:val="en-GB"/>
        </w:rPr>
        <w:t xml:space="preserve"> </w:t>
      </w:r>
      <w:r w:rsidR="00061F03" w:rsidRPr="00061F03">
        <w:rPr>
          <w:b/>
          <w:bCs/>
          <w:sz w:val="20"/>
          <w:szCs w:val="20"/>
          <w:lang w:val="en-GB"/>
        </w:rPr>
        <w:t xml:space="preserve">1.1.1.3.i. </w:t>
      </w:r>
      <w:proofErr w:type="spellStart"/>
      <w:r w:rsidR="00061F03" w:rsidRPr="00061F03">
        <w:rPr>
          <w:b/>
          <w:bCs/>
          <w:sz w:val="20"/>
          <w:szCs w:val="20"/>
          <w:lang w:val="en-GB"/>
        </w:rPr>
        <w:t>Pilnveidota</w:t>
      </w:r>
      <w:proofErr w:type="spellEnd"/>
      <w:r w:rsidR="00061F03" w:rsidRPr="00061F03">
        <w:rPr>
          <w:b/>
          <w:bCs/>
          <w:sz w:val="20"/>
          <w:szCs w:val="20"/>
          <w:lang w:val="en-GB"/>
        </w:rPr>
        <w:t xml:space="preserve"> </w:t>
      </w:r>
      <w:proofErr w:type="spellStart"/>
      <w:r w:rsidR="00061F03" w:rsidRPr="00061F03">
        <w:rPr>
          <w:b/>
          <w:bCs/>
          <w:sz w:val="20"/>
          <w:szCs w:val="20"/>
          <w:lang w:val="en-GB"/>
        </w:rPr>
        <w:t>veloceļu</w:t>
      </w:r>
      <w:proofErr w:type="spellEnd"/>
      <w:r w:rsidR="00061F03" w:rsidRPr="00061F03">
        <w:rPr>
          <w:b/>
          <w:bCs/>
          <w:sz w:val="20"/>
          <w:szCs w:val="20"/>
          <w:lang w:val="en-GB"/>
        </w:rPr>
        <w:t xml:space="preserve"> </w:t>
      </w:r>
      <w:proofErr w:type="spellStart"/>
      <w:r w:rsidR="00061F03" w:rsidRPr="00061F03">
        <w:rPr>
          <w:b/>
          <w:bCs/>
          <w:sz w:val="20"/>
          <w:szCs w:val="20"/>
          <w:lang w:val="en-GB"/>
        </w:rPr>
        <w:t>infrastruktūra</w:t>
      </w:r>
      <w:proofErr w:type="spellEnd"/>
      <w:r>
        <w:rPr>
          <w:b/>
          <w:bCs/>
          <w:sz w:val="20"/>
          <w:szCs w:val="20"/>
          <w:lang w:val="en-GB"/>
        </w:rPr>
        <w:t>)</w:t>
      </w:r>
      <w:r w:rsidR="00061F03">
        <w:rPr>
          <w:b/>
          <w:bCs/>
          <w:sz w:val="20"/>
          <w:szCs w:val="20"/>
          <w:lang w:val="en-GB"/>
        </w:rPr>
        <w:t xml:space="preserve"> </w:t>
      </w:r>
    </w:p>
    <w:p w14:paraId="0E65F8B7" w14:textId="10472378" w:rsidR="008B6EDE" w:rsidRDefault="008B6EDE" w:rsidP="008B6EDE">
      <w:pPr>
        <w:spacing w:line="240" w:lineRule="auto"/>
        <w:jc w:val="center"/>
        <w:rPr>
          <w:rFonts w:eastAsia="Times New Roman"/>
          <w:b/>
          <w:sz w:val="20"/>
          <w:szCs w:val="20"/>
        </w:rPr>
      </w:pPr>
    </w:p>
    <w:tbl>
      <w:tblPr>
        <w:tblW w:w="10773" w:type="dxa"/>
        <w:tblLayout w:type="fixed"/>
        <w:tblCellMar>
          <w:left w:w="10" w:type="dxa"/>
          <w:right w:w="10" w:type="dxa"/>
        </w:tblCellMar>
        <w:tblLook w:val="0000" w:firstRow="0" w:lastRow="0" w:firstColumn="0" w:lastColumn="0" w:noHBand="0" w:noVBand="0"/>
      </w:tblPr>
      <w:tblGrid>
        <w:gridCol w:w="3119"/>
        <w:gridCol w:w="709"/>
        <w:gridCol w:w="142"/>
        <w:gridCol w:w="425"/>
        <w:gridCol w:w="141"/>
        <w:gridCol w:w="6237"/>
      </w:tblGrid>
      <w:tr w:rsidR="00061F03" w:rsidRPr="00061F03" w14:paraId="1169BBDB" w14:textId="77777777" w:rsidTr="00061F03">
        <w:trPr>
          <w:trHeight w:val="425"/>
        </w:trPr>
        <w:tc>
          <w:tcPr>
            <w:tcW w:w="3119" w:type="dxa"/>
            <w:shd w:val="clear" w:color="auto" w:fill="auto"/>
            <w:noWrap/>
            <w:tcMar>
              <w:top w:w="15" w:type="dxa"/>
              <w:left w:w="108" w:type="dxa"/>
              <w:bottom w:w="15" w:type="dxa"/>
              <w:right w:w="108" w:type="dxa"/>
            </w:tcMar>
            <w:vAlign w:val="bottom"/>
          </w:tcPr>
          <w:p w14:paraId="1D7CD706" w14:textId="77777777" w:rsidR="00061F03" w:rsidRPr="00061F03" w:rsidRDefault="00061F03" w:rsidP="00061F03">
            <w:pPr>
              <w:spacing w:line="240" w:lineRule="auto"/>
              <w:rPr>
                <w:rFonts w:eastAsia="Times New Roman"/>
                <w:b/>
                <w:bCs/>
                <w:sz w:val="20"/>
                <w:szCs w:val="20"/>
                <w:lang w:eastAsia="lv-LV"/>
              </w:rPr>
            </w:pPr>
            <w:r w:rsidRPr="00061F03">
              <w:rPr>
                <w:rFonts w:eastAsia="Times New Roman"/>
                <w:b/>
                <w:bCs/>
                <w:sz w:val="20"/>
                <w:szCs w:val="20"/>
                <w:lang w:eastAsia="lv-LV"/>
              </w:rPr>
              <w:t>Novērtējuma 1. daļa</w:t>
            </w:r>
          </w:p>
        </w:tc>
        <w:tc>
          <w:tcPr>
            <w:tcW w:w="709" w:type="dxa"/>
            <w:shd w:val="clear" w:color="auto" w:fill="auto"/>
            <w:noWrap/>
            <w:tcMar>
              <w:top w:w="15" w:type="dxa"/>
              <w:left w:w="108" w:type="dxa"/>
              <w:bottom w:w="15" w:type="dxa"/>
              <w:right w:w="108" w:type="dxa"/>
            </w:tcMar>
            <w:vAlign w:val="bottom"/>
          </w:tcPr>
          <w:p w14:paraId="5951C5BD" w14:textId="77777777" w:rsidR="00061F03" w:rsidRPr="00061F03" w:rsidRDefault="00061F03" w:rsidP="00061F03">
            <w:pPr>
              <w:spacing w:line="240" w:lineRule="auto"/>
              <w:rPr>
                <w:rFonts w:eastAsia="Times New Roman"/>
                <w:b/>
                <w:bCs/>
                <w:sz w:val="20"/>
                <w:szCs w:val="20"/>
                <w:lang w:eastAsia="lv-LV"/>
              </w:rPr>
            </w:pPr>
          </w:p>
        </w:tc>
        <w:tc>
          <w:tcPr>
            <w:tcW w:w="6945" w:type="dxa"/>
            <w:gridSpan w:val="4"/>
            <w:shd w:val="clear" w:color="auto" w:fill="auto"/>
            <w:tcMar>
              <w:top w:w="15" w:type="dxa"/>
              <w:left w:w="108" w:type="dxa"/>
              <w:bottom w:w="15" w:type="dxa"/>
              <w:right w:w="108" w:type="dxa"/>
            </w:tcMar>
            <w:vAlign w:val="center"/>
          </w:tcPr>
          <w:p w14:paraId="311BC538" w14:textId="77777777" w:rsidR="00061F03" w:rsidRPr="00061F03" w:rsidRDefault="00061F03" w:rsidP="00061F03">
            <w:pPr>
              <w:spacing w:line="240" w:lineRule="auto"/>
              <w:rPr>
                <w:rFonts w:eastAsia="Times New Roman"/>
                <w:i/>
                <w:iCs/>
                <w:sz w:val="20"/>
                <w:szCs w:val="20"/>
                <w:lang w:eastAsia="lv-LV"/>
              </w:rPr>
            </w:pPr>
          </w:p>
        </w:tc>
      </w:tr>
      <w:tr w:rsidR="00061F03" w:rsidRPr="00061F03" w14:paraId="7A5F9978" w14:textId="77777777" w:rsidTr="00061F03">
        <w:trPr>
          <w:trHeight w:val="90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Mar>
              <w:top w:w="15" w:type="dxa"/>
              <w:left w:w="108" w:type="dxa"/>
              <w:bottom w:w="15" w:type="dxa"/>
              <w:right w:w="108" w:type="dxa"/>
            </w:tcMar>
            <w:vAlign w:val="center"/>
          </w:tcPr>
          <w:p w14:paraId="2058711D" w14:textId="77777777" w:rsidR="00061F03" w:rsidRPr="00061F03" w:rsidRDefault="00061F03" w:rsidP="00061F03">
            <w:pPr>
              <w:spacing w:line="240" w:lineRule="auto"/>
              <w:rPr>
                <w:rFonts w:eastAsia="Times New Roman"/>
                <w:i/>
                <w:iCs/>
                <w:sz w:val="20"/>
                <w:szCs w:val="20"/>
                <w:lang w:eastAsia="lv-LV"/>
              </w:rPr>
            </w:pPr>
            <w:r w:rsidRPr="00061F03">
              <w:rPr>
                <w:rFonts w:eastAsia="Times New Roman"/>
                <w:i/>
                <w:iCs/>
                <w:sz w:val="20"/>
                <w:szCs w:val="20"/>
                <w:lang w:eastAsia="lv-LV"/>
              </w:rPr>
              <w:t>Norādiet, kuri no turpmāk minētajiem vides mērķiem prasa padziļinātu pasākuma novērtējumu no NBK 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7BF833FB" w14:textId="77777777" w:rsidR="00061F03" w:rsidRPr="00061F03" w:rsidRDefault="00061F03" w:rsidP="00061F03">
            <w:pPr>
              <w:spacing w:line="240" w:lineRule="auto"/>
              <w:jc w:val="center"/>
              <w:rPr>
                <w:rFonts w:eastAsia="Times New Roman"/>
                <w:b/>
                <w:bCs/>
                <w:sz w:val="20"/>
                <w:szCs w:val="20"/>
                <w:lang w:eastAsia="lv-LV"/>
              </w:rPr>
            </w:pPr>
            <w:r w:rsidRPr="00061F03">
              <w:rPr>
                <w:rFonts w:eastAsia="Times New Roman"/>
                <w:b/>
                <w:bCs/>
                <w:sz w:val="20"/>
                <w:szCs w:val="20"/>
                <w:lang w:eastAsia="lv-LV"/>
              </w:rPr>
              <w:t>JĀ</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7BEF2B33" w14:textId="77777777" w:rsidR="00061F03" w:rsidRPr="00061F03" w:rsidRDefault="00061F03" w:rsidP="00061F03">
            <w:pPr>
              <w:spacing w:line="240" w:lineRule="auto"/>
              <w:jc w:val="center"/>
              <w:rPr>
                <w:rFonts w:eastAsia="Times New Roman"/>
                <w:b/>
                <w:bCs/>
                <w:sz w:val="20"/>
                <w:szCs w:val="20"/>
                <w:lang w:eastAsia="lv-LV"/>
              </w:rPr>
            </w:pPr>
            <w:r w:rsidRPr="00061F03">
              <w:rPr>
                <w:rFonts w:eastAsia="Times New Roman"/>
                <w:b/>
                <w:bCs/>
                <w:sz w:val="20"/>
                <w:szCs w:val="20"/>
                <w:lang w:eastAsia="lv-LV"/>
              </w:rPr>
              <w:t>NĒ</w:t>
            </w:r>
          </w:p>
        </w:tc>
        <w:tc>
          <w:tcPr>
            <w:tcW w:w="63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21595005" w14:textId="77777777" w:rsidR="00061F03" w:rsidRPr="00061F03" w:rsidRDefault="00061F03" w:rsidP="00061F03">
            <w:pPr>
              <w:spacing w:line="240" w:lineRule="auto"/>
              <w:jc w:val="center"/>
              <w:rPr>
                <w:rFonts w:eastAsia="Times New Roman"/>
                <w:b/>
                <w:bCs/>
                <w:sz w:val="20"/>
                <w:szCs w:val="20"/>
                <w:lang w:eastAsia="lv-LV"/>
              </w:rPr>
            </w:pPr>
            <w:r w:rsidRPr="00061F03">
              <w:rPr>
                <w:rFonts w:eastAsia="Times New Roman"/>
                <w:b/>
                <w:bCs/>
                <w:sz w:val="20"/>
                <w:szCs w:val="20"/>
                <w:lang w:eastAsia="lv-LV"/>
              </w:rPr>
              <w:t>Pamatojums, ja novērtējums ir "NĒ"</w:t>
            </w:r>
          </w:p>
        </w:tc>
      </w:tr>
      <w:tr w:rsidR="00061F03" w:rsidRPr="00061F03" w14:paraId="57CB09FB" w14:textId="77777777" w:rsidTr="00061F03">
        <w:trPr>
          <w:trHeight w:val="30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408F7FA3" w14:textId="77777777" w:rsidR="00061F03" w:rsidRPr="00061F03" w:rsidRDefault="00061F03" w:rsidP="00061F03">
            <w:pPr>
              <w:spacing w:line="240" w:lineRule="auto"/>
              <w:ind w:left="330" w:hanging="330"/>
              <w:rPr>
                <w:rFonts w:eastAsia="Times New Roman"/>
                <w:b/>
                <w:bCs/>
                <w:sz w:val="20"/>
                <w:szCs w:val="20"/>
                <w:lang w:eastAsia="lv-LV"/>
              </w:rPr>
            </w:pPr>
            <w:r w:rsidRPr="00061F03">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5C20718C" w14:textId="77777777" w:rsidR="00061F03" w:rsidRPr="00061F03" w:rsidRDefault="00061F03" w:rsidP="00061F03">
            <w:pPr>
              <w:spacing w:line="240" w:lineRule="auto"/>
              <w:jc w:val="center"/>
              <w:rPr>
                <w:rFonts w:eastAsia="Times New Roman"/>
                <w:b/>
                <w:bCs/>
                <w:sz w:val="20"/>
                <w:szCs w:val="20"/>
                <w:lang w:eastAsia="lv-LV"/>
              </w:rPr>
            </w:pP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63B0DFD3" w14:textId="77777777" w:rsidR="00061F03" w:rsidRPr="00061F03" w:rsidRDefault="00061F03" w:rsidP="00061F03">
            <w:pPr>
              <w:spacing w:line="240" w:lineRule="auto"/>
              <w:jc w:val="center"/>
              <w:rPr>
                <w:rFonts w:eastAsia="Times New Roman"/>
                <w:b/>
                <w:bCs/>
                <w:sz w:val="20"/>
                <w:szCs w:val="20"/>
                <w:lang w:eastAsia="lv-LV"/>
              </w:rPr>
            </w:pPr>
            <w:r w:rsidRPr="00061F03">
              <w:rPr>
                <w:rFonts w:eastAsia="Times New Roman"/>
                <w:b/>
                <w:bCs/>
                <w:sz w:val="20"/>
                <w:szCs w:val="20"/>
                <w:lang w:eastAsia="lv-LV"/>
              </w:rPr>
              <w:t>X</w:t>
            </w:r>
          </w:p>
        </w:tc>
        <w:tc>
          <w:tcPr>
            <w:tcW w:w="63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138784EF" w14:textId="77777777" w:rsidR="00061F03" w:rsidRPr="00061F03" w:rsidRDefault="00061F03" w:rsidP="00061F03">
            <w:pPr>
              <w:spacing w:line="259" w:lineRule="auto"/>
              <w:jc w:val="both"/>
              <w:rPr>
                <w:sz w:val="20"/>
                <w:szCs w:val="20"/>
              </w:rPr>
            </w:pPr>
            <w:r w:rsidRPr="00061F03">
              <w:rPr>
                <w:b/>
                <w:bCs/>
                <w:sz w:val="20"/>
                <w:szCs w:val="20"/>
              </w:rPr>
              <w:t>Ietekme uz SEG emisijām</w:t>
            </w:r>
            <w:r w:rsidRPr="00061F03">
              <w:rPr>
                <w:sz w:val="20"/>
                <w:szCs w:val="20"/>
              </w:rPr>
              <w:t xml:space="preserve"> </w:t>
            </w:r>
          </w:p>
          <w:p w14:paraId="51039226" w14:textId="767340DA" w:rsidR="00061F03" w:rsidRPr="00061F03" w:rsidRDefault="00061F03" w:rsidP="00061F03">
            <w:pPr>
              <w:numPr>
                <w:ilvl w:val="0"/>
                <w:numId w:val="1"/>
              </w:numPr>
              <w:suppressAutoHyphens/>
              <w:autoSpaceDN w:val="0"/>
              <w:spacing w:after="160" w:line="247" w:lineRule="auto"/>
              <w:jc w:val="both"/>
              <w:textAlignment w:val="baseline"/>
              <w:rPr>
                <w:rFonts w:eastAsiaTheme="minorEastAsia"/>
                <w:sz w:val="20"/>
                <w:szCs w:val="20"/>
              </w:rPr>
            </w:pPr>
            <w:r w:rsidRPr="00061F03">
              <w:rPr>
                <w:sz w:val="20"/>
                <w:szCs w:val="20"/>
              </w:rPr>
              <w:t>Pasākums 100% atbalsta klimata pārmaiņu mērķi (0</w:t>
            </w:r>
            <w:r w:rsidR="00556023">
              <w:rPr>
                <w:sz w:val="20"/>
                <w:szCs w:val="20"/>
              </w:rPr>
              <w:t>83</w:t>
            </w:r>
            <w:r w:rsidRPr="00061F03">
              <w:rPr>
                <w:sz w:val="20"/>
                <w:szCs w:val="20"/>
              </w:rPr>
              <w:t xml:space="preserve"> - riteņbraukšanas infrastruktūra</w:t>
            </w:r>
            <w:r w:rsidRPr="00061F03">
              <w:rPr>
                <w:rFonts w:eastAsiaTheme="minorEastAsia"/>
                <w:sz w:val="20"/>
                <w:szCs w:val="20"/>
              </w:rPr>
              <w:t>)</w:t>
            </w:r>
            <w:r w:rsidRPr="00061F03">
              <w:rPr>
                <w:sz w:val="20"/>
                <w:szCs w:val="20"/>
              </w:rPr>
              <w:t xml:space="preserve"> un tādējādi tiek uzskatīts par atbilstīgu NBK attiecībā uz attiecīgo mērķi.</w:t>
            </w:r>
          </w:p>
          <w:p w14:paraId="110AA708" w14:textId="2AE13344" w:rsidR="00061F03" w:rsidRPr="00556023" w:rsidRDefault="00061F03" w:rsidP="00061F03">
            <w:pPr>
              <w:numPr>
                <w:ilvl w:val="0"/>
                <w:numId w:val="1"/>
              </w:numPr>
              <w:suppressAutoHyphens/>
              <w:autoSpaceDN w:val="0"/>
              <w:spacing w:after="160" w:line="247" w:lineRule="auto"/>
              <w:jc w:val="both"/>
              <w:textAlignment w:val="baseline"/>
              <w:rPr>
                <w:b/>
                <w:bCs/>
                <w:sz w:val="20"/>
                <w:szCs w:val="20"/>
              </w:rPr>
            </w:pPr>
            <w:r w:rsidRPr="00061F03">
              <w:rPr>
                <w:sz w:val="20"/>
                <w:szCs w:val="20"/>
              </w:rPr>
              <w:t xml:space="preserve">Pasākuma ietvaros ir paredzēta </w:t>
            </w:r>
            <w:proofErr w:type="spellStart"/>
            <w:r w:rsidRPr="00061F03">
              <w:rPr>
                <w:sz w:val="20"/>
                <w:szCs w:val="20"/>
              </w:rPr>
              <w:t>veloinfrastruktūras</w:t>
            </w:r>
            <w:proofErr w:type="spellEnd"/>
            <w:r w:rsidRPr="00061F03">
              <w:rPr>
                <w:sz w:val="20"/>
                <w:szCs w:val="20"/>
              </w:rPr>
              <w:t xml:space="preserve"> izveide, veicinot nemotorizēto mobilitāti. Būtiski uzsvērt infrastruktūras savienojamību, t.i., </w:t>
            </w:r>
            <w:proofErr w:type="spellStart"/>
            <w:r w:rsidRPr="00061F03">
              <w:rPr>
                <w:sz w:val="20"/>
                <w:szCs w:val="20"/>
              </w:rPr>
              <w:t>veloceļi</w:t>
            </w:r>
            <w:proofErr w:type="spellEnd"/>
            <w:r w:rsidRPr="00061F03">
              <w:rPr>
                <w:sz w:val="20"/>
                <w:szCs w:val="20"/>
              </w:rPr>
              <w:t xml:space="preserve">  </w:t>
            </w:r>
            <w:r w:rsidR="00846660">
              <w:rPr>
                <w:sz w:val="20"/>
                <w:szCs w:val="20"/>
              </w:rPr>
              <w:t xml:space="preserve">savienos apdzīvotas teritorijas un / vai </w:t>
            </w:r>
            <w:r w:rsidR="00846660" w:rsidRPr="00556023">
              <w:rPr>
                <w:sz w:val="20"/>
                <w:szCs w:val="20"/>
              </w:rPr>
              <w:t xml:space="preserve">piekļuvi </w:t>
            </w:r>
            <w:r w:rsidRPr="00556023">
              <w:rPr>
                <w:sz w:val="20"/>
                <w:szCs w:val="20"/>
              </w:rPr>
              <w:t xml:space="preserve"> </w:t>
            </w:r>
            <w:r w:rsidR="00846660" w:rsidRPr="00CB67CC">
              <w:rPr>
                <w:sz w:val="20"/>
                <w:szCs w:val="20"/>
              </w:rPr>
              <w:t xml:space="preserve">sabiedriskajam transportam un / vai </w:t>
            </w:r>
            <w:r w:rsidRPr="00556023">
              <w:rPr>
                <w:sz w:val="20"/>
                <w:szCs w:val="20"/>
              </w:rPr>
              <w:t>mobilitātes punktiem</w:t>
            </w:r>
            <w:r w:rsidR="00846660" w:rsidRPr="00CB67CC">
              <w:rPr>
                <w:sz w:val="20"/>
                <w:szCs w:val="20"/>
              </w:rPr>
              <w:t>,</w:t>
            </w:r>
            <w:r w:rsidRPr="00556023">
              <w:rPr>
                <w:sz w:val="20"/>
                <w:szCs w:val="20"/>
              </w:rPr>
              <w:t xml:space="preserve"> papildin</w:t>
            </w:r>
            <w:r w:rsidR="00846660" w:rsidRPr="00CB67CC">
              <w:rPr>
                <w:sz w:val="20"/>
                <w:szCs w:val="20"/>
              </w:rPr>
              <w:t>ot</w:t>
            </w:r>
            <w:r w:rsidRPr="00556023">
              <w:rPr>
                <w:sz w:val="20"/>
                <w:szCs w:val="20"/>
              </w:rPr>
              <w:t xml:space="preserve"> multimodālo savienojumu sniegtās iespējas. </w:t>
            </w:r>
          </w:p>
          <w:p w14:paraId="60B68E9C" w14:textId="56EA84E2" w:rsidR="00061F03" w:rsidRPr="00061F03" w:rsidRDefault="00061F03" w:rsidP="00061F03">
            <w:pPr>
              <w:numPr>
                <w:ilvl w:val="0"/>
                <w:numId w:val="1"/>
              </w:numPr>
              <w:suppressAutoHyphens/>
              <w:autoSpaceDN w:val="0"/>
              <w:spacing w:after="160" w:line="247" w:lineRule="auto"/>
              <w:jc w:val="both"/>
              <w:textAlignment w:val="baseline"/>
              <w:rPr>
                <w:b/>
                <w:bCs/>
                <w:sz w:val="20"/>
                <w:szCs w:val="20"/>
              </w:rPr>
            </w:pPr>
            <w:r w:rsidRPr="00061F03">
              <w:rPr>
                <w:sz w:val="20"/>
                <w:szCs w:val="20"/>
              </w:rPr>
              <w:t xml:space="preserve">Ikdienas braucēji (ar velosipēdu brauc katru vai gandrīz katru dienu) ir 6,4%, turpretī vismaz vienu reizi nedēļā brauc 19,8% Latvijas iedzīvotāji. Esošā </w:t>
            </w:r>
            <w:proofErr w:type="spellStart"/>
            <w:r w:rsidRPr="00061F03">
              <w:rPr>
                <w:sz w:val="20"/>
                <w:szCs w:val="20"/>
              </w:rPr>
              <w:t>velosatiksmes</w:t>
            </w:r>
            <w:proofErr w:type="spellEnd"/>
            <w:r w:rsidRPr="00061F03">
              <w:rPr>
                <w:sz w:val="20"/>
                <w:szCs w:val="20"/>
              </w:rPr>
              <w:t xml:space="preserve"> infrastruktūra tiek attīstīta </w:t>
            </w:r>
            <w:r w:rsidRPr="00556023">
              <w:rPr>
                <w:sz w:val="20"/>
                <w:szCs w:val="20"/>
              </w:rPr>
              <w:t>fragmentāri,</w:t>
            </w:r>
            <w:r w:rsidRPr="00061F03">
              <w:rPr>
                <w:sz w:val="20"/>
                <w:szCs w:val="20"/>
              </w:rPr>
              <w:t xml:space="preserve"> kā arī nav nodalīta, līdz ar to ne vienmēr nodrošinot velosipēdistiem ērtu un ātru pārvietošanos, kas ir galvenais </w:t>
            </w:r>
            <w:proofErr w:type="spellStart"/>
            <w:r w:rsidRPr="00061F03">
              <w:rPr>
                <w:sz w:val="20"/>
                <w:szCs w:val="20"/>
              </w:rPr>
              <w:t>motivators</w:t>
            </w:r>
            <w:proofErr w:type="spellEnd"/>
            <w:r w:rsidRPr="00061F03">
              <w:rPr>
                <w:sz w:val="20"/>
                <w:szCs w:val="20"/>
              </w:rPr>
              <w:t xml:space="preserve">, izvēloties transporta veidu. Minētie aspekti neveicina </w:t>
            </w:r>
            <w:proofErr w:type="spellStart"/>
            <w:r w:rsidRPr="00061F03">
              <w:rPr>
                <w:sz w:val="20"/>
                <w:szCs w:val="20"/>
              </w:rPr>
              <w:t>velosatiksmes</w:t>
            </w:r>
            <w:proofErr w:type="spellEnd"/>
            <w:r w:rsidRPr="00061F03">
              <w:rPr>
                <w:sz w:val="20"/>
                <w:szCs w:val="20"/>
              </w:rPr>
              <w:t xml:space="preserve"> attīstību, velosipēdistu pieaugumu un integrāciju kopējā transporta sistēmā.</w:t>
            </w:r>
          </w:p>
          <w:p w14:paraId="5689D30F" w14:textId="77777777" w:rsidR="00061F03" w:rsidRPr="00061F03" w:rsidRDefault="00061F03" w:rsidP="00061F03">
            <w:pPr>
              <w:numPr>
                <w:ilvl w:val="0"/>
                <w:numId w:val="1"/>
              </w:numPr>
              <w:suppressAutoHyphens/>
              <w:autoSpaceDN w:val="0"/>
              <w:spacing w:after="160" w:line="247" w:lineRule="auto"/>
              <w:jc w:val="both"/>
              <w:textAlignment w:val="baseline"/>
              <w:rPr>
                <w:b/>
                <w:bCs/>
                <w:sz w:val="20"/>
                <w:szCs w:val="20"/>
              </w:rPr>
            </w:pPr>
            <w:proofErr w:type="spellStart"/>
            <w:r w:rsidRPr="00061F03">
              <w:rPr>
                <w:rFonts w:eastAsia="Times New Roman"/>
                <w:sz w:val="20"/>
                <w:szCs w:val="20"/>
                <w:lang w:eastAsia="lv-LV"/>
              </w:rPr>
              <w:t>Veloinfrastruktūras</w:t>
            </w:r>
            <w:proofErr w:type="spellEnd"/>
            <w:r w:rsidRPr="00061F03">
              <w:rPr>
                <w:rFonts w:eastAsia="Times New Roman"/>
                <w:sz w:val="20"/>
                <w:szCs w:val="20"/>
                <w:lang w:eastAsia="lv-LV"/>
              </w:rPr>
              <w:t xml:space="preserve"> izveidošanas rezultātā ir sagaidāms, ka palielināsies  velobraucēju skaits. Pētījumi atklāj, ka jaunas </w:t>
            </w:r>
            <w:proofErr w:type="spellStart"/>
            <w:r w:rsidRPr="00061F03">
              <w:rPr>
                <w:rFonts w:eastAsia="Times New Roman"/>
                <w:sz w:val="20"/>
                <w:szCs w:val="20"/>
                <w:lang w:eastAsia="lv-LV"/>
              </w:rPr>
              <w:t>veloinfrastruktūras</w:t>
            </w:r>
            <w:proofErr w:type="spellEnd"/>
            <w:r w:rsidRPr="00061F03">
              <w:rPr>
                <w:rFonts w:eastAsia="Times New Roman"/>
                <w:sz w:val="20"/>
                <w:szCs w:val="20"/>
                <w:lang w:eastAsia="lv-LV"/>
              </w:rPr>
              <w:t xml:space="preserve"> izveidošana stimulē velosipēda izmantošanu ikdienā, kas ļauj prognozēt velobraucēju skaita pieaugumu. Regulāro velobraucēju skaita pieaugums</w:t>
            </w:r>
            <w:r w:rsidRPr="00061F03">
              <w:rPr>
                <w:sz w:val="20"/>
                <w:szCs w:val="20"/>
              </w:rPr>
              <w:t>, t.i., kuri brauc katru vai gandrīz katru dienu, veicina arī SEG emisiju samazinājumu, vienlaikus tam ir būtiska loma sabiedrības sociālajā dzīvē (piem., nodrošināta mobilitāte mājsaimniecībām ar zemākiem ienākumiem, uzlabota sabiedrības veselība un ietaupīti veselības aprūpē nodalīto budžetu resursi, paaugstināta dzīves kvalitāte, u.c.).</w:t>
            </w:r>
          </w:p>
          <w:p w14:paraId="2FA7AB65" w14:textId="77777777" w:rsidR="00061F03" w:rsidRPr="00061F03" w:rsidRDefault="00061F03" w:rsidP="00061F03">
            <w:pPr>
              <w:suppressAutoHyphens/>
              <w:autoSpaceDN w:val="0"/>
              <w:spacing w:after="160" w:line="247" w:lineRule="auto"/>
              <w:jc w:val="both"/>
              <w:textAlignment w:val="baseline"/>
              <w:rPr>
                <w:b/>
                <w:bCs/>
                <w:sz w:val="20"/>
                <w:szCs w:val="20"/>
              </w:rPr>
            </w:pPr>
          </w:p>
          <w:p w14:paraId="4E67117D" w14:textId="77777777" w:rsidR="00061F03" w:rsidRPr="00061F03" w:rsidRDefault="00061F03" w:rsidP="00061F03">
            <w:pPr>
              <w:suppressAutoHyphens/>
              <w:autoSpaceDN w:val="0"/>
              <w:spacing w:after="160" w:line="247" w:lineRule="auto"/>
              <w:jc w:val="both"/>
              <w:textAlignment w:val="baseline"/>
              <w:rPr>
                <w:b/>
                <w:bCs/>
                <w:sz w:val="20"/>
                <w:szCs w:val="20"/>
              </w:rPr>
            </w:pPr>
            <w:r w:rsidRPr="00061F03">
              <w:rPr>
                <w:b/>
                <w:bCs/>
                <w:sz w:val="20"/>
                <w:szCs w:val="20"/>
              </w:rPr>
              <w:t>Sasaiste ar mobilitātes un ilgtspējīga transporta attīstības mērķiem</w:t>
            </w:r>
          </w:p>
          <w:p w14:paraId="6316D368" w14:textId="5B3CC38C" w:rsidR="00061F03" w:rsidRPr="00061F03" w:rsidRDefault="00061F03" w:rsidP="00061F03">
            <w:pPr>
              <w:numPr>
                <w:ilvl w:val="0"/>
                <w:numId w:val="3"/>
              </w:numPr>
              <w:suppressAutoHyphens/>
              <w:autoSpaceDN w:val="0"/>
              <w:spacing w:after="160" w:line="247" w:lineRule="auto"/>
              <w:jc w:val="both"/>
              <w:textAlignment w:val="baseline"/>
              <w:rPr>
                <w:sz w:val="20"/>
                <w:szCs w:val="20"/>
              </w:rPr>
            </w:pPr>
            <w:proofErr w:type="spellStart"/>
            <w:r w:rsidRPr="00061F03">
              <w:rPr>
                <w:b/>
                <w:sz w:val="20"/>
                <w:szCs w:val="20"/>
                <w:lang w:eastAsia="lv-LV"/>
              </w:rPr>
              <w:t>Velosatiksmes</w:t>
            </w:r>
            <w:proofErr w:type="spellEnd"/>
            <w:r w:rsidRPr="00061F03">
              <w:rPr>
                <w:b/>
                <w:sz w:val="20"/>
                <w:szCs w:val="20"/>
                <w:lang w:eastAsia="lv-LV"/>
              </w:rPr>
              <w:t xml:space="preserve"> kontekstā </w:t>
            </w:r>
            <w:r w:rsidRPr="00061F03">
              <w:rPr>
                <w:sz w:val="20"/>
                <w:szCs w:val="20"/>
              </w:rPr>
              <w:t xml:space="preserve">Transporta attīstības pamatnostādnēs 2021.–2027. gadam ir uzsvērta nepieciešamība nodrošināt velosipēdu satiksmes infrastruktūru kā nepārtrauktu un ar esošo transporta infrastruktūru salāgotu transporta sistēmas daļu (prioritāri teritorijās ar lielāku iedzīvotāju blīvumu), iesaistot visas iesaistītās puses. Pamatnostādnes norāda, ka ir jāveicina iedzīvotāju </w:t>
            </w:r>
            <w:proofErr w:type="spellStart"/>
            <w:r w:rsidRPr="00061F03">
              <w:rPr>
                <w:sz w:val="20"/>
                <w:szCs w:val="20"/>
              </w:rPr>
              <w:t>mikromobilitātes</w:t>
            </w:r>
            <w:proofErr w:type="spellEnd"/>
            <w:r w:rsidRPr="00061F03">
              <w:rPr>
                <w:sz w:val="20"/>
                <w:szCs w:val="20"/>
              </w:rPr>
              <w:t xml:space="preserve"> (velosipēdi, skrejriteņi, līdzsvara un balansa riteņi u.c. rīki, pārvietošanās kājām) īpatsvara pieaugums kopējā mobilitātē. Nomainot ikdienā pārvietošanās paradumus no automašīnām (arī no sabiedriskā transporta) uz velosipēdu, tiek veicināts CO2 emisijas samazinājums un ES SEG samazināšanas mērķa sasniegšana.</w:t>
            </w:r>
          </w:p>
          <w:p w14:paraId="7DB9254E" w14:textId="4526C88C" w:rsidR="00061F03" w:rsidRPr="00061F03" w:rsidRDefault="00061F03" w:rsidP="00061F03">
            <w:pPr>
              <w:numPr>
                <w:ilvl w:val="0"/>
                <w:numId w:val="3"/>
              </w:numPr>
              <w:suppressAutoHyphens/>
              <w:autoSpaceDN w:val="0"/>
              <w:spacing w:after="160" w:line="247" w:lineRule="auto"/>
              <w:ind w:left="737"/>
              <w:jc w:val="both"/>
              <w:textAlignment w:val="baseline"/>
              <w:rPr>
                <w:sz w:val="20"/>
                <w:szCs w:val="20"/>
              </w:rPr>
            </w:pPr>
            <w:r w:rsidRPr="00061F03">
              <w:rPr>
                <w:sz w:val="20"/>
                <w:szCs w:val="20"/>
              </w:rPr>
              <w:t>Paredzētie pasākumi tiešā veidā atbilst Transporta attīstības pamatnostādņu 2021.–2027. gadam uzstādījumiem un īstenošanas plānā definētajiem pasākumiem:</w:t>
            </w:r>
          </w:p>
          <w:p w14:paraId="42D90A16" w14:textId="77777777" w:rsidR="00061F03" w:rsidRPr="00061F03" w:rsidRDefault="00061F03" w:rsidP="00061F03">
            <w:pPr>
              <w:numPr>
                <w:ilvl w:val="0"/>
                <w:numId w:val="4"/>
              </w:numPr>
              <w:suppressAutoHyphens/>
              <w:autoSpaceDN w:val="0"/>
              <w:spacing w:after="160" w:line="247" w:lineRule="auto"/>
              <w:contextualSpacing/>
              <w:jc w:val="both"/>
              <w:textAlignment w:val="baseline"/>
              <w:rPr>
                <w:b/>
                <w:sz w:val="20"/>
                <w:szCs w:val="20"/>
                <w:lang w:eastAsia="lv-LV"/>
              </w:rPr>
            </w:pPr>
            <w:r w:rsidRPr="00061F03">
              <w:rPr>
                <w:sz w:val="20"/>
                <w:szCs w:val="20"/>
              </w:rPr>
              <w:t>‘</w:t>
            </w:r>
            <w:r w:rsidRPr="00061F03">
              <w:rPr>
                <w:b/>
                <w:bCs/>
                <w:sz w:val="20"/>
                <w:szCs w:val="20"/>
              </w:rPr>
              <w:t>Īstenot infrastruktūras projektus</w:t>
            </w:r>
            <w:r w:rsidRPr="00061F03">
              <w:rPr>
                <w:sz w:val="20"/>
                <w:szCs w:val="20"/>
              </w:rPr>
              <w:t xml:space="preserve"> </w:t>
            </w:r>
            <w:r w:rsidRPr="00061F03">
              <w:rPr>
                <w:b/>
                <w:bCs/>
                <w:sz w:val="20"/>
                <w:szCs w:val="20"/>
              </w:rPr>
              <w:t>velosipēdistu</w:t>
            </w:r>
            <w:r w:rsidRPr="00061F03">
              <w:rPr>
                <w:sz w:val="20"/>
                <w:szCs w:val="20"/>
              </w:rPr>
              <w:t xml:space="preserve"> un gājēju ceļu, satiksmes mierināšanas pasākumu un sabiedriskā transporta</w:t>
            </w:r>
            <w:r w:rsidRPr="00061F03">
              <w:rPr>
                <w:b/>
                <w:bCs/>
                <w:sz w:val="20"/>
                <w:szCs w:val="20"/>
              </w:rPr>
              <w:t xml:space="preserve"> infrastruktūras attīstībai</w:t>
            </w:r>
            <w:r w:rsidRPr="00061F03">
              <w:rPr>
                <w:sz w:val="20"/>
                <w:szCs w:val="20"/>
              </w:rPr>
              <w:t xml:space="preserve">’ (4.2.1.), kas atbilst </w:t>
            </w:r>
            <w:r w:rsidRPr="00061F03">
              <w:rPr>
                <w:sz w:val="20"/>
                <w:szCs w:val="20"/>
              </w:rPr>
              <w:lastRenderedPageBreak/>
              <w:t>pamatnostādņu uzdevumam ‘Pilnveidot transporta sistēmu, īstenojot pasākumus klimata pārmaiņu mazināšanai’ (4.2.)</w:t>
            </w:r>
          </w:p>
          <w:p w14:paraId="1B64C570" w14:textId="7BE871E8" w:rsidR="00061F03" w:rsidRPr="00061F03" w:rsidRDefault="00061F03" w:rsidP="00061F03">
            <w:pPr>
              <w:numPr>
                <w:ilvl w:val="0"/>
                <w:numId w:val="4"/>
              </w:numPr>
              <w:suppressAutoHyphens/>
              <w:autoSpaceDN w:val="0"/>
              <w:spacing w:after="160" w:line="247" w:lineRule="auto"/>
              <w:contextualSpacing/>
              <w:jc w:val="both"/>
              <w:textAlignment w:val="baseline"/>
              <w:rPr>
                <w:bCs/>
                <w:sz w:val="20"/>
                <w:szCs w:val="20"/>
                <w:lang w:eastAsia="lv-LV"/>
              </w:rPr>
            </w:pPr>
            <w:r w:rsidRPr="00061F03">
              <w:rPr>
                <w:bCs/>
                <w:sz w:val="20"/>
                <w:szCs w:val="20"/>
                <w:lang w:eastAsia="lv-LV"/>
              </w:rPr>
              <w:t>Pamatnostādnes paredz arī</w:t>
            </w:r>
            <w:r w:rsidRPr="00061F03">
              <w:rPr>
                <w:b/>
                <w:sz w:val="20"/>
                <w:szCs w:val="20"/>
                <w:lang w:eastAsia="lv-LV"/>
              </w:rPr>
              <w:t xml:space="preserve"> ‘</w:t>
            </w:r>
            <w:r w:rsidRPr="00061F03">
              <w:rPr>
                <w:sz w:val="20"/>
                <w:szCs w:val="20"/>
              </w:rPr>
              <w:t xml:space="preserve">Izstrādāt </w:t>
            </w:r>
            <w:r w:rsidR="003503ED">
              <w:rPr>
                <w:sz w:val="20"/>
                <w:szCs w:val="20"/>
              </w:rPr>
              <w:t xml:space="preserve">informatīvo ziņojumu par valsts </w:t>
            </w:r>
            <w:proofErr w:type="spellStart"/>
            <w:r w:rsidR="003503ED">
              <w:rPr>
                <w:sz w:val="20"/>
                <w:szCs w:val="20"/>
              </w:rPr>
              <w:t>mikromobilitātes</w:t>
            </w:r>
            <w:proofErr w:type="spellEnd"/>
            <w:r w:rsidR="003503ED">
              <w:rPr>
                <w:sz w:val="20"/>
                <w:szCs w:val="20"/>
              </w:rPr>
              <w:t xml:space="preserve"> infrastruktūras attīstību</w:t>
            </w:r>
            <w:r w:rsidRPr="00061F03">
              <w:rPr>
                <w:b/>
                <w:sz w:val="20"/>
                <w:szCs w:val="20"/>
                <w:lang w:eastAsia="lv-LV"/>
              </w:rPr>
              <w:t>’ (</w:t>
            </w:r>
            <w:r w:rsidRPr="00061F03">
              <w:rPr>
                <w:sz w:val="20"/>
                <w:szCs w:val="20"/>
              </w:rPr>
              <w:t>4.1.2.</w:t>
            </w:r>
            <w:r w:rsidRPr="00061F03">
              <w:rPr>
                <w:b/>
                <w:sz w:val="20"/>
                <w:szCs w:val="20"/>
                <w:lang w:eastAsia="lv-LV"/>
              </w:rPr>
              <w:t xml:space="preserve">), </w:t>
            </w:r>
            <w:r w:rsidRPr="00061F03">
              <w:rPr>
                <w:bCs/>
                <w:sz w:val="20"/>
                <w:szCs w:val="20"/>
                <w:lang w:eastAsia="lv-LV"/>
              </w:rPr>
              <w:t xml:space="preserve">kas ļaus īstenot risinājumus iespējām droši pārvietoties ar kājām, velosipēdu vai citiem </w:t>
            </w:r>
            <w:proofErr w:type="spellStart"/>
            <w:r w:rsidRPr="00061F03">
              <w:rPr>
                <w:bCs/>
                <w:sz w:val="20"/>
                <w:szCs w:val="20"/>
                <w:lang w:eastAsia="lv-LV"/>
              </w:rPr>
              <w:t>mikromobilitātes</w:t>
            </w:r>
            <w:proofErr w:type="spellEnd"/>
            <w:r w:rsidRPr="00061F03">
              <w:rPr>
                <w:bCs/>
                <w:sz w:val="20"/>
                <w:szCs w:val="20"/>
                <w:lang w:eastAsia="lv-LV"/>
              </w:rPr>
              <w:t xml:space="preserve"> rīkiem.</w:t>
            </w:r>
          </w:p>
          <w:p w14:paraId="03F70C31" w14:textId="77777777" w:rsidR="00061F03" w:rsidRPr="00061F03" w:rsidRDefault="00061F03" w:rsidP="00061F03">
            <w:pPr>
              <w:suppressAutoHyphens/>
              <w:autoSpaceDN w:val="0"/>
              <w:spacing w:after="160" w:line="247" w:lineRule="auto"/>
              <w:ind w:left="1080"/>
              <w:contextualSpacing/>
              <w:jc w:val="both"/>
              <w:textAlignment w:val="baseline"/>
              <w:rPr>
                <w:b/>
                <w:sz w:val="20"/>
                <w:szCs w:val="20"/>
                <w:lang w:eastAsia="lv-LV"/>
              </w:rPr>
            </w:pPr>
          </w:p>
          <w:p w14:paraId="379B779D" w14:textId="1F66C353" w:rsidR="00061F03" w:rsidRPr="00061F03" w:rsidRDefault="00061F03" w:rsidP="00061F03">
            <w:pPr>
              <w:numPr>
                <w:ilvl w:val="0"/>
                <w:numId w:val="3"/>
              </w:numPr>
              <w:suppressAutoHyphens/>
              <w:autoSpaceDN w:val="0"/>
              <w:spacing w:after="160" w:line="247" w:lineRule="auto"/>
              <w:contextualSpacing/>
              <w:jc w:val="both"/>
              <w:textAlignment w:val="baseline"/>
              <w:rPr>
                <w:b/>
                <w:sz w:val="20"/>
                <w:szCs w:val="20"/>
                <w:lang w:eastAsia="lv-LV"/>
              </w:rPr>
            </w:pPr>
            <w:r w:rsidRPr="00061F03">
              <w:rPr>
                <w:sz w:val="20"/>
                <w:szCs w:val="20"/>
              </w:rPr>
              <w:t xml:space="preserve">Paredzētās darbības tiešā veidā palīdz sasniegt Transporta attīstības pamatnostādnēs 2021.–2027. gadam noteiktos politikas rezultātu rezultatīvos rādītājus, t.i., samazināt kopējo SEG emisiju daudzumu, kā arī palielināt to iedzīvotāju īpatsvaru, kas ar velosipēdu vai citu </w:t>
            </w:r>
            <w:proofErr w:type="spellStart"/>
            <w:r w:rsidRPr="00061F03">
              <w:rPr>
                <w:sz w:val="20"/>
                <w:szCs w:val="20"/>
              </w:rPr>
              <w:t>mikromobilitātes</w:t>
            </w:r>
            <w:proofErr w:type="spellEnd"/>
            <w:r w:rsidRPr="00061F03">
              <w:rPr>
                <w:sz w:val="20"/>
                <w:szCs w:val="20"/>
              </w:rPr>
              <w:t xml:space="preserve"> transportlīdzekli brauc katru vai gandrīz katru dienu</w:t>
            </w:r>
            <w:r w:rsidRPr="00061F03">
              <w:rPr>
                <w:sz w:val="20"/>
                <w:szCs w:val="20"/>
                <w:lang w:eastAsia="lv-LV"/>
              </w:rPr>
              <w:t>.</w:t>
            </w:r>
          </w:p>
          <w:p w14:paraId="68D7526C" w14:textId="77777777" w:rsidR="009118F7" w:rsidRDefault="009118F7" w:rsidP="00061F03">
            <w:pPr>
              <w:spacing w:line="259" w:lineRule="auto"/>
              <w:jc w:val="both"/>
              <w:rPr>
                <w:b/>
                <w:bCs/>
                <w:sz w:val="20"/>
                <w:szCs w:val="20"/>
              </w:rPr>
            </w:pPr>
          </w:p>
          <w:p w14:paraId="62488445" w14:textId="29597B2E" w:rsidR="00061F03" w:rsidRPr="00061F03" w:rsidRDefault="00061F03" w:rsidP="00061F03">
            <w:pPr>
              <w:spacing w:line="259" w:lineRule="auto"/>
              <w:jc w:val="both"/>
              <w:rPr>
                <w:b/>
                <w:bCs/>
                <w:sz w:val="20"/>
                <w:szCs w:val="20"/>
              </w:rPr>
            </w:pPr>
            <w:r w:rsidRPr="00061F03">
              <w:rPr>
                <w:b/>
                <w:bCs/>
                <w:sz w:val="20"/>
                <w:szCs w:val="20"/>
              </w:rPr>
              <w:t>Sasaiste ar reģionālās attīstības mērķiem</w:t>
            </w:r>
          </w:p>
          <w:p w14:paraId="68C82D2B" w14:textId="76E30385" w:rsidR="00DC4D71" w:rsidRDefault="00DC4D71" w:rsidP="00DC4D71">
            <w:pPr>
              <w:jc w:val="both"/>
              <w:rPr>
                <w:sz w:val="20"/>
                <w:szCs w:val="20"/>
              </w:rPr>
            </w:pPr>
            <w:r>
              <w:rPr>
                <w:sz w:val="20"/>
                <w:szCs w:val="20"/>
              </w:rPr>
              <w:t>Investīcijas ir plānotas saskaņā ar Reģionālās politikas pamatnostādnēs 2021.-2027.gadam ietvertajiem uzdevumiem B.2.1. “Sasniedzamība starp reģioniem” un B.2.5. “Pašvaldību ceļu un ielu infrastruktūras attīstība un mobilitātes uzlabošana”. Paredzētās darbības risinās uzdevumā definētās mobilitātes problēmas reģionos un uzlabot novadu centru sasniedzamību</w:t>
            </w:r>
            <w:r w:rsidR="009118F7">
              <w:rPr>
                <w:sz w:val="20"/>
                <w:szCs w:val="20"/>
              </w:rPr>
              <w:t>, tādējādi uzlabojot darba vietu un pakalpojumu sasniedzamību</w:t>
            </w:r>
            <w:r>
              <w:rPr>
                <w:sz w:val="20"/>
                <w:szCs w:val="20"/>
              </w:rPr>
              <w:t>.</w:t>
            </w:r>
          </w:p>
          <w:p w14:paraId="20DD56B6" w14:textId="56A5B4F9" w:rsidR="00DC4D71" w:rsidRDefault="00DC4D71" w:rsidP="00061F03">
            <w:pPr>
              <w:spacing w:line="259" w:lineRule="auto"/>
              <w:jc w:val="both"/>
              <w:rPr>
                <w:b/>
                <w:bCs/>
                <w:sz w:val="20"/>
                <w:szCs w:val="20"/>
              </w:rPr>
            </w:pPr>
          </w:p>
          <w:p w14:paraId="2E1C89BA" w14:textId="77777777" w:rsidR="00DC4D71" w:rsidRPr="00061F03" w:rsidRDefault="00DC4D71" w:rsidP="00061F03">
            <w:pPr>
              <w:spacing w:line="259" w:lineRule="auto"/>
              <w:jc w:val="both"/>
              <w:rPr>
                <w:b/>
                <w:bCs/>
                <w:sz w:val="20"/>
                <w:szCs w:val="20"/>
              </w:rPr>
            </w:pPr>
          </w:p>
          <w:p w14:paraId="6618971A" w14:textId="77777777" w:rsidR="00061F03" w:rsidRPr="00061F03" w:rsidRDefault="00061F03" w:rsidP="00061F03">
            <w:pPr>
              <w:spacing w:line="259" w:lineRule="auto"/>
              <w:jc w:val="both"/>
              <w:rPr>
                <w:b/>
                <w:bCs/>
                <w:sz w:val="20"/>
                <w:szCs w:val="20"/>
              </w:rPr>
            </w:pPr>
            <w:r w:rsidRPr="00061F03">
              <w:rPr>
                <w:b/>
                <w:bCs/>
                <w:sz w:val="20"/>
                <w:szCs w:val="20"/>
              </w:rPr>
              <w:t>Sasaiste ar politikas plānošanas dokumentiem</w:t>
            </w:r>
          </w:p>
          <w:p w14:paraId="5869AF57" w14:textId="77777777" w:rsidR="00061F03" w:rsidRPr="00061F03" w:rsidRDefault="00061F03" w:rsidP="00061F03">
            <w:pPr>
              <w:numPr>
                <w:ilvl w:val="0"/>
                <w:numId w:val="3"/>
              </w:numPr>
              <w:spacing w:line="259" w:lineRule="auto"/>
              <w:contextualSpacing/>
              <w:jc w:val="both"/>
              <w:rPr>
                <w:sz w:val="20"/>
                <w:szCs w:val="20"/>
              </w:rPr>
            </w:pPr>
            <w:r w:rsidRPr="00061F03">
              <w:rPr>
                <w:sz w:val="20"/>
                <w:szCs w:val="20"/>
              </w:rPr>
              <w:t xml:space="preserve">Saskaņā ar Latvijas stratēģiju </w:t>
            </w:r>
            <w:proofErr w:type="spellStart"/>
            <w:r w:rsidRPr="00061F03">
              <w:rPr>
                <w:sz w:val="20"/>
                <w:szCs w:val="20"/>
              </w:rPr>
              <w:t>klimatneitralitātes</w:t>
            </w:r>
            <w:proofErr w:type="spellEnd"/>
            <w:r w:rsidRPr="00061F03">
              <w:rPr>
                <w:sz w:val="20"/>
                <w:szCs w:val="20"/>
              </w:rPr>
              <w:t xml:space="preserve"> sasniegšanai līdz 2050. gadam v</w:t>
            </w:r>
            <w:r w:rsidRPr="00061F03">
              <w:rPr>
                <w:rFonts w:eastAsia="Times New Roman"/>
                <w:sz w:val="20"/>
                <w:szCs w:val="20"/>
                <w:lang w:eastAsia="lv-LV"/>
              </w:rPr>
              <w:t>isiem transporta veidiem būtu jāveicina mobilitātes sistēmas dekarbonizācija. Mērķis ir līdz 2050.gadam sasniegt nulles emisiju līmeni</w:t>
            </w:r>
            <w:r w:rsidRPr="00061F03">
              <w:rPr>
                <w:sz w:val="20"/>
                <w:szCs w:val="20"/>
              </w:rPr>
              <w:t>.</w:t>
            </w:r>
            <w:r w:rsidRPr="00061F03">
              <w:rPr>
                <w:rFonts w:eastAsia="Times New Roman"/>
                <w:sz w:val="20"/>
                <w:szCs w:val="20"/>
                <w:lang w:eastAsia="lv-LV"/>
              </w:rPr>
              <w:t xml:space="preserve"> </w:t>
            </w:r>
            <w:r w:rsidRPr="00061F03">
              <w:rPr>
                <w:sz w:val="20"/>
                <w:szCs w:val="20"/>
              </w:rPr>
              <w:t xml:space="preserve">Paredzētās darbības tiešā veidā palīdz sasniegt </w:t>
            </w:r>
            <w:proofErr w:type="spellStart"/>
            <w:r w:rsidRPr="00061F03">
              <w:rPr>
                <w:sz w:val="20"/>
                <w:szCs w:val="20"/>
              </w:rPr>
              <w:t>klimatneitralitātes</w:t>
            </w:r>
            <w:proofErr w:type="spellEnd"/>
            <w:r w:rsidRPr="00061F03">
              <w:rPr>
                <w:sz w:val="20"/>
                <w:szCs w:val="20"/>
              </w:rPr>
              <w:t xml:space="preserve"> mērķus.</w:t>
            </w:r>
          </w:p>
          <w:p w14:paraId="69786FD9" w14:textId="4BD82BCF" w:rsidR="00061F03" w:rsidRPr="00061F03" w:rsidRDefault="00061F03" w:rsidP="00061F03">
            <w:pPr>
              <w:numPr>
                <w:ilvl w:val="0"/>
                <w:numId w:val="3"/>
              </w:numPr>
              <w:spacing w:line="259" w:lineRule="auto"/>
              <w:contextualSpacing/>
              <w:jc w:val="both"/>
              <w:rPr>
                <w:sz w:val="20"/>
                <w:szCs w:val="20"/>
              </w:rPr>
            </w:pPr>
            <w:r w:rsidRPr="00061F03">
              <w:rPr>
                <w:sz w:val="20"/>
                <w:szCs w:val="20"/>
              </w:rPr>
              <w:t xml:space="preserve">Latvijas Nacionālo klimata un enerģētikas plāna 2021.–2030.gadam (NEKP) mērķis ir </w:t>
            </w:r>
            <w:r w:rsidRPr="00061F03">
              <w:rPr>
                <w:rFonts w:eastAsia="Times New Roman"/>
                <w:sz w:val="20"/>
                <w:szCs w:val="20"/>
                <w:lang w:eastAsia="lv-LV"/>
              </w:rPr>
              <w:t xml:space="preserve">mazināt Latvijas cilvēku, tautsaimniecības, infrastruktūras, apbūves un dabas ievainojamību pret klimata pārmaiņu ietekmēm un veicināt klimata pārmaiņu radīto iespēju izmantošanu. Plāna ietvaros attiecībā uz transporta sektoru ir noteikts ‘Nodrošināt esošās transporta (autoceļu, dzelzceļa, lidostu, ostu) un elektronisko sakaru infrastruktūras pielāgošanu klimata pārmaiņām’. Paredzēto pasākumu īstenošanā </w:t>
            </w:r>
            <w:r w:rsidRPr="00061F03">
              <w:rPr>
                <w:rFonts w:eastAsia="Calibri"/>
                <w:sz w:val="20"/>
                <w:szCs w:val="20"/>
              </w:rPr>
              <w:t>ir paredzēts ņemt vērā klimata pārmaiņu radītos potenciālos riskus, kā arī novērst to ietekmi</w:t>
            </w:r>
            <w:r w:rsidR="009118F7">
              <w:rPr>
                <w:rFonts w:eastAsia="Calibri"/>
                <w:sz w:val="20"/>
                <w:szCs w:val="20"/>
              </w:rPr>
              <w:t>.</w:t>
            </w:r>
          </w:p>
          <w:p w14:paraId="4C67D077" w14:textId="77777777" w:rsidR="00061F03" w:rsidRPr="00061F03" w:rsidRDefault="00061F03" w:rsidP="00061F03">
            <w:pPr>
              <w:numPr>
                <w:ilvl w:val="0"/>
                <w:numId w:val="3"/>
              </w:numPr>
              <w:spacing w:line="259" w:lineRule="auto"/>
              <w:contextualSpacing/>
              <w:jc w:val="both"/>
              <w:rPr>
                <w:sz w:val="20"/>
                <w:szCs w:val="20"/>
              </w:rPr>
            </w:pPr>
            <w:r w:rsidRPr="00061F03">
              <w:rPr>
                <w:sz w:val="20"/>
                <w:szCs w:val="20"/>
              </w:rPr>
              <w:t xml:space="preserve">Saskaņā ar Gaisa piesārņojuma samazināšanas rīcības plānu 2020.-2030.gadam un tajā noteiktajiem pasākumiem, transporta sektorā ir jāizmanto videi draudzīgi transporta līdzekļi, tai skaitā sabiedriskajā transportā, vienlaikus jāveicina iedzīvotāju paradumu maiņu, izvēloties sabiedrisko transportu, </w:t>
            </w:r>
            <w:proofErr w:type="spellStart"/>
            <w:r w:rsidRPr="00061F03">
              <w:rPr>
                <w:sz w:val="20"/>
                <w:szCs w:val="20"/>
              </w:rPr>
              <w:t>mikromobilitātes</w:t>
            </w:r>
            <w:proofErr w:type="spellEnd"/>
            <w:r w:rsidRPr="00061F03">
              <w:rPr>
                <w:sz w:val="20"/>
                <w:szCs w:val="20"/>
              </w:rPr>
              <w:t xml:space="preserve"> rīku vai pārvietoties kājām. </w:t>
            </w:r>
            <w:proofErr w:type="spellStart"/>
            <w:r w:rsidRPr="00061F03">
              <w:rPr>
                <w:sz w:val="20"/>
                <w:szCs w:val="20"/>
                <w:lang w:val="en-US"/>
              </w:rPr>
              <w:t>Ieguldījumi</w:t>
            </w:r>
            <w:proofErr w:type="spellEnd"/>
            <w:r w:rsidRPr="00061F03">
              <w:rPr>
                <w:sz w:val="20"/>
                <w:szCs w:val="20"/>
                <w:lang w:val="en-US"/>
              </w:rPr>
              <w:t xml:space="preserve"> </w:t>
            </w:r>
            <w:proofErr w:type="spellStart"/>
            <w:r w:rsidRPr="00061F03">
              <w:rPr>
                <w:sz w:val="20"/>
                <w:szCs w:val="20"/>
                <w:lang w:val="en-US"/>
              </w:rPr>
              <w:t>tiešā</w:t>
            </w:r>
            <w:proofErr w:type="spellEnd"/>
            <w:r w:rsidRPr="00061F03">
              <w:rPr>
                <w:sz w:val="20"/>
                <w:szCs w:val="20"/>
                <w:lang w:val="en-US"/>
              </w:rPr>
              <w:t xml:space="preserve"> </w:t>
            </w:r>
            <w:proofErr w:type="spellStart"/>
            <w:r w:rsidRPr="00061F03">
              <w:rPr>
                <w:sz w:val="20"/>
                <w:szCs w:val="20"/>
                <w:lang w:val="en-US"/>
              </w:rPr>
              <w:t>veidā</w:t>
            </w:r>
            <w:proofErr w:type="spellEnd"/>
            <w:r w:rsidRPr="00061F03">
              <w:rPr>
                <w:sz w:val="20"/>
                <w:szCs w:val="20"/>
                <w:lang w:val="en-US"/>
              </w:rPr>
              <w:t xml:space="preserve"> </w:t>
            </w:r>
            <w:proofErr w:type="spellStart"/>
            <w:r w:rsidRPr="00061F03">
              <w:rPr>
                <w:sz w:val="20"/>
                <w:szCs w:val="20"/>
                <w:lang w:val="en-US"/>
              </w:rPr>
              <w:t>sniedz</w:t>
            </w:r>
            <w:proofErr w:type="spellEnd"/>
            <w:r w:rsidRPr="00061F03">
              <w:rPr>
                <w:sz w:val="20"/>
                <w:szCs w:val="20"/>
                <w:lang w:val="en-US"/>
              </w:rPr>
              <w:t xml:space="preserve"> </w:t>
            </w:r>
            <w:proofErr w:type="spellStart"/>
            <w:r w:rsidRPr="00061F03">
              <w:rPr>
                <w:sz w:val="20"/>
                <w:szCs w:val="20"/>
                <w:lang w:val="en-US"/>
              </w:rPr>
              <w:t>ieguldījumu</w:t>
            </w:r>
            <w:proofErr w:type="spellEnd"/>
            <w:r w:rsidRPr="00061F03">
              <w:rPr>
                <w:sz w:val="20"/>
                <w:szCs w:val="20"/>
                <w:lang w:val="en-US"/>
              </w:rPr>
              <w:t xml:space="preserve"> </w:t>
            </w:r>
            <w:proofErr w:type="spellStart"/>
            <w:r w:rsidRPr="00061F03">
              <w:rPr>
                <w:sz w:val="20"/>
                <w:szCs w:val="20"/>
                <w:lang w:val="en-US"/>
              </w:rPr>
              <w:t>plāna</w:t>
            </w:r>
            <w:proofErr w:type="spellEnd"/>
            <w:r w:rsidRPr="00061F03">
              <w:rPr>
                <w:sz w:val="20"/>
                <w:szCs w:val="20"/>
                <w:lang w:val="en-US"/>
              </w:rPr>
              <w:t xml:space="preserve"> </w:t>
            </w:r>
            <w:proofErr w:type="spellStart"/>
            <w:r w:rsidRPr="00061F03">
              <w:rPr>
                <w:sz w:val="20"/>
                <w:szCs w:val="20"/>
                <w:lang w:val="en-US"/>
              </w:rPr>
              <w:t>mērķu</w:t>
            </w:r>
            <w:proofErr w:type="spellEnd"/>
            <w:r w:rsidRPr="00061F03">
              <w:rPr>
                <w:sz w:val="20"/>
                <w:szCs w:val="20"/>
                <w:lang w:val="en-US"/>
              </w:rPr>
              <w:t xml:space="preserve"> </w:t>
            </w:r>
            <w:proofErr w:type="spellStart"/>
            <w:r w:rsidRPr="00061F03">
              <w:rPr>
                <w:sz w:val="20"/>
                <w:szCs w:val="20"/>
                <w:lang w:val="en-US"/>
              </w:rPr>
              <w:t>sasniegšanā</w:t>
            </w:r>
            <w:proofErr w:type="spellEnd"/>
            <w:r w:rsidRPr="00061F03">
              <w:rPr>
                <w:sz w:val="20"/>
                <w:szCs w:val="20"/>
                <w:lang w:val="en-US"/>
              </w:rPr>
              <w:t xml:space="preserve">. </w:t>
            </w:r>
          </w:p>
          <w:p w14:paraId="45B55001" w14:textId="77777777" w:rsidR="00061F03" w:rsidRPr="00061F03" w:rsidRDefault="00061F03" w:rsidP="00061F03">
            <w:pPr>
              <w:spacing w:line="259" w:lineRule="auto"/>
              <w:rPr>
                <w:rFonts w:eastAsiaTheme="minorEastAsia"/>
                <w:sz w:val="20"/>
                <w:szCs w:val="20"/>
              </w:rPr>
            </w:pPr>
          </w:p>
        </w:tc>
      </w:tr>
      <w:tr w:rsidR="00061F03" w:rsidRPr="00061F03" w14:paraId="027073EA" w14:textId="77777777" w:rsidTr="00061F03">
        <w:trPr>
          <w:trHeight w:val="278"/>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234AD74C" w14:textId="77777777" w:rsidR="00061F03" w:rsidRPr="00061F03" w:rsidRDefault="00061F03" w:rsidP="00061F03">
            <w:pPr>
              <w:spacing w:line="240" w:lineRule="auto"/>
              <w:rPr>
                <w:rFonts w:eastAsia="Times New Roman"/>
                <w:b/>
                <w:bCs/>
                <w:sz w:val="20"/>
                <w:szCs w:val="20"/>
                <w:lang w:eastAsia="lv-LV"/>
              </w:rPr>
            </w:pPr>
            <w:r w:rsidRPr="00061F03">
              <w:rPr>
                <w:rFonts w:eastAsia="Times New Roman"/>
                <w:b/>
                <w:bCs/>
                <w:sz w:val="20"/>
                <w:szCs w:val="20"/>
                <w:lang w:eastAsia="lv-LV"/>
              </w:rPr>
              <w:lastRenderedPageBreak/>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093254C8" w14:textId="77777777" w:rsidR="00061F03" w:rsidRPr="00061F03" w:rsidRDefault="00061F03" w:rsidP="00061F03">
            <w:pPr>
              <w:spacing w:line="240" w:lineRule="auto"/>
              <w:jc w:val="center"/>
              <w:rPr>
                <w:rFonts w:eastAsia="Times New Roman"/>
                <w:b/>
                <w:bCs/>
                <w:sz w:val="20"/>
                <w:szCs w:val="20"/>
                <w:lang w:eastAsia="lv-LV"/>
              </w:rPr>
            </w:pPr>
            <w:r w:rsidRPr="00061F03">
              <w:rPr>
                <w:rFonts w:eastAsia="Times New Roman"/>
                <w:b/>
                <w:bCs/>
                <w:sz w:val="20"/>
                <w:szCs w:val="20"/>
                <w:lang w:eastAsia="lv-LV"/>
              </w:rPr>
              <w:t>X</w:t>
            </w: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6AEB2BC9" w14:textId="77777777" w:rsidR="00061F03" w:rsidRPr="00061F03" w:rsidRDefault="00061F03" w:rsidP="00061F03">
            <w:pPr>
              <w:spacing w:line="240" w:lineRule="auto"/>
              <w:jc w:val="center"/>
              <w:rPr>
                <w:rFonts w:eastAsia="Times New Roman"/>
                <w:b/>
                <w:bCs/>
                <w:sz w:val="20"/>
                <w:szCs w:val="20"/>
                <w:lang w:eastAsia="lv-LV"/>
              </w:rPr>
            </w:pPr>
          </w:p>
        </w:tc>
        <w:tc>
          <w:tcPr>
            <w:tcW w:w="63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5AFBA186" w14:textId="77777777" w:rsidR="00061F03" w:rsidRPr="00061F03" w:rsidRDefault="00061F03" w:rsidP="00061F03">
            <w:pPr>
              <w:spacing w:line="240" w:lineRule="auto"/>
              <w:jc w:val="both"/>
              <w:rPr>
                <w:rFonts w:eastAsia="Times New Roman"/>
                <w:sz w:val="20"/>
                <w:szCs w:val="20"/>
                <w:lang w:eastAsia="lv-LV"/>
              </w:rPr>
            </w:pPr>
            <w:r w:rsidRPr="00061F03">
              <w:rPr>
                <w:rFonts w:eastAsia="Times New Roman"/>
                <w:sz w:val="20"/>
                <w:szCs w:val="20"/>
                <w:lang w:eastAsia="lv-LV"/>
              </w:rPr>
              <w:t>Skat. novērtējuma 2.daļu.</w:t>
            </w:r>
          </w:p>
        </w:tc>
      </w:tr>
      <w:tr w:rsidR="00061F03" w:rsidRPr="00061F03" w14:paraId="65DAEEC9" w14:textId="77777777" w:rsidTr="00061F03">
        <w:trPr>
          <w:trHeight w:val="382"/>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2F1B9081" w14:textId="77777777" w:rsidR="00061F03" w:rsidRPr="00061F03" w:rsidRDefault="00061F03" w:rsidP="00061F03">
            <w:pPr>
              <w:spacing w:line="240" w:lineRule="auto"/>
              <w:jc w:val="both"/>
              <w:rPr>
                <w:rFonts w:eastAsia="Times New Roman"/>
                <w:b/>
                <w:bCs/>
                <w:sz w:val="20"/>
                <w:szCs w:val="20"/>
                <w:lang w:eastAsia="lv-LV"/>
              </w:rPr>
            </w:pPr>
            <w:r w:rsidRPr="00061F03">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4F837D0E" w14:textId="77777777" w:rsidR="00061F03" w:rsidRPr="00061F03" w:rsidRDefault="00061F03" w:rsidP="00061F03">
            <w:pPr>
              <w:spacing w:line="240" w:lineRule="auto"/>
              <w:jc w:val="center"/>
              <w:rPr>
                <w:rFonts w:eastAsia="Times New Roman"/>
                <w:b/>
                <w:bCs/>
                <w:sz w:val="20"/>
                <w:szCs w:val="20"/>
                <w:lang w:eastAsia="lv-LV"/>
              </w:rPr>
            </w:pP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02616AEA" w14:textId="77777777" w:rsidR="00061F03" w:rsidRPr="00061F03" w:rsidRDefault="00061F03" w:rsidP="00061F03">
            <w:pPr>
              <w:spacing w:line="240" w:lineRule="auto"/>
              <w:jc w:val="center"/>
              <w:rPr>
                <w:rFonts w:eastAsia="Times New Roman"/>
                <w:b/>
                <w:bCs/>
                <w:sz w:val="20"/>
                <w:szCs w:val="20"/>
                <w:lang w:eastAsia="lv-LV"/>
              </w:rPr>
            </w:pPr>
            <w:r w:rsidRPr="00061F03">
              <w:rPr>
                <w:rFonts w:eastAsia="Times New Roman"/>
                <w:b/>
                <w:bCs/>
                <w:sz w:val="20"/>
                <w:szCs w:val="20"/>
                <w:lang w:eastAsia="lv-LV"/>
              </w:rPr>
              <w:t>X</w:t>
            </w:r>
          </w:p>
        </w:tc>
        <w:tc>
          <w:tcPr>
            <w:tcW w:w="63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6E4F4AE7" w14:textId="77777777" w:rsidR="00061F03" w:rsidRPr="00061F03" w:rsidRDefault="00061F03" w:rsidP="00061F03">
            <w:pPr>
              <w:spacing w:line="240" w:lineRule="auto"/>
              <w:jc w:val="both"/>
              <w:rPr>
                <w:sz w:val="20"/>
                <w:szCs w:val="20"/>
              </w:rPr>
            </w:pPr>
            <w:r w:rsidRPr="00061F03">
              <w:rPr>
                <w:sz w:val="20"/>
                <w:szCs w:val="20"/>
              </w:rPr>
              <w:t xml:space="preserve">Pasākumam nav paredzama ietekme uz vides mērķi un tas </w:t>
            </w:r>
            <w:r w:rsidRPr="00061F03">
              <w:rPr>
                <w:rFonts w:eastAsiaTheme="minorEastAsia"/>
                <w:sz w:val="20"/>
                <w:szCs w:val="20"/>
              </w:rPr>
              <w:t xml:space="preserve">neradīs būtisku kaitējumu ilgtspējīgai ūdens un jūras resursu izmantošanai un aizsardzībai, nekaitēs ūdensobjektu </w:t>
            </w:r>
            <w:r w:rsidRPr="00061F03">
              <w:rPr>
                <w:sz w:val="20"/>
                <w:szCs w:val="20"/>
              </w:rPr>
              <w:t>labam stāvoklim vai to labam ekoloģiskajam potenciālam, ieskaitot virszemes ūdeņus un gruntsūdeņus, kā arī neradīs kaitējumu jūras ūdeņu labam vides stāvoklim.</w:t>
            </w:r>
          </w:p>
          <w:p w14:paraId="72F96D17" w14:textId="77777777" w:rsidR="00061F03" w:rsidRPr="00061F03" w:rsidRDefault="00061F03" w:rsidP="00061F03">
            <w:pPr>
              <w:spacing w:line="240" w:lineRule="auto"/>
              <w:jc w:val="both"/>
              <w:rPr>
                <w:sz w:val="20"/>
                <w:szCs w:val="20"/>
              </w:rPr>
            </w:pPr>
          </w:p>
        </w:tc>
      </w:tr>
      <w:tr w:rsidR="00061F03" w:rsidRPr="00061F03" w14:paraId="5F8A9ED1" w14:textId="77777777" w:rsidTr="00061F03">
        <w:trPr>
          <w:trHeight w:val="388"/>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B07705C" w14:textId="77777777" w:rsidR="00061F03" w:rsidRPr="00061F03" w:rsidRDefault="00061F03" w:rsidP="00061F03">
            <w:pPr>
              <w:spacing w:line="240" w:lineRule="auto"/>
              <w:jc w:val="both"/>
              <w:rPr>
                <w:rFonts w:eastAsia="Times New Roman"/>
                <w:b/>
                <w:bCs/>
                <w:sz w:val="20"/>
                <w:szCs w:val="20"/>
                <w:lang w:eastAsia="lv-LV"/>
              </w:rPr>
            </w:pPr>
            <w:r w:rsidRPr="00061F03">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076E3D03" w14:textId="77777777" w:rsidR="00061F03" w:rsidRPr="00061F03" w:rsidRDefault="00061F03" w:rsidP="00061F03">
            <w:pPr>
              <w:spacing w:line="240" w:lineRule="auto"/>
              <w:jc w:val="center"/>
              <w:rPr>
                <w:rFonts w:eastAsia="Times New Roman"/>
                <w:b/>
                <w:bCs/>
                <w:sz w:val="20"/>
                <w:szCs w:val="20"/>
                <w:lang w:eastAsia="lv-LV"/>
              </w:rPr>
            </w:pP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2B27496C" w14:textId="77777777" w:rsidR="00061F03" w:rsidRPr="00061F03" w:rsidRDefault="00061F03" w:rsidP="00061F03">
            <w:pPr>
              <w:spacing w:line="240" w:lineRule="auto"/>
              <w:jc w:val="center"/>
              <w:rPr>
                <w:rFonts w:eastAsia="Times New Roman"/>
                <w:b/>
                <w:bCs/>
                <w:sz w:val="20"/>
                <w:szCs w:val="20"/>
                <w:lang w:eastAsia="lv-LV"/>
              </w:rPr>
            </w:pPr>
            <w:r w:rsidRPr="00061F03">
              <w:rPr>
                <w:rFonts w:eastAsia="Times New Roman"/>
                <w:b/>
                <w:bCs/>
                <w:sz w:val="20"/>
                <w:szCs w:val="20"/>
                <w:lang w:eastAsia="lv-LV"/>
              </w:rPr>
              <w:t>X</w:t>
            </w:r>
          </w:p>
        </w:tc>
        <w:tc>
          <w:tcPr>
            <w:tcW w:w="63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1D3889F4" w14:textId="05B9A6BC" w:rsidR="00061F03" w:rsidRPr="00061F03" w:rsidRDefault="00061F03" w:rsidP="00061F03">
            <w:pPr>
              <w:spacing w:line="240" w:lineRule="auto"/>
              <w:jc w:val="both"/>
              <w:rPr>
                <w:rFonts w:eastAsia="Times New Roman"/>
                <w:sz w:val="20"/>
                <w:szCs w:val="20"/>
                <w:lang w:eastAsia="lv-LV"/>
              </w:rPr>
            </w:pPr>
          </w:p>
          <w:p w14:paraId="362C60CE" w14:textId="77777777" w:rsidR="00061F03" w:rsidRPr="00061F03" w:rsidRDefault="00061F03" w:rsidP="00061F03">
            <w:pPr>
              <w:spacing w:line="240" w:lineRule="auto"/>
              <w:jc w:val="both"/>
              <w:rPr>
                <w:rFonts w:eastAsia="Times New Roman"/>
                <w:sz w:val="20"/>
                <w:szCs w:val="20"/>
                <w:lang w:eastAsia="lv-LV"/>
              </w:rPr>
            </w:pPr>
            <w:r w:rsidRPr="00061F03">
              <w:rPr>
                <w:sz w:val="20"/>
                <w:szCs w:val="20"/>
              </w:rPr>
              <w:t>Atkritumu rašanās būvniecības laikā tiks ierobežota saskaņā ar ES būvniecības un nojaukšanas atkritumu apsaimniekošanas protokolu un tiks veicināta atkārtota materiālu izmantošana un augstas kvalitātes pārstrāde, piemērojot materiālu atlasi, izmantojot labākās pieejamās būvgružiem paredzētās šķirošanas sistēmas.</w:t>
            </w:r>
          </w:p>
        </w:tc>
      </w:tr>
      <w:tr w:rsidR="00061F03" w:rsidRPr="00061F03" w14:paraId="300A4E4B" w14:textId="77777777" w:rsidTr="00061F03">
        <w:trPr>
          <w:trHeight w:val="38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63FBABEA" w14:textId="77777777" w:rsidR="00061F03" w:rsidRPr="00061F03" w:rsidRDefault="00061F03" w:rsidP="00061F03">
            <w:pPr>
              <w:spacing w:line="240" w:lineRule="auto"/>
              <w:jc w:val="both"/>
              <w:rPr>
                <w:rFonts w:eastAsia="Times New Roman"/>
                <w:b/>
                <w:bCs/>
                <w:sz w:val="20"/>
                <w:szCs w:val="20"/>
                <w:lang w:eastAsia="lv-LV"/>
              </w:rPr>
            </w:pPr>
            <w:r w:rsidRPr="00061F03">
              <w:rPr>
                <w:rFonts w:eastAsia="Times New Roman"/>
                <w:b/>
                <w:bCs/>
                <w:sz w:val="20"/>
                <w:szCs w:val="20"/>
                <w:lang w:eastAsia="lv-LV"/>
              </w:rPr>
              <w:lastRenderedPageBreak/>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48FF10BD" w14:textId="77777777" w:rsidR="00061F03" w:rsidRPr="00061F03" w:rsidRDefault="00061F03" w:rsidP="00061F03">
            <w:pPr>
              <w:spacing w:line="240" w:lineRule="auto"/>
              <w:jc w:val="center"/>
              <w:rPr>
                <w:rFonts w:eastAsia="Times New Roman"/>
                <w:b/>
                <w:bCs/>
                <w:sz w:val="20"/>
                <w:szCs w:val="20"/>
                <w:lang w:eastAsia="lv-LV"/>
              </w:rPr>
            </w:pP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7C320F9A" w14:textId="77777777" w:rsidR="00061F03" w:rsidRPr="00061F03" w:rsidRDefault="00061F03" w:rsidP="00061F03">
            <w:pPr>
              <w:spacing w:line="240" w:lineRule="auto"/>
              <w:jc w:val="center"/>
              <w:rPr>
                <w:rFonts w:eastAsia="Times New Roman"/>
                <w:b/>
                <w:bCs/>
                <w:sz w:val="20"/>
                <w:szCs w:val="20"/>
                <w:lang w:eastAsia="lv-LV"/>
              </w:rPr>
            </w:pPr>
            <w:r w:rsidRPr="00061F03">
              <w:rPr>
                <w:rFonts w:eastAsia="Times New Roman"/>
                <w:b/>
                <w:bCs/>
                <w:sz w:val="20"/>
                <w:szCs w:val="20"/>
                <w:lang w:eastAsia="lv-LV"/>
              </w:rPr>
              <w:t>X</w:t>
            </w:r>
          </w:p>
        </w:tc>
        <w:tc>
          <w:tcPr>
            <w:tcW w:w="63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4F05E40B" w14:textId="129A055B" w:rsidR="00061F03" w:rsidRPr="009118F7" w:rsidRDefault="00061F03" w:rsidP="00D24A0F">
            <w:pPr>
              <w:spacing w:line="240" w:lineRule="auto"/>
              <w:jc w:val="both"/>
              <w:rPr>
                <w:rFonts w:eastAsia="Times New Roman"/>
                <w:sz w:val="20"/>
                <w:szCs w:val="20"/>
                <w:lang w:eastAsia="lv-LV"/>
              </w:rPr>
            </w:pPr>
            <w:r w:rsidRPr="009118F7">
              <w:rPr>
                <w:sz w:val="20"/>
                <w:szCs w:val="20"/>
              </w:rPr>
              <w:t>Plānotie īstenotie projekti ne tikai sniegs ieguldījumu klimata politikas mērķu izpildei, samazinot CO</w:t>
            </w:r>
            <w:r w:rsidRPr="009118F7">
              <w:rPr>
                <w:sz w:val="20"/>
                <w:szCs w:val="20"/>
                <w:vertAlign w:val="subscript"/>
              </w:rPr>
              <w:t>2</w:t>
            </w:r>
            <w:r w:rsidRPr="009118F7">
              <w:rPr>
                <w:sz w:val="20"/>
                <w:szCs w:val="20"/>
              </w:rPr>
              <w:t xml:space="preserve"> emisijas, bet sniegs arī devumu gaisa piesārņojuma samazināšanai. </w:t>
            </w:r>
          </w:p>
        </w:tc>
      </w:tr>
      <w:tr w:rsidR="00061F03" w:rsidRPr="00061F03" w14:paraId="43218CB7" w14:textId="77777777" w:rsidTr="00061F03">
        <w:trPr>
          <w:trHeight w:val="386"/>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66A53FD" w14:textId="77777777" w:rsidR="00061F03" w:rsidRPr="00061F03" w:rsidRDefault="00061F03" w:rsidP="00061F03">
            <w:pPr>
              <w:spacing w:line="240" w:lineRule="auto"/>
              <w:jc w:val="both"/>
              <w:rPr>
                <w:rFonts w:eastAsia="Times New Roman"/>
                <w:b/>
                <w:bCs/>
                <w:sz w:val="20"/>
                <w:szCs w:val="20"/>
                <w:lang w:eastAsia="lv-LV"/>
              </w:rPr>
            </w:pPr>
            <w:r w:rsidRPr="00061F03">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0824C1FE" w14:textId="77777777" w:rsidR="00061F03" w:rsidRPr="00061F03" w:rsidRDefault="00061F03" w:rsidP="00061F03">
            <w:pPr>
              <w:spacing w:line="240" w:lineRule="auto"/>
              <w:jc w:val="center"/>
              <w:rPr>
                <w:rFonts w:eastAsia="Times New Roman"/>
                <w:b/>
                <w:bCs/>
                <w:sz w:val="20"/>
                <w:szCs w:val="20"/>
                <w:lang w:eastAsia="lv-LV"/>
              </w:rPr>
            </w:pPr>
          </w:p>
        </w:tc>
        <w:tc>
          <w:tcPr>
            <w:tcW w:w="5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0532DFC7" w14:textId="77777777" w:rsidR="00061F03" w:rsidRPr="00061F03" w:rsidRDefault="00061F03" w:rsidP="00061F03">
            <w:pPr>
              <w:spacing w:line="240" w:lineRule="auto"/>
              <w:jc w:val="center"/>
              <w:rPr>
                <w:rFonts w:eastAsia="Times New Roman"/>
                <w:b/>
                <w:bCs/>
                <w:sz w:val="20"/>
                <w:szCs w:val="20"/>
                <w:lang w:eastAsia="lv-LV"/>
              </w:rPr>
            </w:pPr>
            <w:r w:rsidRPr="00061F03">
              <w:rPr>
                <w:rFonts w:eastAsia="Times New Roman"/>
                <w:b/>
                <w:bCs/>
                <w:sz w:val="20"/>
                <w:szCs w:val="20"/>
                <w:lang w:eastAsia="lv-LV"/>
              </w:rPr>
              <w:t>X</w:t>
            </w:r>
          </w:p>
        </w:tc>
        <w:tc>
          <w:tcPr>
            <w:tcW w:w="63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bottom"/>
          </w:tcPr>
          <w:p w14:paraId="5061630B" w14:textId="57A6652C" w:rsidR="00061F03" w:rsidRPr="00061F03" w:rsidRDefault="00061F03" w:rsidP="009118F7">
            <w:pPr>
              <w:spacing w:line="240" w:lineRule="auto"/>
              <w:jc w:val="both"/>
              <w:rPr>
                <w:rFonts w:eastAsia="Times New Roman"/>
                <w:sz w:val="20"/>
                <w:szCs w:val="20"/>
                <w:lang w:eastAsia="lv-LV"/>
              </w:rPr>
            </w:pPr>
            <w:r w:rsidRPr="00061F03">
              <w:rPr>
                <w:sz w:val="20"/>
                <w:szCs w:val="20"/>
              </w:rPr>
              <w:t>Pasākuma paredzamā ietekme uz</w:t>
            </w:r>
            <w:r w:rsidRPr="00061F03">
              <w:rPr>
                <w:rFonts w:eastAsia="Times New Roman"/>
                <w:sz w:val="20"/>
                <w:szCs w:val="20"/>
                <w:lang w:eastAsia="lv-LV"/>
              </w:rPr>
              <w:t xml:space="preserve"> bioloģiskās daudzveidības un ekosistēmu aizsardzību ir nebūtiska</w:t>
            </w:r>
            <w:r w:rsidR="009118F7">
              <w:rPr>
                <w:rFonts w:eastAsia="Times New Roman"/>
                <w:sz w:val="20"/>
                <w:szCs w:val="20"/>
                <w:lang w:eastAsia="lv-LV"/>
              </w:rPr>
              <w:t xml:space="preserve"> </w:t>
            </w:r>
            <w:r w:rsidRPr="00061F03">
              <w:rPr>
                <w:rFonts w:eastAsia="Times New Roman"/>
                <w:sz w:val="20"/>
                <w:szCs w:val="20"/>
                <w:lang w:eastAsia="lv-LV"/>
              </w:rPr>
              <w:t>un aktivitātes nepieprasa padziļinātu pasākuma novērtējumu no NBK viedokļa. Plānotās investīcijas neparedz tiešu ietekmi uz ES nozīmes sugām un biotopiem un to aizsardzības stāvokli.</w:t>
            </w:r>
          </w:p>
        </w:tc>
      </w:tr>
      <w:tr w:rsidR="00061F03" w:rsidRPr="00061F03" w14:paraId="16CB0073" w14:textId="77777777" w:rsidTr="00061F03">
        <w:trPr>
          <w:trHeight w:val="300"/>
        </w:trPr>
        <w:tc>
          <w:tcPr>
            <w:tcW w:w="3119" w:type="dxa"/>
            <w:shd w:val="clear" w:color="auto" w:fill="auto"/>
            <w:noWrap/>
            <w:tcMar>
              <w:top w:w="15" w:type="dxa"/>
              <w:left w:w="108" w:type="dxa"/>
              <w:bottom w:w="15" w:type="dxa"/>
              <w:right w:w="108" w:type="dxa"/>
            </w:tcMar>
            <w:vAlign w:val="bottom"/>
          </w:tcPr>
          <w:p w14:paraId="79201BA6" w14:textId="77777777" w:rsidR="00061F03" w:rsidRPr="00061F03" w:rsidRDefault="00061F03" w:rsidP="00061F03">
            <w:pPr>
              <w:spacing w:line="240" w:lineRule="auto"/>
              <w:rPr>
                <w:rFonts w:eastAsia="Times New Roman"/>
                <w:b/>
                <w:bCs/>
                <w:sz w:val="20"/>
                <w:szCs w:val="20"/>
                <w:lang w:eastAsia="lv-LV"/>
              </w:rPr>
            </w:pPr>
          </w:p>
          <w:p w14:paraId="5FD1A0F8" w14:textId="77777777" w:rsidR="00061F03" w:rsidRPr="00061F03" w:rsidRDefault="00061F03" w:rsidP="00061F03">
            <w:pPr>
              <w:spacing w:line="240" w:lineRule="auto"/>
              <w:rPr>
                <w:rFonts w:eastAsia="Times New Roman"/>
                <w:b/>
                <w:bCs/>
                <w:sz w:val="20"/>
                <w:szCs w:val="20"/>
                <w:lang w:eastAsia="lv-LV"/>
              </w:rPr>
            </w:pPr>
            <w:r w:rsidRPr="00061F03">
              <w:rPr>
                <w:rFonts w:eastAsia="Times New Roman"/>
                <w:b/>
                <w:bCs/>
                <w:sz w:val="20"/>
                <w:szCs w:val="20"/>
                <w:lang w:eastAsia="lv-LV"/>
              </w:rPr>
              <w:t>Novērtējuma 2. daļa</w:t>
            </w:r>
          </w:p>
        </w:tc>
        <w:tc>
          <w:tcPr>
            <w:tcW w:w="709" w:type="dxa"/>
            <w:shd w:val="clear" w:color="auto" w:fill="auto"/>
            <w:noWrap/>
            <w:tcMar>
              <w:top w:w="15" w:type="dxa"/>
              <w:left w:w="108" w:type="dxa"/>
              <w:bottom w:w="15" w:type="dxa"/>
              <w:right w:w="108" w:type="dxa"/>
            </w:tcMar>
            <w:vAlign w:val="bottom"/>
          </w:tcPr>
          <w:p w14:paraId="08193911" w14:textId="77777777" w:rsidR="00061F03" w:rsidRPr="00061F03" w:rsidRDefault="00061F03" w:rsidP="00061F03">
            <w:pPr>
              <w:spacing w:line="240" w:lineRule="auto"/>
              <w:rPr>
                <w:rFonts w:eastAsia="Times New Roman"/>
                <w:b/>
                <w:bCs/>
                <w:sz w:val="20"/>
                <w:szCs w:val="20"/>
                <w:lang w:eastAsia="lv-LV"/>
              </w:rPr>
            </w:pPr>
          </w:p>
        </w:tc>
        <w:tc>
          <w:tcPr>
            <w:tcW w:w="567" w:type="dxa"/>
            <w:gridSpan w:val="2"/>
            <w:shd w:val="clear" w:color="auto" w:fill="auto"/>
            <w:noWrap/>
            <w:tcMar>
              <w:top w:w="15" w:type="dxa"/>
              <w:left w:w="108" w:type="dxa"/>
              <w:bottom w:w="15" w:type="dxa"/>
              <w:right w:w="108" w:type="dxa"/>
            </w:tcMar>
            <w:vAlign w:val="bottom"/>
          </w:tcPr>
          <w:p w14:paraId="4AAEF507" w14:textId="77777777" w:rsidR="00061F03" w:rsidRPr="00061F03" w:rsidRDefault="00061F03" w:rsidP="00061F03">
            <w:pPr>
              <w:spacing w:line="240" w:lineRule="auto"/>
              <w:rPr>
                <w:rFonts w:eastAsia="Times New Roman"/>
                <w:sz w:val="20"/>
                <w:szCs w:val="20"/>
                <w:lang w:eastAsia="lv-LV"/>
              </w:rPr>
            </w:pPr>
          </w:p>
        </w:tc>
        <w:tc>
          <w:tcPr>
            <w:tcW w:w="6378" w:type="dxa"/>
            <w:gridSpan w:val="2"/>
            <w:shd w:val="clear" w:color="auto" w:fill="auto"/>
            <w:noWrap/>
            <w:tcMar>
              <w:top w:w="15" w:type="dxa"/>
              <w:left w:w="108" w:type="dxa"/>
              <w:bottom w:w="15" w:type="dxa"/>
              <w:right w:w="108" w:type="dxa"/>
            </w:tcMar>
            <w:vAlign w:val="bottom"/>
          </w:tcPr>
          <w:p w14:paraId="34FADBB2" w14:textId="77777777" w:rsidR="00061F03" w:rsidRPr="00061F03" w:rsidRDefault="00061F03" w:rsidP="00061F03">
            <w:pPr>
              <w:spacing w:line="240" w:lineRule="auto"/>
              <w:rPr>
                <w:rFonts w:eastAsia="Times New Roman"/>
                <w:sz w:val="20"/>
                <w:szCs w:val="20"/>
                <w:lang w:eastAsia="lv-LV"/>
              </w:rPr>
            </w:pPr>
          </w:p>
        </w:tc>
      </w:tr>
      <w:tr w:rsidR="00061F03" w:rsidRPr="00061F03" w14:paraId="33DB5D54" w14:textId="77777777" w:rsidTr="00061F03">
        <w:trPr>
          <w:trHeight w:val="300"/>
        </w:trPr>
        <w:tc>
          <w:tcPr>
            <w:tcW w:w="3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04DD0BE1" w14:textId="77777777" w:rsidR="00061F03" w:rsidRPr="00061F03" w:rsidRDefault="00061F03" w:rsidP="00061F03">
            <w:pPr>
              <w:spacing w:line="240" w:lineRule="auto"/>
              <w:jc w:val="center"/>
              <w:rPr>
                <w:rFonts w:eastAsia="Times New Roman"/>
                <w:b/>
                <w:bCs/>
                <w:sz w:val="20"/>
                <w:szCs w:val="20"/>
                <w:lang w:eastAsia="lv-LV"/>
              </w:rPr>
            </w:pPr>
            <w:r w:rsidRPr="00061F03">
              <w:rPr>
                <w:rFonts w:eastAsia="Times New Roman"/>
                <w:b/>
                <w:bCs/>
                <w:sz w:val="20"/>
                <w:szCs w:val="20"/>
                <w:lang w:eastAsia="lv-LV"/>
              </w:rPr>
              <w:t xml:space="preserve">Jautājums </w:t>
            </w:r>
          </w:p>
        </w:tc>
        <w:tc>
          <w:tcPr>
            <w:tcW w:w="566" w:type="dxa"/>
            <w:gridSpan w:val="2"/>
            <w:tcBorders>
              <w:top w:val="single" w:sz="4" w:space="0" w:color="000000" w:themeColor="text1"/>
              <w:left w:val="single" w:sz="4" w:space="0" w:color="000000" w:themeColor="text1"/>
              <w:bottom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2F1D70E2" w14:textId="77777777" w:rsidR="00061F03" w:rsidRPr="00061F03" w:rsidRDefault="00061F03" w:rsidP="00061F03">
            <w:pPr>
              <w:spacing w:line="240" w:lineRule="auto"/>
              <w:jc w:val="center"/>
              <w:rPr>
                <w:rFonts w:eastAsia="Times New Roman"/>
                <w:b/>
                <w:bCs/>
                <w:sz w:val="20"/>
                <w:szCs w:val="20"/>
                <w:lang w:eastAsia="lv-LV"/>
              </w:rPr>
            </w:pPr>
            <w:r w:rsidRPr="00061F03">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17806625" w14:textId="77777777" w:rsidR="00061F03" w:rsidRPr="00061F03" w:rsidRDefault="00061F03" w:rsidP="00061F03">
            <w:pPr>
              <w:spacing w:line="240" w:lineRule="auto"/>
              <w:jc w:val="center"/>
              <w:rPr>
                <w:rFonts w:eastAsia="Times New Roman"/>
                <w:b/>
                <w:bCs/>
                <w:sz w:val="20"/>
                <w:szCs w:val="20"/>
                <w:lang w:eastAsia="lv-LV"/>
              </w:rPr>
            </w:pPr>
            <w:r w:rsidRPr="00061F03">
              <w:rPr>
                <w:rFonts w:eastAsia="Times New Roman"/>
                <w:b/>
                <w:bCs/>
                <w:sz w:val="20"/>
                <w:szCs w:val="20"/>
                <w:lang w:eastAsia="lv-LV"/>
              </w:rPr>
              <w:t xml:space="preserve">Detalizēts </w:t>
            </w:r>
            <w:proofErr w:type="spellStart"/>
            <w:r w:rsidRPr="00061F03">
              <w:rPr>
                <w:rFonts w:eastAsia="Times New Roman"/>
                <w:b/>
                <w:bCs/>
                <w:sz w:val="20"/>
                <w:szCs w:val="20"/>
                <w:lang w:eastAsia="lv-LV"/>
              </w:rPr>
              <w:t>izvērtējums</w:t>
            </w:r>
            <w:proofErr w:type="spellEnd"/>
            <w:r w:rsidRPr="00061F03">
              <w:rPr>
                <w:rFonts w:eastAsia="Times New Roman"/>
                <w:b/>
                <w:bCs/>
                <w:sz w:val="20"/>
                <w:szCs w:val="20"/>
                <w:lang w:eastAsia="lv-LV"/>
              </w:rPr>
              <w:t xml:space="preserve"> </w:t>
            </w:r>
          </w:p>
        </w:tc>
      </w:tr>
      <w:tr w:rsidR="00061F03" w:rsidRPr="00061F03" w14:paraId="4FCBC749" w14:textId="77777777" w:rsidTr="00061F03">
        <w:trPr>
          <w:trHeight w:val="907"/>
        </w:trPr>
        <w:tc>
          <w:tcPr>
            <w:tcW w:w="3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019828BA" w14:textId="77777777" w:rsidR="00061F03" w:rsidRPr="00061F03" w:rsidRDefault="00061F03" w:rsidP="00061F03">
            <w:pPr>
              <w:spacing w:line="240" w:lineRule="auto"/>
              <w:rPr>
                <w:sz w:val="20"/>
                <w:szCs w:val="20"/>
              </w:rPr>
            </w:pPr>
            <w:r w:rsidRPr="00061F03">
              <w:rPr>
                <w:rFonts w:eastAsia="Times New Roman"/>
                <w:b/>
                <w:bCs/>
                <w:sz w:val="20"/>
                <w:szCs w:val="20"/>
                <w:lang w:eastAsia="lv-LV"/>
              </w:rPr>
              <w:t xml:space="preserve">Klimata pārmaiņu mazināšana. </w:t>
            </w:r>
            <w:r w:rsidRPr="00061F03">
              <w:rPr>
                <w:rFonts w:eastAsia="Times New Roman"/>
                <w:sz w:val="20"/>
                <w:szCs w:val="20"/>
                <w:lang w:eastAsia="lv-LV"/>
              </w:rPr>
              <w:t>Vai paredzams, ka pasākums radīs ievērojamas SEG emisijas?</w:t>
            </w:r>
          </w:p>
        </w:tc>
        <w:tc>
          <w:tcPr>
            <w:tcW w:w="566"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455F0671" w14:textId="77777777" w:rsidR="00061F03" w:rsidRPr="00061F03" w:rsidRDefault="00061F03" w:rsidP="00061F03">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6986F098" w14:textId="77777777" w:rsidR="00061F03" w:rsidRPr="00061F03" w:rsidRDefault="00061F03" w:rsidP="00061F03">
            <w:pPr>
              <w:spacing w:line="240" w:lineRule="auto"/>
              <w:jc w:val="both"/>
              <w:rPr>
                <w:rFonts w:eastAsia="Times New Roman"/>
                <w:sz w:val="20"/>
                <w:szCs w:val="20"/>
                <w:lang w:eastAsia="lv-LV"/>
              </w:rPr>
            </w:pPr>
            <w:r w:rsidRPr="00061F03">
              <w:rPr>
                <w:rFonts w:eastAsia="Times New Roman"/>
                <w:sz w:val="20"/>
                <w:szCs w:val="20"/>
                <w:lang w:eastAsia="lv-LV"/>
              </w:rPr>
              <w:t>Skat. novērtējuma 1.daļu.</w:t>
            </w:r>
          </w:p>
          <w:p w14:paraId="78C8F0D3" w14:textId="77777777" w:rsidR="00061F03" w:rsidRPr="00061F03" w:rsidRDefault="00061F03" w:rsidP="00061F03">
            <w:pPr>
              <w:spacing w:line="240" w:lineRule="auto"/>
              <w:rPr>
                <w:sz w:val="20"/>
                <w:szCs w:val="20"/>
                <w:lang w:eastAsia="lv-LV"/>
              </w:rPr>
            </w:pPr>
          </w:p>
        </w:tc>
      </w:tr>
      <w:tr w:rsidR="00061F03" w:rsidRPr="00061F03" w14:paraId="032084E8" w14:textId="77777777" w:rsidTr="00061F03">
        <w:trPr>
          <w:trHeight w:val="1680"/>
        </w:trPr>
        <w:tc>
          <w:tcPr>
            <w:tcW w:w="3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57A92671" w14:textId="77777777" w:rsidR="00061F03" w:rsidRPr="00061F03" w:rsidRDefault="00061F03" w:rsidP="00061F03">
            <w:pPr>
              <w:spacing w:line="240" w:lineRule="auto"/>
              <w:rPr>
                <w:sz w:val="20"/>
                <w:szCs w:val="20"/>
              </w:rPr>
            </w:pPr>
            <w:r w:rsidRPr="00061F03">
              <w:rPr>
                <w:rFonts w:eastAsia="Times New Roman"/>
                <w:b/>
                <w:bCs/>
                <w:sz w:val="20"/>
                <w:szCs w:val="20"/>
                <w:lang w:eastAsia="lv-LV"/>
              </w:rPr>
              <w:t xml:space="preserve">Pielāgošanās klimata pārmaiņām. </w:t>
            </w:r>
            <w:r w:rsidRPr="00061F03">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566"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0F349E9C" w14:textId="77777777" w:rsidR="00061F03" w:rsidRPr="00061F03" w:rsidRDefault="00061F03" w:rsidP="00061F03">
            <w:pPr>
              <w:spacing w:line="240" w:lineRule="auto"/>
              <w:jc w:val="center"/>
              <w:rPr>
                <w:rFonts w:eastAsia="Times New Roman"/>
                <w:b/>
                <w:bCs/>
                <w:sz w:val="20"/>
                <w:szCs w:val="20"/>
                <w:lang w:eastAsia="lv-LV"/>
              </w:rPr>
            </w:pPr>
            <w:r w:rsidRPr="00061F03">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70B58D2D" w14:textId="25843435" w:rsidR="00061F03" w:rsidRPr="00061F03" w:rsidRDefault="00061F03" w:rsidP="00061F03">
            <w:pPr>
              <w:spacing w:line="240" w:lineRule="auto"/>
              <w:jc w:val="both"/>
              <w:rPr>
                <w:rFonts w:eastAsia="Times New Roman"/>
                <w:sz w:val="20"/>
                <w:szCs w:val="20"/>
                <w:lang w:eastAsia="lv-LV"/>
              </w:rPr>
            </w:pPr>
            <w:proofErr w:type="spellStart"/>
            <w:r w:rsidRPr="00061F03">
              <w:rPr>
                <w:rFonts w:eastAsia="Times New Roman"/>
                <w:sz w:val="20"/>
                <w:szCs w:val="20"/>
                <w:lang w:eastAsia="lv-LV"/>
              </w:rPr>
              <w:t>Veloinfrastruktūras</w:t>
            </w:r>
            <w:proofErr w:type="spellEnd"/>
            <w:r w:rsidRPr="00061F03">
              <w:rPr>
                <w:rFonts w:eastAsia="Times New Roman"/>
                <w:sz w:val="20"/>
                <w:szCs w:val="20"/>
                <w:lang w:eastAsia="lv-LV"/>
              </w:rPr>
              <w:t xml:space="preserve"> </w:t>
            </w:r>
            <w:r w:rsidR="009118F7">
              <w:rPr>
                <w:rFonts w:eastAsia="Times New Roman"/>
                <w:sz w:val="20"/>
                <w:szCs w:val="20"/>
                <w:lang w:eastAsia="lv-LV"/>
              </w:rPr>
              <w:t>attīstība</w:t>
            </w:r>
            <w:r w:rsidRPr="00061F03">
              <w:rPr>
                <w:rFonts w:eastAsia="Times New Roman"/>
                <w:sz w:val="20"/>
                <w:szCs w:val="20"/>
                <w:lang w:eastAsia="lv-LV"/>
              </w:rPr>
              <w:t xml:space="preserve"> </w:t>
            </w:r>
            <w:r w:rsidRPr="00CB67CC">
              <w:rPr>
                <w:rFonts w:eastAsia="Calibri"/>
                <w:sz w:val="20"/>
                <w:szCs w:val="20"/>
              </w:rPr>
              <w:t>neizraisīs negatīvu ietekmi uz pašreizējā klimata un gaidāmā nākotnes klimata radītajām negatīvajām ietekmēm uz pašu pasākumu, cilvēkiem, dabu vai aktīviem (t.sk. infrastruktūru), kā arī neradīs negatīvu ietekmi uz pielāgošanās klimata pārmaiņām mērķu sasniegšanu</w:t>
            </w:r>
            <w:r w:rsidRPr="009118F7">
              <w:rPr>
                <w:rFonts w:eastAsia="Calibri"/>
                <w:sz w:val="20"/>
                <w:szCs w:val="20"/>
              </w:rPr>
              <w:t>,</w:t>
            </w:r>
            <w:r w:rsidRPr="00061F03">
              <w:rPr>
                <w:rFonts w:eastAsia="Calibri"/>
                <w:sz w:val="20"/>
                <w:szCs w:val="20"/>
              </w:rPr>
              <w:t xml:space="preserve"> jo pasākumu īstenošanā ir paredzēts ņemt vērā klimata pārmaiņu radītos potenciālos riskus, kā arī novērst to ietekmi.</w:t>
            </w:r>
          </w:p>
          <w:p w14:paraId="7FF5F4A0" w14:textId="7A26C713" w:rsidR="00061F03" w:rsidRDefault="00061F03" w:rsidP="00061F03">
            <w:pPr>
              <w:spacing w:line="240" w:lineRule="auto"/>
              <w:jc w:val="both"/>
              <w:rPr>
                <w:rFonts w:eastAsia="Times New Roman"/>
                <w:sz w:val="20"/>
                <w:szCs w:val="20"/>
                <w:lang w:eastAsia="lv-LV"/>
              </w:rPr>
            </w:pPr>
            <w:r w:rsidRPr="00061F03">
              <w:rPr>
                <w:rFonts w:eastAsia="Times New Roman"/>
                <w:sz w:val="20"/>
                <w:szCs w:val="20"/>
                <w:lang w:eastAsia="lv-LV"/>
              </w:rPr>
              <w:t xml:space="preserve"> </w:t>
            </w:r>
          </w:p>
          <w:p w14:paraId="42349374" w14:textId="77777777" w:rsidR="009118F7" w:rsidRPr="0054431E" w:rsidRDefault="009118F7" w:rsidP="009118F7">
            <w:pPr>
              <w:spacing w:line="240" w:lineRule="auto"/>
              <w:jc w:val="both"/>
              <w:rPr>
                <w:rFonts w:eastAsia="Times New Roman"/>
                <w:sz w:val="20"/>
                <w:szCs w:val="20"/>
                <w:lang w:eastAsia="lv-LV"/>
              </w:rPr>
            </w:pPr>
            <w:r w:rsidRPr="004E1B1A">
              <w:rPr>
                <w:rFonts w:eastAsia="Calibri"/>
                <w:sz w:val="20"/>
                <w:szCs w:val="20"/>
              </w:rPr>
              <w:t>Atsevišķs klimata risku un ievainojamības novērtējums par šo aktivitāti nav veikts. Analīze balstīta uz risku novērtējumiem, kas ir veikti par Latviju kopumā.</w:t>
            </w:r>
          </w:p>
          <w:p w14:paraId="76098DFF" w14:textId="77777777" w:rsidR="009118F7" w:rsidRPr="0054431E" w:rsidRDefault="009118F7" w:rsidP="009118F7">
            <w:pPr>
              <w:spacing w:line="240" w:lineRule="auto"/>
              <w:jc w:val="both"/>
              <w:rPr>
                <w:rFonts w:eastAsia="Times New Roman"/>
                <w:sz w:val="20"/>
                <w:szCs w:val="20"/>
                <w:lang w:eastAsia="lv-LV"/>
              </w:rPr>
            </w:pPr>
            <w:r w:rsidRPr="0054431E">
              <w:rPr>
                <w:rFonts w:eastAsia="Times New Roman"/>
                <w:sz w:val="20"/>
                <w:szCs w:val="20"/>
                <w:lang w:eastAsia="lv-LV"/>
              </w:rPr>
              <w:t xml:space="preserve"> </w:t>
            </w:r>
          </w:p>
          <w:p w14:paraId="67996D11" w14:textId="77777777" w:rsidR="009118F7" w:rsidRPr="004E1B1A" w:rsidRDefault="009118F7" w:rsidP="009118F7">
            <w:pPr>
              <w:spacing w:line="240" w:lineRule="auto"/>
              <w:jc w:val="both"/>
              <w:rPr>
                <w:rFonts w:eastAsia="Calibri"/>
                <w:b/>
                <w:bCs/>
                <w:sz w:val="20"/>
                <w:szCs w:val="20"/>
              </w:rPr>
            </w:pPr>
            <w:r w:rsidRPr="004E1B1A">
              <w:rPr>
                <w:rFonts w:eastAsia="Calibri"/>
                <w:b/>
                <w:bCs/>
                <w:sz w:val="20"/>
                <w:szCs w:val="20"/>
              </w:rPr>
              <w:t>Klimata pārmaiņu izpausmes, kas ietekmē paredzētās aktivitātes jomu</w:t>
            </w:r>
          </w:p>
          <w:p w14:paraId="3CB026E1" w14:textId="77777777" w:rsidR="009118F7" w:rsidRPr="00061F03" w:rsidRDefault="009118F7" w:rsidP="00061F03">
            <w:pPr>
              <w:spacing w:line="240" w:lineRule="auto"/>
              <w:jc w:val="both"/>
              <w:rPr>
                <w:rFonts w:eastAsia="Times New Roman"/>
                <w:sz w:val="20"/>
                <w:szCs w:val="20"/>
                <w:lang w:eastAsia="lv-LV"/>
              </w:rPr>
            </w:pPr>
          </w:p>
          <w:p w14:paraId="19B692F1" w14:textId="77777777" w:rsidR="00061F03" w:rsidRPr="00061F03" w:rsidRDefault="00061F03" w:rsidP="00061F03">
            <w:pPr>
              <w:shd w:val="clear" w:color="auto" w:fill="FFFFFF"/>
              <w:spacing w:line="240" w:lineRule="auto"/>
              <w:jc w:val="both"/>
              <w:rPr>
                <w:rFonts w:eastAsia="Times New Roman"/>
                <w:sz w:val="20"/>
                <w:szCs w:val="20"/>
                <w:lang w:eastAsia="lv-LV"/>
              </w:rPr>
            </w:pPr>
            <w:r w:rsidRPr="00061F03">
              <w:rPr>
                <w:rFonts w:eastAsia="Times New Roman"/>
                <w:sz w:val="20"/>
                <w:szCs w:val="20"/>
                <w:lang w:eastAsia="lv-LV"/>
              </w:rPr>
              <w:t>Latvijā transporta infrastruktūrai plānošanai ir būtiskas vairākas klimata pārmaiņu izpausmes (tai skaitā ekstrēmi)</w:t>
            </w:r>
            <w:r w:rsidRPr="00061F03">
              <w:rPr>
                <w:rFonts w:eastAsia="Times New Roman"/>
                <w:vertAlign w:val="superscript"/>
                <w:lang w:eastAsia="lv-LV"/>
              </w:rPr>
              <w:footnoteReference w:id="1"/>
            </w:r>
            <w:r w:rsidRPr="00061F03">
              <w:rPr>
                <w:rFonts w:eastAsia="Times New Roman"/>
                <w:sz w:val="20"/>
                <w:szCs w:val="20"/>
                <w:lang w:eastAsia="lv-LV"/>
              </w:rPr>
              <w:t>:</w:t>
            </w:r>
          </w:p>
          <w:p w14:paraId="0C2FE1EC" w14:textId="77777777" w:rsidR="00061F03" w:rsidRPr="00061F03" w:rsidRDefault="00061F03" w:rsidP="00061F03">
            <w:pPr>
              <w:shd w:val="clear" w:color="auto" w:fill="FFFFFF"/>
              <w:spacing w:line="240" w:lineRule="auto"/>
              <w:ind w:firstLine="300"/>
              <w:jc w:val="both"/>
              <w:rPr>
                <w:rFonts w:eastAsia="Times New Roman"/>
                <w:sz w:val="20"/>
                <w:szCs w:val="20"/>
                <w:lang w:eastAsia="lv-LV"/>
              </w:rPr>
            </w:pPr>
            <w:r w:rsidRPr="00061F03">
              <w:rPr>
                <w:rFonts w:eastAsia="Times New Roman"/>
                <w:sz w:val="20"/>
                <w:szCs w:val="20"/>
                <w:lang w:eastAsia="lv-LV"/>
              </w:rPr>
              <w:t>• gada vidējās gaisa temperatūras paaugstināšanās, karstuma viļņu biežuma un ilguma pieaugums, meteoroloģiskās vasaras pagarināšanās, diennakts maksimālās temperatūras maksimālās vērtības paaugstināšanās;</w:t>
            </w:r>
          </w:p>
          <w:p w14:paraId="23FAE152" w14:textId="77777777" w:rsidR="00061F03" w:rsidRPr="00061F03" w:rsidRDefault="00061F03" w:rsidP="00061F03">
            <w:pPr>
              <w:shd w:val="clear" w:color="auto" w:fill="FFFFFF"/>
              <w:spacing w:line="240" w:lineRule="auto"/>
              <w:ind w:firstLine="300"/>
              <w:jc w:val="both"/>
              <w:rPr>
                <w:rFonts w:eastAsia="Times New Roman"/>
                <w:sz w:val="20"/>
                <w:szCs w:val="20"/>
                <w:lang w:eastAsia="lv-LV"/>
              </w:rPr>
            </w:pPr>
            <w:r w:rsidRPr="00061F03">
              <w:rPr>
                <w:rFonts w:eastAsia="Times New Roman"/>
                <w:sz w:val="20"/>
                <w:szCs w:val="20"/>
                <w:lang w:eastAsia="lv-LV"/>
              </w:rPr>
              <w:t>• sala dienu un dienu skaita bez atkušņa samazināšanās;</w:t>
            </w:r>
          </w:p>
          <w:p w14:paraId="6AA2BE4F" w14:textId="77777777" w:rsidR="00061F03" w:rsidRPr="00061F03" w:rsidRDefault="00061F03" w:rsidP="00061F03">
            <w:pPr>
              <w:shd w:val="clear" w:color="auto" w:fill="FFFFFF"/>
              <w:spacing w:line="240" w:lineRule="auto"/>
              <w:ind w:firstLine="300"/>
              <w:jc w:val="both"/>
              <w:rPr>
                <w:rFonts w:eastAsia="Times New Roman"/>
                <w:sz w:val="20"/>
                <w:szCs w:val="20"/>
                <w:lang w:eastAsia="lv-LV"/>
              </w:rPr>
            </w:pPr>
            <w:r w:rsidRPr="00061F03">
              <w:rPr>
                <w:rFonts w:eastAsia="Times New Roman"/>
                <w:sz w:val="20"/>
                <w:szCs w:val="20"/>
                <w:lang w:eastAsia="lv-LV"/>
              </w:rPr>
              <w:t>• nokrišņu daudzuma palielināšanās un maksimālā vienas diennakts nokrišņu daudzuma palielināšanās, dienu skaita ar ļoti stipriem nokrišņiem palielināšanās, maksimālā piecu diennakšu nokrišņu daudzuma palielināšanās, virs normas strauju sniega nokrišņu palielināšanās;</w:t>
            </w:r>
          </w:p>
          <w:p w14:paraId="006BCD65" w14:textId="77777777" w:rsidR="00061F03" w:rsidRPr="00061F03" w:rsidRDefault="00061F03" w:rsidP="00061F03">
            <w:pPr>
              <w:shd w:val="clear" w:color="auto" w:fill="FFFFFF"/>
              <w:spacing w:line="240" w:lineRule="auto"/>
              <w:ind w:firstLine="300"/>
              <w:jc w:val="both"/>
              <w:rPr>
                <w:rFonts w:eastAsia="Times New Roman"/>
                <w:sz w:val="20"/>
                <w:szCs w:val="20"/>
                <w:lang w:eastAsia="lv-LV"/>
              </w:rPr>
            </w:pPr>
            <w:r w:rsidRPr="00061F03">
              <w:rPr>
                <w:rFonts w:eastAsia="Times New Roman"/>
                <w:sz w:val="20"/>
                <w:szCs w:val="20"/>
                <w:lang w:eastAsia="lv-LV"/>
              </w:rPr>
              <w:t>• vidējā jūras ūdens līmeņa celšanās ilgtermiņā un krasta erozija attīstība, kā arī gruntsūdeņa līmeņa svārstības, ko ietekmē nokrišņu un jūras ūdens līmeņa izmaiņas, un upju noteces režīma izmaiņas.</w:t>
            </w:r>
          </w:p>
          <w:p w14:paraId="42B3565C" w14:textId="77777777" w:rsidR="00061F03" w:rsidRPr="00061F03" w:rsidRDefault="00061F03" w:rsidP="00061F03">
            <w:pPr>
              <w:spacing w:line="240" w:lineRule="auto"/>
              <w:jc w:val="both"/>
              <w:rPr>
                <w:rFonts w:eastAsiaTheme="minorEastAsia"/>
                <w:sz w:val="20"/>
                <w:szCs w:val="20"/>
              </w:rPr>
            </w:pPr>
          </w:p>
          <w:p w14:paraId="7504E9E0" w14:textId="77777777" w:rsidR="00061F03" w:rsidRPr="00061F03" w:rsidRDefault="00061F03" w:rsidP="00061F03">
            <w:pPr>
              <w:spacing w:line="240" w:lineRule="auto"/>
              <w:jc w:val="both"/>
              <w:rPr>
                <w:rFonts w:eastAsia="Calibri"/>
                <w:sz w:val="20"/>
                <w:szCs w:val="20"/>
              </w:rPr>
            </w:pPr>
            <w:r w:rsidRPr="00061F03">
              <w:rPr>
                <w:rFonts w:eastAsia="Calibri"/>
                <w:b/>
                <w:bCs/>
                <w:sz w:val="20"/>
                <w:szCs w:val="20"/>
              </w:rPr>
              <w:t xml:space="preserve">Risku novērtējumos konstatētie klimata pārmaiņu radītie riski </w:t>
            </w:r>
            <w:r w:rsidRPr="00061F03">
              <w:rPr>
                <w:rFonts w:eastAsia="Calibri"/>
                <w:sz w:val="20"/>
                <w:szCs w:val="20"/>
              </w:rPr>
              <w:t xml:space="preserve"> un to iespējamās sekas:</w:t>
            </w:r>
          </w:p>
          <w:tbl>
            <w:tblPr>
              <w:tblStyle w:val="TableGrid1"/>
              <w:tblW w:w="584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167"/>
              <w:gridCol w:w="2269"/>
              <w:gridCol w:w="2409"/>
            </w:tblGrid>
            <w:tr w:rsidR="00061F03" w:rsidRPr="00061F03" w14:paraId="013BADA4" w14:textId="77777777" w:rsidTr="00061F03">
              <w:tc>
                <w:tcPr>
                  <w:tcW w:w="1167" w:type="dxa"/>
                  <w:vMerge w:val="restart"/>
                </w:tcPr>
                <w:p w14:paraId="588D359A" w14:textId="77777777" w:rsidR="00061F03" w:rsidRPr="00061F03" w:rsidRDefault="00061F03" w:rsidP="00061F03">
                  <w:pPr>
                    <w:spacing w:line="240" w:lineRule="auto"/>
                    <w:jc w:val="both"/>
                    <w:rPr>
                      <w:rFonts w:eastAsia="Calibri"/>
                      <w:sz w:val="20"/>
                      <w:szCs w:val="20"/>
                    </w:rPr>
                  </w:pPr>
                  <w:proofErr w:type="spellStart"/>
                  <w:r w:rsidRPr="00061F03">
                    <w:rPr>
                      <w:sz w:val="20"/>
                      <w:szCs w:val="20"/>
                    </w:rPr>
                    <w:t>Veloinfrastruktūra</w:t>
                  </w:r>
                  <w:proofErr w:type="spellEnd"/>
                </w:p>
              </w:tc>
              <w:tc>
                <w:tcPr>
                  <w:tcW w:w="2269" w:type="dxa"/>
                </w:tcPr>
                <w:p w14:paraId="3C4E3F45" w14:textId="77777777" w:rsidR="00061F03" w:rsidRPr="00061F03" w:rsidRDefault="00061F03" w:rsidP="00061F03">
                  <w:pPr>
                    <w:spacing w:line="240" w:lineRule="auto"/>
                    <w:jc w:val="both"/>
                    <w:rPr>
                      <w:rFonts w:eastAsia="Calibri"/>
                      <w:sz w:val="20"/>
                      <w:szCs w:val="20"/>
                    </w:rPr>
                  </w:pPr>
                  <w:r w:rsidRPr="00061F03">
                    <w:rPr>
                      <w:rFonts w:eastAsia="Calibri"/>
                      <w:b/>
                      <w:bCs/>
                      <w:sz w:val="20"/>
                      <w:szCs w:val="20"/>
                    </w:rPr>
                    <w:t>Uzplūdu radīto bojājumu pieaugums ceļiem jūras piekrastē un upju grīvas pilsētās</w:t>
                  </w:r>
                </w:p>
              </w:tc>
              <w:tc>
                <w:tcPr>
                  <w:tcW w:w="2409" w:type="dxa"/>
                </w:tcPr>
                <w:p w14:paraId="20DE0A3E" w14:textId="77777777" w:rsidR="00061F03" w:rsidRPr="00061F03" w:rsidRDefault="00061F03" w:rsidP="00061F03">
                  <w:pPr>
                    <w:spacing w:line="240" w:lineRule="auto"/>
                    <w:jc w:val="both"/>
                    <w:rPr>
                      <w:rFonts w:eastAsia="Calibri"/>
                      <w:sz w:val="20"/>
                      <w:szCs w:val="20"/>
                    </w:rPr>
                  </w:pPr>
                  <w:r w:rsidRPr="00061F03">
                    <w:rPr>
                      <w:rFonts w:eastAsia="Calibri"/>
                      <w:sz w:val="20"/>
                      <w:szCs w:val="20"/>
                    </w:rPr>
                    <w:t>Bojājumi ceļiem jūras piekrastē (krasta erozija un applūšana), bojājumi ceļiem upju grīvās; ceļu atjaunošanas nepieciešamība, tīrīšana vai slēgšana</w:t>
                  </w:r>
                </w:p>
              </w:tc>
            </w:tr>
            <w:tr w:rsidR="00061F03" w:rsidRPr="00061F03" w14:paraId="5772D811" w14:textId="77777777" w:rsidTr="00061F03">
              <w:tc>
                <w:tcPr>
                  <w:tcW w:w="1167" w:type="dxa"/>
                  <w:vMerge/>
                </w:tcPr>
                <w:p w14:paraId="69811A22" w14:textId="77777777" w:rsidR="00061F03" w:rsidRPr="00061F03" w:rsidRDefault="00061F03" w:rsidP="00061F03">
                  <w:pPr>
                    <w:spacing w:line="240" w:lineRule="auto"/>
                    <w:jc w:val="both"/>
                    <w:rPr>
                      <w:rFonts w:eastAsia="Calibri"/>
                      <w:sz w:val="20"/>
                      <w:szCs w:val="20"/>
                    </w:rPr>
                  </w:pPr>
                </w:p>
              </w:tc>
              <w:tc>
                <w:tcPr>
                  <w:tcW w:w="2269" w:type="dxa"/>
                </w:tcPr>
                <w:p w14:paraId="18D474FA" w14:textId="77777777" w:rsidR="00061F03" w:rsidRPr="00061F03" w:rsidRDefault="00061F03" w:rsidP="00061F03">
                  <w:pPr>
                    <w:spacing w:line="240" w:lineRule="auto"/>
                    <w:jc w:val="both"/>
                    <w:rPr>
                      <w:rFonts w:eastAsia="Calibri"/>
                      <w:sz w:val="20"/>
                      <w:szCs w:val="20"/>
                    </w:rPr>
                  </w:pPr>
                  <w:r w:rsidRPr="00061F03">
                    <w:rPr>
                      <w:rFonts w:eastAsia="Calibri"/>
                      <w:b/>
                      <w:bCs/>
                      <w:sz w:val="20"/>
                      <w:szCs w:val="20"/>
                    </w:rPr>
                    <w:t>Lietusgāžu plūdu radīto bojājumu pieaugums ceļiem</w:t>
                  </w:r>
                  <w:r w:rsidRPr="00061F03">
                    <w:rPr>
                      <w:rFonts w:eastAsia="Calibri"/>
                      <w:sz w:val="20"/>
                      <w:szCs w:val="20"/>
                    </w:rPr>
                    <w:t xml:space="preserve"> </w:t>
                  </w:r>
                  <w:r w:rsidRPr="00061F03">
                    <w:rPr>
                      <w:rFonts w:eastAsia="Calibri"/>
                      <w:b/>
                      <w:bCs/>
                      <w:sz w:val="20"/>
                      <w:szCs w:val="20"/>
                    </w:rPr>
                    <w:t>(kopā ar ceļu sasaluma perioda samazināšanos)</w:t>
                  </w:r>
                </w:p>
              </w:tc>
              <w:tc>
                <w:tcPr>
                  <w:tcW w:w="2409" w:type="dxa"/>
                </w:tcPr>
                <w:p w14:paraId="29986BF8" w14:textId="77777777" w:rsidR="00061F03" w:rsidRPr="00061F03" w:rsidRDefault="00061F03" w:rsidP="00061F03">
                  <w:pPr>
                    <w:spacing w:line="240" w:lineRule="auto"/>
                    <w:jc w:val="both"/>
                    <w:rPr>
                      <w:rFonts w:eastAsia="Calibri"/>
                      <w:sz w:val="20"/>
                      <w:szCs w:val="20"/>
                    </w:rPr>
                  </w:pPr>
                  <w:r w:rsidRPr="00061F03">
                    <w:rPr>
                      <w:rFonts w:eastAsia="Calibri"/>
                      <w:sz w:val="20"/>
                      <w:szCs w:val="20"/>
                    </w:rPr>
                    <w:t xml:space="preserve">Bojājumi ceļiem pilsētās ar kanalizācijas kapacitātes nepietiekamību, tuneļu applūšana; bojājumi ceļiem ārpus pilsētām (galvenokārt grants ceļu iegrimšana vai aizskalošana, uzbērumu nestabilitāte, nogruvumu veidošanās); ceļu atjaunošanas un tīrīšanas nepieciešamība; vides </w:t>
                  </w:r>
                  <w:r w:rsidRPr="00061F03">
                    <w:rPr>
                      <w:rFonts w:eastAsia="Calibri"/>
                      <w:sz w:val="20"/>
                      <w:szCs w:val="20"/>
                    </w:rPr>
                    <w:lastRenderedPageBreak/>
                    <w:t>piesārņojums; drošības un komforta samazināšanās; ceļu slēgšana</w:t>
                  </w:r>
                </w:p>
              </w:tc>
            </w:tr>
            <w:tr w:rsidR="00061F03" w:rsidRPr="00061F03" w14:paraId="3AB3C051" w14:textId="77777777" w:rsidTr="00061F03">
              <w:tc>
                <w:tcPr>
                  <w:tcW w:w="1167" w:type="dxa"/>
                  <w:vMerge/>
                </w:tcPr>
                <w:p w14:paraId="6BD7EF3F" w14:textId="77777777" w:rsidR="00061F03" w:rsidRPr="00061F03" w:rsidRDefault="00061F03" w:rsidP="00061F03">
                  <w:pPr>
                    <w:spacing w:line="240" w:lineRule="auto"/>
                    <w:jc w:val="both"/>
                    <w:rPr>
                      <w:rFonts w:eastAsia="Calibri"/>
                      <w:sz w:val="20"/>
                      <w:szCs w:val="20"/>
                    </w:rPr>
                  </w:pPr>
                </w:p>
              </w:tc>
              <w:tc>
                <w:tcPr>
                  <w:tcW w:w="2269" w:type="dxa"/>
                </w:tcPr>
                <w:p w14:paraId="56023361" w14:textId="77777777" w:rsidR="00061F03" w:rsidRPr="00061F03" w:rsidRDefault="00061F03" w:rsidP="00061F03">
                  <w:pPr>
                    <w:spacing w:line="240" w:lineRule="auto"/>
                    <w:jc w:val="both"/>
                    <w:rPr>
                      <w:rFonts w:eastAsia="Calibri"/>
                      <w:sz w:val="20"/>
                      <w:szCs w:val="20"/>
                    </w:rPr>
                  </w:pPr>
                  <w:r w:rsidRPr="00061F03">
                    <w:rPr>
                      <w:rFonts w:eastAsia="Calibri"/>
                      <w:b/>
                      <w:bCs/>
                      <w:sz w:val="20"/>
                      <w:szCs w:val="20"/>
                    </w:rPr>
                    <w:t>Asfalta pastiprināta kušana un citi ceļu seguma bojājumi</w:t>
                  </w:r>
                </w:p>
              </w:tc>
              <w:tc>
                <w:tcPr>
                  <w:tcW w:w="2409" w:type="dxa"/>
                </w:tcPr>
                <w:p w14:paraId="2D79F4DE" w14:textId="77777777" w:rsidR="00061F03" w:rsidRPr="00061F03" w:rsidRDefault="00061F03" w:rsidP="00061F03">
                  <w:pPr>
                    <w:spacing w:line="240" w:lineRule="auto"/>
                    <w:jc w:val="both"/>
                    <w:rPr>
                      <w:rFonts w:eastAsia="Calibri"/>
                      <w:sz w:val="20"/>
                      <w:szCs w:val="20"/>
                    </w:rPr>
                  </w:pPr>
                  <w:r w:rsidRPr="00061F03">
                    <w:rPr>
                      <w:rFonts w:eastAsia="Calibri"/>
                      <w:sz w:val="20"/>
                      <w:szCs w:val="20"/>
                    </w:rPr>
                    <w:t>Bojājumi ceļiem; satiksmes drošības pasliktināšanās</w:t>
                  </w:r>
                </w:p>
              </w:tc>
            </w:tr>
          </w:tbl>
          <w:p w14:paraId="1CE5AAD6" w14:textId="77777777" w:rsidR="00061F03" w:rsidRPr="00061F03" w:rsidRDefault="00061F03" w:rsidP="00061F03">
            <w:pPr>
              <w:spacing w:line="240" w:lineRule="auto"/>
              <w:jc w:val="both"/>
              <w:rPr>
                <w:rFonts w:eastAsia="Calibri"/>
                <w:sz w:val="20"/>
                <w:szCs w:val="20"/>
              </w:rPr>
            </w:pPr>
          </w:p>
          <w:p w14:paraId="31D78B31" w14:textId="77777777" w:rsidR="00061F03" w:rsidRPr="00061F03" w:rsidRDefault="00061F03" w:rsidP="00061F03">
            <w:pPr>
              <w:spacing w:line="240" w:lineRule="auto"/>
              <w:jc w:val="both"/>
              <w:rPr>
                <w:rFonts w:eastAsia="Calibri"/>
                <w:b/>
                <w:bCs/>
                <w:sz w:val="20"/>
                <w:szCs w:val="20"/>
              </w:rPr>
            </w:pPr>
            <w:r w:rsidRPr="00061F03">
              <w:rPr>
                <w:rFonts w:eastAsia="Calibri"/>
                <w:b/>
                <w:bCs/>
                <w:sz w:val="20"/>
                <w:szCs w:val="20"/>
              </w:rPr>
              <w:t>Potenciāli plānotie pasākumi un to sasaiste ar pielāgošanās klimata pārmaiņām mērķiem</w:t>
            </w:r>
          </w:p>
          <w:p w14:paraId="35039A2A" w14:textId="77777777" w:rsidR="00061F03" w:rsidRPr="00061F03" w:rsidRDefault="00061F03" w:rsidP="00061F03">
            <w:pPr>
              <w:spacing w:line="240" w:lineRule="auto"/>
              <w:jc w:val="both"/>
              <w:rPr>
                <w:rFonts w:eastAsiaTheme="minorEastAsia"/>
                <w:sz w:val="20"/>
                <w:szCs w:val="20"/>
              </w:rPr>
            </w:pPr>
            <w:r w:rsidRPr="00061F03">
              <w:rPr>
                <w:rFonts w:eastAsiaTheme="minorEastAsia"/>
                <w:sz w:val="20"/>
                <w:szCs w:val="20"/>
              </w:rPr>
              <w:t xml:space="preserve">Jau projektēšanas stadijā tiks ņemti vērā ar klimata pārmaiņām saistītie riski un tiks noteikti arī ar būvniecību, uzturēšanu un ekspluatāciju saistītie riski. Šāda pieeja ļauj pārvaldīt ar klimata pārmaiņām radītos riskus, t.i., izvērtēt pašreizējos un iespējamos nākotnes klimata riskus. Vienlaikus tas ļauj savlaicīgi izvērtēt arī finansiāli izdevīgākās adaptācijas iespējas. </w:t>
            </w:r>
          </w:p>
          <w:p w14:paraId="663DFC0C" w14:textId="77777777" w:rsidR="00061F03" w:rsidRPr="00061F03" w:rsidRDefault="00061F03" w:rsidP="00061F03">
            <w:pPr>
              <w:spacing w:line="240" w:lineRule="auto"/>
              <w:ind w:left="720"/>
              <w:contextualSpacing/>
              <w:jc w:val="both"/>
              <w:rPr>
                <w:rFonts w:eastAsiaTheme="minorEastAsia"/>
                <w:sz w:val="20"/>
                <w:szCs w:val="20"/>
              </w:rPr>
            </w:pPr>
            <w:r w:rsidRPr="00061F03">
              <w:rPr>
                <w:rFonts w:eastAsiaTheme="minorEastAsia"/>
                <w:sz w:val="20"/>
                <w:szCs w:val="20"/>
              </w:rPr>
              <w:t xml:space="preserve"> </w:t>
            </w:r>
          </w:p>
          <w:p w14:paraId="72FB3A70" w14:textId="77777777" w:rsidR="00061F03" w:rsidRPr="00061F03" w:rsidRDefault="00061F03" w:rsidP="00061F03">
            <w:pPr>
              <w:spacing w:line="240" w:lineRule="auto"/>
              <w:jc w:val="both"/>
              <w:rPr>
                <w:rFonts w:eastAsiaTheme="minorEastAsia"/>
                <w:sz w:val="20"/>
                <w:szCs w:val="20"/>
              </w:rPr>
            </w:pPr>
            <w:r w:rsidRPr="00061F03">
              <w:rPr>
                <w:rFonts w:eastAsia="Calibri"/>
                <w:b/>
                <w:bCs/>
                <w:sz w:val="20"/>
                <w:szCs w:val="20"/>
              </w:rPr>
              <w:t>Sasaiste ar nacionālajiem pielāgošanās klimata pārmaiņām plānošanas dokumentiem</w:t>
            </w:r>
          </w:p>
          <w:p w14:paraId="2AFDD1FA" w14:textId="77777777" w:rsidR="00061F03" w:rsidRPr="00061F03" w:rsidRDefault="00061F03" w:rsidP="00061F03">
            <w:pPr>
              <w:spacing w:line="240" w:lineRule="auto"/>
              <w:jc w:val="both"/>
              <w:rPr>
                <w:rFonts w:eastAsia="Calibri"/>
                <w:sz w:val="20"/>
                <w:szCs w:val="20"/>
              </w:rPr>
            </w:pPr>
            <w:r w:rsidRPr="00061F03">
              <w:rPr>
                <w:rFonts w:eastAsia="Calibri"/>
                <w:sz w:val="20"/>
                <w:szCs w:val="20"/>
              </w:rPr>
              <w:t xml:space="preserve">Viens no Latvijas pielāgošanās klimata pārmaiņām plānā laika posmam līdz 2030.gadam paredzētajiem rīcības virzieniem ir inženierkomunikāciju sistēmas un infrastruktūras nodrošināšana un pielāgošana klimata ekstrēmiem, kur viens no paredzētajiem pielāgošanās pasākumiem ir: nodrošināt  esošās transporta (autoceļu, dzelzceļa, lidostu, ostu) un elektronisko sakaru infrastruktūras pielāgošanu  klimata pārmaiņām. </w:t>
            </w:r>
          </w:p>
          <w:p w14:paraId="666D1DE3" w14:textId="77777777" w:rsidR="00061F03" w:rsidRPr="00061F03" w:rsidRDefault="00061F03" w:rsidP="00061F03">
            <w:pPr>
              <w:spacing w:line="240" w:lineRule="auto"/>
              <w:jc w:val="both"/>
              <w:rPr>
                <w:rFonts w:eastAsiaTheme="minorEastAsia"/>
                <w:sz w:val="20"/>
                <w:szCs w:val="20"/>
              </w:rPr>
            </w:pPr>
          </w:p>
        </w:tc>
      </w:tr>
      <w:tr w:rsidR="00061F03" w:rsidRPr="00061F03" w14:paraId="5B87FDE7" w14:textId="77777777" w:rsidTr="00061F03">
        <w:trPr>
          <w:trHeight w:val="1676"/>
        </w:trPr>
        <w:tc>
          <w:tcPr>
            <w:tcW w:w="3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119759ED" w14:textId="77777777" w:rsidR="00061F03" w:rsidRPr="00061F03" w:rsidRDefault="00061F03" w:rsidP="00061F03">
            <w:pPr>
              <w:spacing w:line="240" w:lineRule="auto"/>
              <w:rPr>
                <w:sz w:val="20"/>
                <w:szCs w:val="20"/>
              </w:rPr>
            </w:pPr>
            <w:r w:rsidRPr="00061F03">
              <w:rPr>
                <w:rFonts w:eastAsia="Times New Roman"/>
                <w:b/>
                <w:bCs/>
                <w:sz w:val="20"/>
                <w:szCs w:val="20"/>
                <w:lang w:eastAsia="lv-LV"/>
              </w:rPr>
              <w:lastRenderedPageBreak/>
              <w:t xml:space="preserve">Ilgtspējīga ūdens un jūras resursu izmantošana un aizsardzība. </w:t>
            </w:r>
            <w:r w:rsidRPr="00061F03">
              <w:rPr>
                <w:rFonts w:eastAsia="Times New Roman"/>
                <w:sz w:val="20"/>
                <w:szCs w:val="20"/>
                <w:lang w:eastAsia="lv-LV"/>
              </w:rPr>
              <w:t>Vai paredzams, ka pasākums kaitēs: (i) ūdensobjektu labam stāvoklim vai to labam ekoloģiskajam potenciālam, ieskaitot virszemes ūdeņus un gruntsūdeņus; vai (ii) jūras ūdeņu labam vides stāvoklim?</w:t>
            </w:r>
          </w:p>
        </w:tc>
        <w:tc>
          <w:tcPr>
            <w:tcW w:w="566"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7661A1ED" w14:textId="77777777" w:rsidR="00061F03" w:rsidRPr="00061F03" w:rsidRDefault="00061F03" w:rsidP="00061F03">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1A8E0739" w14:textId="77777777" w:rsidR="00061F03" w:rsidRPr="00061F03" w:rsidRDefault="00061F03" w:rsidP="00061F03">
            <w:pPr>
              <w:spacing w:line="240" w:lineRule="auto"/>
              <w:jc w:val="both"/>
              <w:rPr>
                <w:rFonts w:eastAsia="Times New Roman"/>
                <w:sz w:val="20"/>
                <w:szCs w:val="20"/>
                <w:lang w:eastAsia="lv-LV"/>
              </w:rPr>
            </w:pPr>
            <w:r w:rsidRPr="00061F03">
              <w:rPr>
                <w:rFonts w:eastAsia="Times New Roman"/>
                <w:sz w:val="20"/>
                <w:szCs w:val="20"/>
                <w:lang w:eastAsia="lv-LV"/>
              </w:rPr>
              <w:t>Skat. novērtējuma 1.daļu.</w:t>
            </w:r>
          </w:p>
          <w:p w14:paraId="55B7CE94" w14:textId="77777777" w:rsidR="00061F03" w:rsidRPr="00061F03" w:rsidRDefault="00061F03" w:rsidP="00061F03">
            <w:pPr>
              <w:spacing w:line="240" w:lineRule="auto"/>
              <w:rPr>
                <w:sz w:val="20"/>
                <w:szCs w:val="20"/>
                <w:lang w:eastAsia="lv-LV"/>
              </w:rPr>
            </w:pPr>
          </w:p>
          <w:p w14:paraId="077CD870" w14:textId="77777777" w:rsidR="00061F03" w:rsidRPr="00061F03" w:rsidRDefault="00061F03" w:rsidP="00061F03">
            <w:pPr>
              <w:spacing w:line="240" w:lineRule="auto"/>
              <w:ind w:left="173"/>
              <w:contextualSpacing/>
              <w:rPr>
                <w:sz w:val="20"/>
                <w:szCs w:val="20"/>
                <w:lang w:val="en-US" w:eastAsia="lv-LV"/>
              </w:rPr>
            </w:pPr>
          </w:p>
        </w:tc>
      </w:tr>
      <w:tr w:rsidR="00061F03" w:rsidRPr="00061F03" w14:paraId="5401D1B9" w14:textId="77777777" w:rsidTr="00061F03">
        <w:trPr>
          <w:trHeight w:val="687"/>
        </w:trPr>
        <w:tc>
          <w:tcPr>
            <w:tcW w:w="3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0B24701F" w14:textId="77777777" w:rsidR="00061F03" w:rsidRPr="00061F03" w:rsidRDefault="00061F03" w:rsidP="00061F03">
            <w:pPr>
              <w:spacing w:line="240" w:lineRule="auto"/>
              <w:rPr>
                <w:sz w:val="20"/>
                <w:szCs w:val="20"/>
              </w:rPr>
            </w:pPr>
            <w:r w:rsidRPr="00061F03">
              <w:rPr>
                <w:rFonts w:eastAsia="Times New Roman"/>
                <w:b/>
                <w:bCs/>
                <w:sz w:val="20"/>
                <w:szCs w:val="20"/>
                <w:lang w:eastAsia="lv-LV"/>
              </w:rPr>
              <w:t xml:space="preserve">Pāreja uz aprites ekonomiku, ieskaitot atkritumu rašanās novēršanu un to </w:t>
            </w:r>
            <w:proofErr w:type="spellStart"/>
            <w:r w:rsidRPr="00061F03">
              <w:rPr>
                <w:rFonts w:eastAsia="Times New Roman"/>
                <w:b/>
                <w:bCs/>
                <w:sz w:val="20"/>
                <w:szCs w:val="20"/>
                <w:lang w:eastAsia="lv-LV"/>
              </w:rPr>
              <w:t>reciklēšanu</w:t>
            </w:r>
            <w:proofErr w:type="spellEnd"/>
            <w:r w:rsidRPr="00061F03">
              <w:rPr>
                <w:rFonts w:eastAsia="Times New Roman"/>
                <w:sz w:val="20"/>
                <w:szCs w:val="20"/>
                <w:lang w:eastAsia="lv-LV"/>
              </w:rPr>
              <w:t xml:space="preserve">. Vai paredzams, ka pasākums: (i) būtiski palielinās atkritumu rašanos, </w:t>
            </w:r>
            <w:proofErr w:type="spellStart"/>
            <w:r w:rsidRPr="00061F03">
              <w:rPr>
                <w:rFonts w:eastAsia="Times New Roman"/>
                <w:sz w:val="20"/>
                <w:szCs w:val="20"/>
                <w:lang w:eastAsia="lv-LV"/>
              </w:rPr>
              <w:t>incinerāciju</w:t>
            </w:r>
            <w:proofErr w:type="spellEnd"/>
            <w:r w:rsidRPr="00061F03">
              <w:rPr>
                <w:rFonts w:eastAsia="Times New Roman"/>
                <w:sz w:val="20"/>
                <w:szCs w:val="20"/>
                <w:lang w:eastAsia="lv-LV"/>
              </w:rPr>
              <w:t xml:space="preserve"> vai apglabāšanu, izņemot nepārstrādājamu bīstamo atkritumu </w:t>
            </w:r>
            <w:proofErr w:type="spellStart"/>
            <w:r w:rsidRPr="00061F03">
              <w:rPr>
                <w:rFonts w:eastAsia="Times New Roman"/>
                <w:sz w:val="20"/>
                <w:szCs w:val="20"/>
                <w:lang w:eastAsia="lv-LV"/>
              </w:rPr>
              <w:t>incinerāciju</w:t>
            </w:r>
            <w:proofErr w:type="spellEnd"/>
            <w:r w:rsidRPr="00061F03">
              <w:rPr>
                <w:rFonts w:eastAsia="Times New Roman"/>
                <w:sz w:val="20"/>
                <w:szCs w:val="20"/>
                <w:lang w:eastAsia="lv-LV"/>
              </w:rPr>
              <w:t>; vai</w:t>
            </w:r>
            <w:r w:rsidRPr="00061F03">
              <w:rPr>
                <w:rFonts w:eastAsia="Times New Roman"/>
                <w:sz w:val="20"/>
                <w:szCs w:val="20"/>
                <w:lang w:eastAsia="lv-LV"/>
              </w:rPr>
              <w:br/>
              <w:t xml:space="preserve">(ii) dabas resursu tiešā vai netiešā izmantošanā jebkurā to aprites cikla posmā radīs būtisku </w:t>
            </w:r>
            <w:proofErr w:type="spellStart"/>
            <w:r w:rsidRPr="00061F03">
              <w:rPr>
                <w:rFonts w:eastAsia="Times New Roman"/>
                <w:sz w:val="20"/>
                <w:szCs w:val="20"/>
                <w:lang w:eastAsia="lv-LV"/>
              </w:rPr>
              <w:t>neefektivitāti</w:t>
            </w:r>
            <w:proofErr w:type="spellEnd"/>
            <w:r w:rsidRPr="00061F03">
              <w:rPr>
                <w:rFonts w:eastAsia="Times New Roman"/>
                <w:sz w:val="20"/>
                <w:szCs w:val="20"/>
                <w:lang w:eastAsia="lv-LV"/>
              </w:rPr>
              <w:t>, kas netiek samazināta līdz minimumam ar atbilstošiem pasākumiem; vai</w:t>
            </w:r>
            <w:r w:rsidRPr="00061F03">
              <w:rPr>
                <w:rFonts w:eastAsia="Times New Roman"/>
                <w:sz w:val="20"/>
                <w:szCs w:val="20"/>
                <w:lang w:eastAsia="lv-LV"/>
              </w:rPr>
              <w:br/>
              <w:t>(iii) radīs būtisku un ilgtermiņa kaitējumu videi attiecībā uz aprites ekonomiku?</w:t>
            </w:r>
          </w:p>
        </w:tc>
        <w:tc>
          <w:tcPr>
            <w:tcW w:w="566"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0FEE09A4" w14:textId="77777777" w:rsidR="00061F03" w:rsidRPr="00061F03" w:rsidRDefault="00061F03" w:rsidP="00061F03">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39F48AC8" w14:textId="77777777" w:rsidR="00061F03" w:rsidRPr="00061F03" w:rsidRDefault="00061F03" w:rsidP="00061F03">
            <w:pPr>
              <w:spacing w:line="240" w:lineRule="auto"/>
              <w:jc w:val="both"/>
              <w:rPr>
                <w:rFonts w:eastAsia="Times New Roman"/>
                <w:sz w:val="20"/>
                <w:szCs w:val="20"/>
                <w:lang w:eastAsia="lv-LV"/>
              </w:rPr>
            </w:pPr>
            <w:r w:rsidRPr="00061F03">
              <w:rPr>
                <w:rFonts w:eastAsia="Times New Roman"/>
                <w:sz w:val="20"/>
                <w:szCs w:val="20"/>
                <w:lang w:eastAsia="lv-LV"/>
              </w:rPr>
              <w:t>Skat. novērtējuma 1.daļu.</w:t>
            </w:r>
          </w:p>
          <w:p w14:paraId="757CE8F4" w14:textId="77777777" w:rsidR="00061F03" w:rsidRPr="00061F03" w:rsidRDefault="00061F03" w:rsidP="00061F03">
            <w:pPr>
              <w:suppressAutoHyphens/>
              <w:autoSpaceDN w:val="0"/>
              <w:spacing w:after="120" w:line="240" w:lineRule="auto"/>
              <w:jc w:val="both"/>
              <w:textAlignment w:val="baseline"/>
              <w:rPr>
                <w:rFonts w:eastAsia="Times New Roman"/>
                <w:sz w:val="20"/>
                <w:szCs w:val="20"/>
                <w:lang w:eastAsia="lv-LV"/>
              </w:rPr>
            </w:pPr>
          </w:p>
        </w:tc>
      </w:tr>
      <w:tr w:rsidR="00061F03" w:rsidRPr="00061F03" w14:paraId="456552FD" w14:textId="77777777" w:rsidTr="00061F03">
        <w:trPr>
          <w:trHeight w:val="542"/>
        </w:trPr>
        <w:tc>
          <w:tcPr>
            <w:tcW w:w="3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64D7946D" w14:textId="77777777" w:rsidR="00061F03" w:rsidRPr="00061F03" w:rsidRDefault="00061F03" w:rsidP="00061F03">
            <w:pPr>
              <w:spacing w:line="240" w:lineRule="auto"/>
              <w:rPr>
                <w:sz w:val="20"/>
                <w:szCs w:val="20"/>
              </w:rPr>
            </w:pPr>
            <w:r w:rsidRPr="00061F03">
              <w:rPr>
                <w:rFonts w:eastAsia="Times New Roman"/>
                <w:b/>
                <w:bCs/>
                <w:sz w:val="20"/>
                <w:szCs w:val="20"/>
                <w:lang w:eastAsia="lv-LV"/>
              </w:rPr>
              <w:t xml:space="preserve">Piesārņojuma novēršana un kontrole. </w:t>
            </w:r>
            <w:r w:rsidRPr="00061F03">
              <w:rPr>
                <w:rFonts w:eastAsia="Times New Roman"/>
                <w:sz w:val="20"/>
                <w:szCs w:val="20"/>
                <w:lang w:eastAsia="lv-LV"/>
              </w:rPr>
              <w:t>Vai paredzams, ka pasākums ievērojami palielinās piesārņotāju emisijas gaisā, ūdenī vai zemē?</w:t>
            </w:r>
          </w:p>
        </w:tc>
        <w:tc>
          <w:tcPr>
            <w:tcW w:w="566" w:type="dxa"/>
            <w:gridSpan w:val="2"/>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3D65FADB" w14:textId="77777777" w:rsidR="00061F03" w:rsidRPr="00061F03" w:rsidRDefault="00061F03" w:rsidP="00061F03">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0C55748F" w14:textId="77777777" w:rsidR="00061F03" w:rsidRPr="00061F03" w:rsidRDefault="00061F03" w:rsidP="00061F03">
            <w:pPr>
              <w:suppressAutoHyphens/>
              <w:autoSpaceDN w:val="0"/>
              <w:spacing w:after="120" w:line="240" w:lineRule="auto"/>
              <w:jc w:val="both"/>
              <w:textAlignment w:val="baseline"/>
              <w:rPr>
                <w:sz w:val="20"/>
                <w:szCs w:val="20"/>
              </w:rPr>
            </w:pPr>
            <w:r w:rsidRPr="00061F03">
              <w:rPr>
                <w:rFonts w:eastAsia="Times New Roman"/>
                <w:sz w:val="20"/>
                <w:szCs w:val="20"/>
                <w:lang w:eastAsia="lv-LV"/>
              </w:rPr>
              <w:t>Skat. novērtējuma 1.daļu.</w:t>
            </w:r>
          </w:p>
        </w:tc>
      </w:tr>
      <w:tr w:rsidR="00061F03" w:rsidRPr="00061F03" w14:paraId="1CB5859C" w14:textId="77777777" w:rsidTr="00061F03">
        <w:trPr>
          <w:trHeight w:val="1679"/>
        </w:trPr>
        <w:tc>
          <w:tcPr>
            <w:tcW w:w="3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5B2D80DC" w14:textId="77777777" w:rsidR="00061F03" w:rsidRPr="00061F03" w:rsidRDefault="00061F03" w:rsidP="00061F03">
            <w:pPr>
              <w:spacing w:line="240" w:lineRule="auto"/>
              <w:rPr>
                <w:sz w:val="20"/>
                <w:szCs w:val="20"/>
              </w:rPr>
            </w:pPr>
            <w:r w:rsidRPr="00061F03">
              <w:rPr>
                <w:rFonts w:eastAsia="Times New Roman"/>
                <w:b/>
                <w:bCs/>
                <w:sz w:val="20"/>
                <w:szCs w:val="20"/>
                <w:lang w:eastAsia="lv-LV"/>
              </w:rPr>
              <w:t>Bioloģiskās daudzveidības un ekosistēmu aizsardzība un atjaunošana.</w:t>
            </w:r>
            <w:r w:rsidRPr="00061F03">
              <w:rPr>
                <w:rFonts w:eastAsia="Times New Roman"/>
                <w:sz w:val="20"/>
                <w:szCs w:val="20"/>
                <w:lang w:eastAsia="lv-LV"/>
              </w:rPr>
              <w:t xml:space="preserve"> Vai paredzams, ka pasākums:</w:t>
            </w:r>
            <w:r w:rsidRPr="00061F03">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566" w:type="dxa"/>
            <w:gridSpan w:val="2"/>
            <w:tcBorders>
              <w:top w:val="single" w:sz="4" w:space="0" w:color="000000" w:themeColor="text1"/>
              <w:left w:val="single" w:sz="4" w:space="0" w:color="000000" w:themeColor="text1"/>
              <w:bottom w:val="single" w:sz="4" w:space="0" w:color="000000" w:themeColor="text1"/>
            </w:tcBorders>
            <w:shd w:val="clear" w:color="auto" w:fill="auto"/>
            <w:tcMar>
              <w:top w:w="15" w:type="dxa"/>
              <w:left w:w="108" w:type="dxa"/>
              <w:bottom w:w="15" w:type="dxa"/>
              <w:right w:w="108" w:type="dxa"/>
            </w:tcMar>
            <w:vAlign w:val="center"/>
          </w:tcPr>
          <w:p w14:paraId="7BB566AA" w14:textId="77777777" w:rsidR="00061F03" w:rsidRPr="00061F03" w:rsidRDefault="00061F03" w:rsidP="00061F03">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7930736D" w14:textId="77777777" w:rsidR="00061F03" w:rsidRPr="00061F03" w:rsidRDefault="00061F03" w:rsidP="00061F03">
            <w:pPr>
              <w:spacing w:line="240" w:lineRule="auto"/>
              <w:jc w:val="both"/>
              <w:rPr>
                <w:rFonts w:eastAsia="Times New Roman"/>
                <w:sz w:val="20"/>
                <w:szCs w:val="20"/>
                <w:lang w:eastAsia="lv-LV"/>
              </w:rPr>
            </w:pPr>
            <w:r w:rsidRPr="00061F03">
              <w:rPr>
                <w:rFonts w:eastAsia="Times New Roman"/>
                <w:sz w:val="20"/>
                <w:szCs w:val="20"/>
                <w:lang w:eastAsia="lv-LV"/>
              </w:rPr>
              <w:t>Skat. novērtējuma 1.daļu.</w:t>
            </w:r>
          </w:p>
          <w:p w14:paraId="52C91D8C" w14:textId="77777777" w:rsidR="00061F03" w:rsidRPr="00061F03" w:rsidRDefault="00061F03" w:rsidP="00061F03">
            <w:pPr>
              <w:spacing w:line="240" w:lineRule="auto"/>
              <w:rPr>
                <w:sz w:val="20"/>
                <w:szCs w:val="20"/>
                <w:lang w:eastAsia="lv-LV"/>
              </w:rPr>
            </w:pPr>
          </w:p>
          <w:p w14:paraId="087F74EE" w14:textId="77777777" w:rsidR="00061F03" w:rsidRPr="00061F03" w:rsidRDefault="00061F03" w:rsidP="00061F03">
            <w:pPr>
              <w:spacing w:line="240" w:lineRule="auto"/>
              <w:rPr>
                <w:sz w:val="20"/>
                <w:szCs w:val="20"/>
                <w:lang w:eastAsia="lv-LV"/>
              </w:rPr>
            </w:pPr>
          </w:p>
        </w:tc>
      </w:tr>
    </w:tbl>
    <w:p w14:paraId="2BE72D15" w14:textId="77777777" w:rsidR="00F66C96" w:rsidRDefault="00F66C96" w:rsidP="008B6EDE">
      <w:pPr>
        <w:spacing w:line="240" w:lineRule="auto"/>
        <w:jc w:val="center"/>
        <w:rPr>
          <w:rFonts w:eastAsia="Times New Roman"/>
          <w:b/>
          <w:sz w:val="20"/>
          <w:szCs w:val="20"/>
        </w:rPr>
      </w:pPr>
    </w:p>
    <w:sectPr w:rsidR="00F66C96"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E1DBA" w14:textId="77777777" w:rsidR="00587872" w:rsidRDefault="00587872" w:rsidP="003062B1">
      <w:pPr>
        <w:spacing w:line="240" w:lineRule="auto"/>
      </w:pPr>
      <w:r>
        <w:separator/>
      </w:r>
    </w:p>
  </w:endnote>
  <w:endnote w:type="continuationSeparator" w:id="0">
    <w:p w14:paraId="2C2285DF" w14:textId="77777777" w:rsidR="00587872" w:rsidRDefault="00587872"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09BB0" w14:textId="77777777" w:rsidR="00587872" w:rsidRDefault="00587872" w:rsidP="003062B1">
      <w:pPr>
        <w:spacing w:line="240" w:lineRule="auto"/>
      </w:pPr>
      <w:r>
        <w:separator/>
      </w:r>
    </w:p>
  </w:footnote>
  <w:footnote w:type="continuationSeparator" w:id="0">
    <w:p w14:paraId="00B4D63F" w14:textId="77777777" w:rsidR="00587872" w:rsidRDefault="00587872" w:rsidP="003062B1">
      <w:pPr>
        <w:spacing w:line="240" w:lineRule="auto"/>
      </w:pPr>
      <w:r>
        <w:continuationSeparator/>
      </w:r>
    </w:p>
  </w:footnote>
  <w:footnote w:id="1">
    <w:p w14:paraId="1299EC76" w14:textId="77777777" w:rsidR="00061F03" w:rsidRPr="007C22F0" w:rsidRDefault="00061F03" w:rsidP="00061F03">
      <w:pPr>
        <w:pStyle w:val="FootnoteText"/>
        <w:rPr>
          <w:rFonts w:ascii="Times New Roman" w:hAnsi="Times New Roman" w:cs="Times New Roman"/>
          <w:sz w:val="16"/>
          <w:szCs w:val="16"/>
        </w:rPr>
      </w:pPr>
      <w:r w:rsidRPr="007C22F0">
        <w:rPr>
          <w:rStyle w:val="FootnoteReference"/>
          <w:rFonts w:ascii="Times New Roman" w:hAnsi="Times New Roman" w:cs="Times New Roman"/>
          <w:sz w:val="16"/>
          <w:szCs w:val="16"/>
        </w:rPr>
        <w:footnoteRef/>
      </w:r>
      <w:r w:rsidRPr="007C22F0">
        <w:rPr>
          <w:rFonts w:ascii="Times New Roman" w:hAnsi="Times New Roman" w:cs="Times New Roman"/>
          <w:sz w:val="16"/>
          <w:szCs w:val="16"/>
        </w:rPr>
        <w:t xml:space="preserve"> MK (2018). Plāna projekts "Latvijas pielāgošanās klimata pārmaiņām plāns laika posmam līdz 2030.gadam". Tiesību aktu projekti. Pieejams: </w:t>
      </w:r>
      <w:hyperlink r:id="rId1" w:history="1">
        <w:r w:rsidRPr="007C22F0">
          <w:rPr>
            <w:rStyle w:val="Hyperlink"/>
            <w:rFonts w:ascii="Times New Roman" w:hAnsi="Times New Roman" w:cs="Times New Roman"/>
            <w:sz w:val="16"/>
            <w:szCs w:val="16"/>
          </w:rPr>
          <w:t>Latvijas Republikas Ministru Kabinets: Tiesību aktu projekti (mk.gov.lv)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E6F36"/>
    <w:multiLevelType w:val="hybridMultilevel"/>
    <w:tmpl w:val="5C28EEE2"/>
    <w:lvl w:ilvl="0" w:tplc="04260001">
      <w:start w:val="1"/>
      <w:numFmt w:val="bullet"/>
      <w:lvlText w:val=""/>
      <w:lvlJc w:val="left"/>
      <w:pPr>
        <w:ind w:left="720" w:hanging="360"/>
      </w:pPr>
      <w:rPr>
        <w:rFonts w:ascii="Symbol" w:hAnsi="Symbol" w:hint="default"/>
      </w:rPr>
    </w:lvl>
    <w:lvl w:ilvl="1" w:tplc="93049924">
      <w:start w:val="1"/>
      <w:numFmt w:val="lowerLetter"/>
      <w:lvlText w:val="%2."/>
      <w:lvlJc w:val="left"/>
      <w:pPr>
        <w:ind w:left="1440" w:hanging="360"/>
      </w:pPr>
    </w:lvl>
    <w:lvl w:ilvl="2" w:tplc="80D02B9E">
      <w:start w:val="1"/>
      <w:numFmt w:val="lowerRoman"/>
      <w:lvlText w:val="%3."/>
      <w:lvlJc w:val="right"/>
      <w:pPr>
        <w:ind w:left="2160" w:hanging="180"/>
      </w:pPr>
    </w:lvl>
    <w:lvl w:ilvl="3" w:tplc="D5141B5A">
      <w:start w:val="1"/>
      <w:numFmt w:val="decimal"/>
      <w:lvlText w:val="%4."/>
      <w:lvlJc w:val="left"/>
      <w:pPr>
        <w:ind w:left="2880" w:hanging="360"/>
      </w:pPr>
    </w:lvl>
    <w:lvl w:ilvl="4" w:tplc="B978D752">
      <w:start w:val="1"/>
      <w:numFmt w:val="lowerLetter"/>
      <w:lvlText w:val="%5."/>
      <w:lvlJc w:val="left"/>
      <w:pPr>
        <w:ind w:left="3600" w:hanging="360"/>
      </w:pPr>
    </w:lvl>
    <w:lvl w:ilvl="5" w:tplc="FBAC8A7E">
      <w:start w:val="1"/>
      <w:numFmt w:val="lowerRoman"/>
      <w:lvlText w:val="%6."/>
      <w:lvlJc w:val="right"/>
      <w:pPr>
        <w:ind w:left="4320" w:hanging="180"/>
      </w:pPr>
    </w:lvl>
    <w:lvl w:ilvl="6" w:tplc="97B09FF6">
      <w:start w:val="1"/>
      <w:numFmt w:val="decimal"/>
      <w:lvlText w:val="%7."/>
      <w:lvlJc w:val="left"/>
      <w:pPr>
        <w:ind w:left="5040" w:hanging="360"/>
      </w:pPr>
    </w:lvl>
    <w:lvl w:ilvl="7" w:tplc="1444D2AE">
      <w:start w:val="1"/>
      <w:numFmt w:val="lowerLetter"/>
      <w:lvlText w:val="%8."/>
      <w:lvlJc w:val="left"/>
      <w:pPr>
        <w:ind w:left="5760" w:hanging="360"/>
      </w:pPr>
    </w:lvl>
    <w:lvl w:ilvl="8" w:tplc="D3F857FE">
      <w:start w:val="1"/>
      <w:numFmt w:val="lowerRoman"/>
      <w:lvlText w:val="%9."/>
      <w:lvlJc w:val="right"/>
      <w:pPr>
        <w:ind w:left="6480" w:hanging="180"/>
      </w:pPr>
    </w:lvl>
  </w:abstractNum>
  <w:abstractNum w:abstractNumId="1"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131360D6"/>
    <w:multiLevelType w:val="hybridMultilevel"/>
    <w:tmpl w:val="FFFFFFFF"/>
    <w:lvl w:ilvl="0" w:tplc="8EDC1A62">
      <w:start w:val="1"/>
      <w:numFmt w:val="bullet"/>
      <w:lvlText w:val="·"/>
      <w:lvlJc w:val="left"/>
      <w:pPr>
        <w:ind w:left="720" w:hanging="360"/>
      </w:pPr>
      <w:rPr>
        <w:rFonts w:ascii="Symbol" w:hAnsi="Symbol" w:hint="default"/>
      </w:rPr>
    </w:lvl>
    <w:lvl w:ilvl="1" w:tplc="9B2A2BE2">
      <w:start w:val="1"/>
      <w:numFmt w:val="bullet"/>
      <w:lvlText w:val="o"/>
      <w:lvlJc w:val="left"/>
      <w:pPr>
        <w:ind w:left="1440" w:hanging="360"/>
      </w:pPr>
      <w:rPr>
        <w:rFonts w:ascii="Courier New" w:hAnsi="Courier New" w:hint="default"/>
      </w:rPr>
    </w:lvl>
    <w:lvl w:ilvl="2" w:tplc="D67045BA">
      <w:start w:val="1"/>
      <w:numFmt w:val="bullet"/>
      <w:lvlText w:val=""/>
      <w:lvlJc w:val="left"/>
      <w:pPr>
        <w:ind w:left="2160" w:hanging="360"/>
      </w:pPr>
      <w:rPr>
        <w:rFonts w:ascii="Wingdings" w:hAnsi="Wingdings" w:hint="default"/>
      </w:rPr>
    </w:lvl>
    <w:lvl w:ilvl="3" w:tplc="6D221048">
      <w:start w:val="1"/>
      <w:numFmt w:val="bullet"/>
      <w:lvlText w:val=""/>
      <w:lvlJc w:val="left"/>
      <w:pPr>
        <w:ind w:left="2880" w:hanging="360"/>
      </w:pPr>
      <w:rPr>
        <w:rFonts w:ascii="Symbol" w:hAnsi="Symbol" w:hint="default"/>
      </w:rPr>
    </w:lvl>
    <w:lvl w:ilvl="4" w:tplc="DF08C0B2">
      <w:start w:val="1"/>
      <w:numFmt w:val="bullet"/>
      <w:lvlText w:val="o"/>
      <w:lvlJc w:val="left"/>
      <w:pPr>
        <w:ind w:left="3600" w:hanging="360"/>
      </w:pPr>
      <w:rPr>
        <w:rFonts w:ascii="Courier New" w:hAnsi="Courier New" w:hint="default"/>
      </w:rPr>
    </w:lvl>
    <w:lvl w:ilvl="5" w:tplc="E404EED4">
      <w:start w:val="1"/>
      <w:numFmt w:val="bullet"/>
      <w:lvlText w:val=""/>
      <w:lvlJc w:val="left"/>
      <w:pPr>
        <w:ind w:left="4320" w:hanging="360"/>
      </w:pPr>
      <w:rPr>
        <w:rFonts w:ascii="Wingdings" w:hAnsi="Wingdings" w:hint="default"/>
      </w:rPr>
    </w:lvl>
    <w:lvl w:ilvl="6" w:tplc="036221C6">
      <w:start w:val="1"/>
      <w:numFmt w:val="bullet"/>
      <w:lvlText w:val=""/>
      <w:lvlJc w:val="left"/>
      <w:pPr>
        <w:ind w:left="5040" w:hanging="360"/>
      </w:pPr>
      <w:rPr>
        <w:rFonts w:ascii="Symbol" w:hAnsi="Symbol" w:hint="default"/>
      </w:rPr>
    </w:lvl>
    <w:lvl w:ilvl="7" w:tplc="1456AF1C">
      <w:start w:val="1"/>
      <w:numFmt w:val="bullet"/>
      <w:lvlText w:val="o"/>
      <w:lvlJc w:val="left"/>
      <w:pPr>
        <w:ind w:left="5760" w:hanging="360"/>
      </w:pPr>
      <w:rPr>
        <w:rFonts w:ascii="Courier New" w:hAnsi="Courier New" w:hint="default"/>
      </w:rPr>
    </w:lvl>
    <w:lvl w:ilvl="8" w:tplc="700E2CBE">
      <w:start w:val="1"/>
      <w:numFmt w:val="bullet"/>
      <w:lvlText w:val=""/>
      <w:lvlJc w:val="left"/>
      <w:pPr>
        <w:ind w:left="6480" w:hanging="360"/>
      </w:pPr>
      <w:rPr>
        <w:rFonts w:ascii="Wingdings" w:hAnsi="Wingdings" w:hint="default"/>
      </w:rPr>
    </w:lvl>
  </w:abstractNum>
  <w:abstractNum w:abstractNumId="3" w15:restartNumberingAfterBreak="0">
    <w:nsid w:val="13607196"/>
    <w:multiLevelType w:val="hybridMultilevel"/>
    <w:tmpl w:val="BE601278"/>
    <w:lvl w:ilvl="0" w:tplc="B502C4D6">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156F7EA1"/>
    <w:multiLevelType w:val="hybridMultilevel"/>
    <w:tmpl w:val="FFFFFFFF"/>
    <w:lvl w:ilvl="0" w:tplc="9A7C332C">
      <w:start w:val="1"/>
      <w:numFmt w:val="bullet"/>
      <w:lvlText w:val="·"/>
      <w:lvlJc w:val="left"/>
      <w:pPr>
        <w:ind w:left="720" w:hanging="360"/>
      </w:pPr>
      <w:rPr>
        <w:rFonts w:ascii="Symbol" w:hAnsi="Symbol" w:hint="default"/>
      </w:rPr>
    </w:lvl>
    <w:lvl w:ilvl="1" w:tplc="AEC0A3BC">
      <w:start w:val="1"/>
      <w:numFmt w:val="bullet"/>
      <w:lvlText w:val="o"/>
      <w:lvlJc w:val="left"/>
      <w:pPr>
        <w:ind w:left="1440" w:hanging="360"/>
      </w:pPr>
      <w:rPr>
        <w:rFonts w:ascii="Courier New" w:hAnsi="Courier New" w:hint="default"/>
      </w:rPr>
    </w:lvl>
    <w:lvl w:ilvl="2" w:tplc="E09097FA">
      <w:start w:val="1"/>
      <w:numFmt w:val="bullet"/>
      <w:lvlText w:val=""/>
      <w:lvlJc w:val="left"/>
      <w:pPr>
        <w:ind w:left="2160" w:hanging="360"/>
      </w:pPr>
      <w:rPr>
        <w:rFonts w:ascii="Wingdings" w:hAnsi="Wingdings" w:hint="default"/>
      </w:rPr>
    </w:lvl>
    <w:lvl w:ilvl="3" w:tplc="CF66307E">
      <w:start w:val="1"/>
      <w:numFmt w:val="bullet"/>
      <w:lvlText w:val=""/>
      <w:lvlJc w:val="left"/>
      <w:pPr>
        <w:ind w:left="2880" w:hanging="360"/>
      </w:pPr>
      <w:rPr>
        <w:rFonts w:ascii="Symbol" w:hAnsi="Symbol" w:hint="default"/>
      </w:rPr>
    </w:lvl>
    <w:lvl w:ilvl="4" w:tplc="DF4C1F32">
      <w:start w:val="1"/>
      <w:numFmt w:val="bullet"/>
      <w:lvlText w:val="o"/>
      <w:lvlJc w:val="left"/>
      <w:pPr>
        <w:ind w:left="3600" w:hanging="360"/>
      </w:pPr>
      <w:rPr>
        <w:rFonts w:ascii="Courier New" w:hAnsi="Courier New" w:hint="default"/>
      </w:rPr>
    </w:lvl>
    <w:lvl w:ilvl="5" w:tplc="470AD69C">
      <w:start w:val="1"/>
      <w:numFmt w:val="bullet"/>
      <w:lvlText w:val=""/>
      <w:lvlJc w:val="left"/>
      <w:pPr>
        <w:ind w:left="4320" w:hanging="360"/>
      </w:pPr>
      <w:rPr>
        <w:rFonts w:ascii="Wingdings" w:hAnsi="Wingdings" w:hint="default"/>
      </w:rPr>
    </w:lvl>
    <w:lvl w:ilvl="6" w:tplc="CB202ECE">
      <w:start w:val="1"/>
      <w:numFmt w:val="bullet"/>
      <w:lvlText w:val=""/>
      <w:lvlJc w:val="left"/>
      <w:pPr>
        <w:ind w:left="5040" w:hanging="360"/>
      </w:pPr>
      <w:rPr>
        <w:rFonts w:ascii="Symbol" w:hAnsi="Symbol" w:hint="default"/>
      </w:rPr>
    </w:lvl>
    <w:lvl w:ilvl="7" w:tplc="071285C0">
      <w:start w:val="1"/>
      <w:numFmt w:val="bullet"/>
      <w:lvlText w:val="o"/>
      <w:lvlJc w:val="left"/>
      <w:pPr>
        <w:ind w:left="5760" w:hanging="360"/>
      </w:pPr>
      <w:rPr>
        <w:rFonts w:ascii="Courier New" w:hAnsi="Courier New" w:hint="default"/>
      </w:rPr>
    </w:lvl>
    <w:lvl w:ilvl="8" w:tplc="A0D0C42A">
      <w:start w:val="1"/>
      <w:numFmt w:val="bullet"/>
      <w:lvlText w:val=""/>
      <w:lvlJc w:val="left"/>
      <w:pPr>
        <w:ind w:left="6480" w:hanging="360"/>
      </w:pPr>
      <w:rPr>
        <w:rFonts w:ascii="Wingdings" w:hAnsi="Wingdings" w:hint="default"/>
      </w:rPr>
    </w:lvl>
  </w:abstractNum>
  <w:abstractNum w:abstractNumId="5" w15:restartNumberingAfterBreak="0">
    <w:nsid w:val="158413CF"/>
    <w:multiLevelType w:val="hybridMultilevel"/>
    <w:tmpl w:val="21A40E0A"/>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6" w15:restartNumberingAfterBreak="0">
    <w:nsid w:val="236768AC"/>
    <w:multiLevelType w:val="hybridMultilevel"/>
    <w:tmpl w:val="A4A49C1C"/>
    <w:lvl w:ilvl="0" w:tplc="04260001">
      <w:start w:val="1"/>
      <w:numFmt w:val="bullet"/>
      <w:lvlText w:val=""/>
      <w:lvlJc w:val="left"/>
      <w:pPr>
        <w:ind w:left="764" w:hanging="360"/>
      </w:pPr>
      <w:rPr>
        <w:rFonts w:ascii="Symbol" w:hAnsi="Symbol" w:hint="default"/>
      </w:rPr>
    </w:lvl>
    <w:lvl w:ilvl="1" w:tplc="04260003" w:tentative="1">
      <w:start w:val="1"/>
      <w:numFmt w:val="bullet"/>
      <w:lvlText w:val="o"/>
      <w:lvlJc w:val="left"/>
      <w:pPr>
        <w:ind w:left="1484" w:hanging="360"/>
      </w:pPr>
      <w:rPr>
        <w:rFonts w:ascii="Courier New" w:hAnsi="Courier New" w:cs="Courier New" w:hint="default"/>
      </w:rPr>
    </w:lvl>
    <w:lvl w:ilvl="2" w:tplc="04260005" w:tentative="1">
      <w:start w:val="1"/>
      <w:numFmt w:val="bullet"/>
      <w:lvlText w:val=""/>
      <w:lvlJc w:val="left"/>
      <w:pPr>
        <w:ind w:left="2204" w:hanging="360"/>
      </w:pPr>
      <w:rPr>
        <w:rFonts w:ascii="Wingdings" w:hAnsi="Wingdings" w:hint="default"/>
      </w:rPr>
    </w:lvl>
    <w:lvl w:ilvl="3" w:tplc="04260001" w:tentative="1">
      <w:start w:val="1"/>
      <w:numFmt w:val="bullet"/>
      <w:lvlText w:val=""/>
      <w:lvlJc w:val="left"/>
      <w:pPr>
        <w:ind w:left="2924" w:hanging="360"/>
      </w:pPr>
      <w:rPr>
        <w:rFonts w:ascii="Symbol" w:hAnsi="Symbol" w:hint="default"/>
      </w:rPr>
    </w:lvl>
    <w:lvl w:ilvl="4" w:tplc="04260003" w:tentative="1">
      <w:start w:val="1"/>
      <w:numFmt w:val="bullet"/>
      <w:lvlText w:val="o"/>
      <w:lvlJc w:val="left"/>
      <w:pPr>
        <w:ind w:left="3644" w:hanging="360"/>
      </w:pPr>
      <w:rPr>
        <w:rFonts w:ascii="Courier New" w:hAnsi="Courier New" w:cs="Courier New" w:hint="default"/>
      </w:rPr>
    </w:lvl>
    <w:lvl w:ilvl="5" w:tplc="04260005" w:tentative="1">
      <w:start w:val="1"/>
      <w:numFmt w:val="bullet"/>
      <w:lvlText w:val=""/>
      <w:lvlJc w:val="left"/>
      <w:pPr>
        <w:ind w:left="4364" w:hanging="360"/>
      </w:pPr>
      <w:rPr>
        <w:rFonts w:ascii="Wingdings" w:hAnsi="Wingdings" w:hint="default"/>
      </w:rPr>
    </w:lvl>
    <w:lvl w:ilvl="6" w:tplc="04260001" w:tentative="1">
      <w:start w:val="1"/>
      <w:numFmt w:val="bullet"/>
      <w:lvlText w:val=""/>
      <w:lvlJc w:val="left"/>
      <w:pPr>
        <w:ind w:left="5084" w:hanging="360"/>
      </w:pPr>
      <w:rPr>
        <w:rFonts w:ascii="Symbol" w:hAnsi="Symbol" w:hint="default"/>
      </w:rPr>
    </w:lvl>
    <w:lvl w:ilvl="7" w:tplc="04260003" w:tentative="1">
      <w:start w:val="1"/>
      <w:numFmt w:val="bullet"/>
      <w:lvlText w:val="o"/>
      <w:lvlJc w:val="left"/>
      <w:pPr>
        <w:ind w:left="5804" w:hanging="360"/>
      </w:pPr>
      <w:rPr>
        <w:rFonts w:ascii="Courier New" w:hAnsi="Courier New" w:cs="Courier New" w:hint="default"/>
      </w:rPr>
    </w:lvl>
    <w:lvl w:ilvl="8" w:tplc="04260005" w:tentative="1">
      <w:start w:val="1"/>
      <w:numFmt w:val="bullet"/>
      <w:lvlText w:val=""/>
      <w:lvlJc w:val="left"/>
      <w:pPr>
        <w:ind w:left="6524" w:hanging="360"/>
      </w:pPr>
      <w:rPr>
        <w:rFonts w:ascii="Wingdings" w:hAnsi="Wingdings" w:hint="default"/>
      </w:rPr>
    </w:lvl>
  </w:abstractNum>
  <w:abstractNum w:abstractNumId="7" w15:restartNumberingAfterBreak="0">
    <w:nsid w:val="23B336DC"/>
    <w:multiLevelType w:val="hybridMultilevel"/>
    <w:tmpl w:val="854E8136"/>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8" w15:restartNumberingAfterBreak="0">
    <w:nsid w:val="2FBA2C59"/>
    <w:multiLevelType w:val="hybridMultilevel"/>
    <w:tmpl w:val="069007A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4219693E"/>
    <w:multiLevelType w:val="hybridMultilevel"/>
    <w:tmpl w:val="665A214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43AB44BC"/>
    <w:multiLevelType w:val="hybridMultilevel"/>
    <w:tmpl w:val="6FB86DB4"/>
    <w:lvl w:ilvl="0" w:tplc="8E245E34">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2" w15:restartNumberingAfterBreak="0">
    <w:nsid w:val="569903A4"/>
    <w:multiLevelType w:val="hybridMultilevel"/>
    <w:tmpl w:val="FFFFFFFF"/>
    <w:lvl w:ilvl="0" w:tplc="C7548DE2">
      <w:start w:val="1"/>
      <w:numFmt w:val="bullet"/>
      <w:lvlText w:val="·"/>
      <w:lvlJc w:val="left"/>
      <w:pPr>
        <w:ind w:left="720" w:hanging="360"/>
      </w:pPr>
      <w:rPr>
        <w:rFonts w:ascii="Symbol" w:hAnsi="Symbol" w:hint="default"/>
      </w:rPr>
    </w:lvl>
    <w:lvl w:ilvl="1" w:tplc="889C3AF2">
      <w:start w:val="1"/>
      <w:numFmt w:val="bullet"/>
      <w:lvlText w:val="o"/>
      <w:lvlJc w:val="left"/>
      <w:pPr>
        <w:ind w:left="1440" w:hanging="360"/>
      </w:pPr>
      <w:rPr>
        <w:rFonts w:ascii="Courier New" w:hAnsi="Courier New" w:hint="default"/>
      </w:rPr>
    </w:lvl>
    <w:lvl w:ilvl="2" w:tplc="B58093F8">
      <w:start w:val="1"/>
      <w:numFmt w:val="bullet"/>
      <w:lvlText w:val=""/>
      <w:lvlJc w:val="left"/>
      <w:pPr>
        <w:ind w:left="2160" w:hanging="360"/>
      </w:pPr>
      <w:rPr>
        <w:rFonts w:ascii="Wingdings" w:hAnsi="Wingdings" w:hint="default"/>
      </w:rPr>
    </w:lvl>
    <w:lvl w:ilvl="3" w:tplc="F4D417FA">
      <w:start w:val="1"/>
      <w:numFmt w:val="bullet"/>
      <w:lvlText w:val=""/>
      <w:lvlJc w:val="left"/>
      <w:pPr>
        <w:ind w:left="2880" w:hanging="360"/>
      </w:pPr>
      <w:rPr>
        <w:rFonts w:ascii="Symbol" w:hAnsi="Symbol" w:hint="default"/>
      </w:rPr>
    </w:lvl>
    <w:lvl w:ilvl="4" w:tplc="365E00EC">
      <w:start w:val="1"/>
      <w:numFmt w:val="bullet"/>
      <w:lvlText w:val="o"/>
      <w:lvlJc w:val="left"/>
      <w:pPr>
        <w:ind w:left="3600" w:hanging="360"/>
      </w:pPr>
      <w:rPr>
        <w:rFonts w:ascii="Courier New" w:hAnsi="Courier New" w:hint="default"/>
      </w:rPr>
    </w:lvl>
    <w:lvl w:ilvl="5" w:tplc="987C667A">
      <w:start w:val="1"/>
      <w:numFmt w:val="bullet"/>
      <w:lvlText w:val=""/>
      <w:lvlJc w:val="left"/>
      <w:pPr>
        <w:ind w:left="4320" w:hanging="360"/>
      </w:pPr>
      <w:rPr>
        <w:rFonts w:ascii="Wingdings" w:hAnsi="Wingdings" w:hint="default"/>
      </w:rPr>
    </w:lvl>
    <w:lvl w:ilvl="6" w:tplc="E57ECD2A">
      <w:start w:val="1"/>
      <w:numFmt w:val="bullet"/>
      <w:lvlText w:val=""/>
      <w:lvlJc w:val="left"/>
      <w:pPr>
        <w:ind w:left="5040" w:hanging="360"/>
      </w:pPr>
      <w:rPr>
        <w:rFonts w:ascii="Symbol" w:hAnsi="Symbol" w:hint="default"/>
      </w:rPr>
    </w:lvl>
    <w:lvl w:ilvl="7" w:tplc="426A6FB4">
      <w:start w:val="1"/>
      <w:numFmt w:val="bullet"/>
      <w:lvlText w:val="o"/>
      <w:lvlJc w:val="left"/>
      <w:pPr>
        <w:ind w:left="5760" w:hanging="360"/>
      </w:pPr>
      <w:rPr>
        <w:rFonts w:ascii="Courier New" w:hAnsi="Courier New" w:hint="default"/>
      </w:rPr>
    </w:lvl>
    <w:lvl w:ilvl="8" w:tplc="B56A3076">
      <w:start w:val="1"/>
      <w:numFmt w:val="bullet"/>
      <w:lvlText w:val=""/>
      <w:lvlJc w:val="left"/>
      <w:pPr>
        <w:ind w:left="6480" w:hanging="360"/>
      </w:pPr>
      <w:rPr>
        <w:rFonts w:ascii="Wingdings" w:hAnsi="Wingdings" w:hint="default"/>
      </w:rPr>
    </w:lvl>
  </w:abstractNum>
  <w:abstractNum w:abstractNumId="13" w15:restartNumberingAfterBreak="0">
    <w:nsid w:val="5C962C9D"/>
    <w:multiLevelType w:val="hybridMultilevel"/>
    <w:tmpl w:val="FFFFFFFF"/>
    <w:lvl w:ilvl="0" w:tplc="7E5AB624">
      <w:start w:val="1"/>
      <w:numFmt w:val="bullet"/>
      <w:lvlText w:val="·"/>
      <w:lvlJc w:val="left"/>
      <w:pPr>
        <w:ind w:left="720" w:hanging="360"/>
      </w:pPr>
      <w:rPr>
        <w:rFonts w:ascii="Symbol" w:hAnsi="Symbol" w:hint="default"/>
      </w:rPr>
    </w:lvl>
    <w:lvl w:ilvl="1" w:tplc="28886028">
      <w:start w:val="1"/>
      <w:numFmt w:val="bullet"/>
      <w:lvlText w:val="o"/>
      <w:lvlJc w:val="left"/>
      <w:pPr>
        <w:ind w:left="1440" w:hanging="360"/>
      </w:pPr>
      <w:rPr>
        <w:rFonts w:ascii="Courier New" w:hAnsi="Courier New" w:hint="default"/>
      </w:rPr>
    </w:lvl>
    <w:lvl w:ilvl="2" w:tplc="3508BEEE">
      <w:start w:val="1"/>
      <w:numFmt w:val="bullet"/>
      <w:lvlText w:val=""/>
      <w:lvlJc w:val="left"/>
      <w:pPr>
        <w:ind w:left="2160" w:hanging="360"/>
      </w:pPr>
      <w:rPr>
        <w:rFonts w:ascii="Wingdings" w:hAnsi="Wingdings" w:hint="default"/>
      </w:rPr>
    </w:lvl>
    <w:lvl w:ilvl="3" w:tplc="383CA3B0">
      <w:start w:val="1"/>
      <w:numFmt w:val="bullet"/>
      <w:lvlText w:val=""/>
      <w:lvlJc w:val="left"/>
      <w:pPr>
        <w:ind w:left="2880" w:hanging="360"/>
      </w:pPr>
      <w:rPr>
        <w:rFonts w:ascii="Symbol" w:hAnsi="Symbol" w:hint="default"/>
      </w:rPr>
    </w:lvl>
    <w:lvl w:ilvl="4" w:tplc="11E62052">
      <w:start w:val="1"/>
      <w:numFmt w:val="bullet"/>
      <w:lvlText w:val="o"/>
      <w:lvlJc w:val="left"/>
      <w:pPr>
        <w:ind w:left="3600" w:hanging="360"/>
      </w:pPr>
      <w:rPr>
        <w:rFonts w:ascii="Courier New" w:hAnsi="Courier New" w:hint="default"/>
      </w:rPr>
    </w:lvl>
    <w:lvl w:ilvl="5" w:tplc="32EAA976">
      <w:start w:val="1"/>
      <w:numFmt w:val="bullet"/>
      <w:lvlText w:val=""/>
      <w:lvlJc w:val="left"/>
      <w:pPr>
        <w:ind w:left="4320" w:hanging="360"/>
      </w:pPr>
      <w:rPr>
        <w:rFonts w:ascii="Wingdings" w:hAnsi="Wingdings" w:hint="default"/>
      </w:rPr>
    </w:lvl>
    <w:lvl w:ilvl="6" w:tplc="B704C1E2">
      <w:start w:val="1"/>
      <w:numFmt w:val="bullet"/>
      <w:lvlText w:val=""/>
      <w:lvlJc w:val="left"/>
      <w:pPr>
        <w:ind w:left="5040" w:hanging="360"/>
      </w:pPr>
      <w:rPr>
        <w:rFonts w:ascii="Symbol" w:hAnsi="Symbol" w:hint="default"/>
      </w:rPr>
    </w:lvl>
    <w:lvl w:ilvl="7" w:tplc="866C40DA">
      <w:start w:val="1"/>
      <w:numFmt w:val="bullet"/>
      <w:lvlText w:val="o"/>
      <w:lvlJc w:val="left"/>
      <w:pPr>
        <w:ind w:left="5760" w:hanging="360"/>
      </w:pPr>
      <w:rPr>
        <w:rFonts w:ascii="Courier New" w:hAnsi="Courier New" w:hint="default"/>
      </w:rPr>
    </w:lvl>
    <w:lvl w:ilvl="8" w:tplc="5F34D630">
      <w:start w:val="1"/>
      <w:numFmt w:val="bullet"/>
      <w:lvlText w:val=""/>
      <w:lvlJc w:val="left"/>
      <w:pPr>
        <w:ind w:left="6480" w:hanging="360"/>
      </w:pPr>
      <w:rPr>
        <w:rFonts w:ascii="Wingdings" w:hAnsi="Wingdings" w:hint="default"/>
      </w:rPr>
    </w:lvl>
  </w:abstractNum>
  <w:abstractNum w:abstractNumId="14" w15:restartNumberingAfterBreak="0">
    <w:nsid w:val="649D3725"/>
    <w:multiLevelType w:val="hybridMultilevel"/>
    <w:tmpl w:val="0EA8B89C"/>
    <w:lvl w:ilvl="0" w:tplc="60E23E86">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15:restartNumberingAfterBreak="0">
    <w:nsid w:val="654A12F1"/>
    <w:multiLevelType w:val="hybridMultilevel"/>
    <w:tmpl w:val="FFFFFFFF"/>
    <w:lvl w:ilvl="0" w:tplc="9FBA1E62">
      <w:start w:val="1"/>
      <w:numFmt w:val="bullet"/>
      <w:lvlText w:val="·"/>
      <w:lvlJc w:val="left"/>
      <w:pPr>
        <w:ind w:left="720" w:hanging="360"/>
      </w:pPr>
      <w:rPr>
        <w:rFonts w:ascii="Symbol" w:hAnsi="Symbol" w:hint="default"/>
      </w:rPr>
    </w:lvl>
    <w:lvl w:ilvl="1" w:tplc="085AB322">
      <w:start w:val="1"/>
      <w:numFmt w:val="bullet"/>
      <w:lvlText w:val="o"/>
      <w:lvlJc w:val="left"/>
      <w:pPr>
        <w:ind w:left="1440" w:hanging="360"/>
      </w:pPr>
      <w:rPr>
        <w:rFonts w:ascii="Courier New" w:hAnsi="Courier New" w:hint="default"/>
      </w:rPr>
    </w:lvl>
    <w:lvl w:ilvl="2" w:tplc="C1E64352">
      <w:start w:val="1"/>
      <w:numFmt w:val="bullet"/>
      <w:lvlText w:val=""/>
      <w:lvlJc w:val="left"/>
      <w:pPr>
        <w:ind w:left="2160" w:hanging="360"/>
      </w:pPr>
      <w:rPr>
        <w:rFonts w:ascii="Wingdings" w:hAnsi="Wingdings" w:hint="default"/>
      </w:rPr>
    </w:lvl>
    <w:lvl w:ilvl="3" w:tplc="F24E4CFA">
      <w:start w:val="1"/>
      <w:numFmt w:val="bullet"/>
      <w:lvlText w:val=""/>
      <w:lvlJc w:val="left"/>
      <w:pPr>
        <w:ind w:left="2880" w:hanging="360"/>
      </w:pPr>
      <w:rPr>
        <w:rFonts w:ascii="Symbol" w:hAnsi="Symbol" w:hint="default"/>
      </w:rPr>
    </w:lvl>
    <w:lvl w:ilvl="4" w:tplc="98FC85AE">
      <w:start w:val="1"/>
      <w:numFmt w:val="bullet"/>
      <w:lvlText w:val="o"/>
      <w:lvlJc w:val="left"/>
      <w:pPr>
        <w:ind w:left="3600" w:hanging="360"/>
      </w:pPr>
      <w:rPr>
        <w:rFonts w:ascii="Courier New" w:hAnsi="Courier New" w:hint="default"/>
      </w:rPr>
    </w:lvl>
    <w:lvl w:ilvl="5" w:tplc="F81625EC">
      <w:start w:val="1"/>
      <w:numFmt w:val="bullet"/>
      <w:lvlText w:val=""/>
      <w:lvlJc w:val="left"/>
      <w:pPr>
        <w:ind w:left="4320" w:hanging="360"/>
      </w:pPr>
      <w:rPr>
        <w:rFonts w:ascii="Wingdings" w:hAnsi="Wingdings" w:hint="default"/>
      </w:rPr>
    </w:lvl>
    <w:lvl w:ilvl="6" w:tplc="3286A27E">
      <w:start w:val="1"/>
      <w:numFmt w:val="bullet"/>
      <w:lvlText w:val=""/>
      <w:lvlJc w:val="left"/>
      <w:pPr>
        <w:ind w:left="5040" w:hanging="360"/>
      </w:pPr>
      <w:rPr>
        <w:rFonts w:ascii="Symbol" w:hAnsi="Symbol" w:hint="default"/>
      </w:rPr>
    </w:lvl>
    <w:lvl w:ilvl="7" w:tplc="3BD258E8">
      <w:start w:val="1"/>
      <w:numFmt w:val="bullet"/>
      <w:lvlText w:val="o"/>
      <w:lvlJc w:val="left"/>
      <w:pPr>
        <w:ind w:left="5760" w:hanging="360"/>
      </w:pPr>
      <w:rPr>
        <w:rFonts w:ascii="Courier New" w:hAnsi="Courier New" w:hint="default"/>
      </w:rPr>
    </w:lvl>
    <w:lvl w:ilvl="8" w:tplc="1714B906">
      <w:start w:val="1"/>
      <w:numFmt w:val="bullet"/>
      <w:lvlText w:val=""/>
      <w:lvlJc w:val="left"/>
      <w:pPr>
        <w:ind w:left="6480" w:hanging="360"/>
      </w:pPr>
      <w:rPr>
        <w:rFonts w:ascii="Wingdings" w:hAnsi="Wingdings" w:hint="default"/>
      </w:rPr>
    </w:lvl>
  </w:abstractNum>
  <w:abstractNum w:abstractNumId="16"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17"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abstractNumId w:val="16"/>
  </w:num>
  <w:num w:numId="2">
    <w:abstractNumId w:val="11"/>
  </w:num>
  <w:num w:numId="3">
    <w:abstractNumId w:val="1"/>
  </w:num>
  <w:num w:numId="4">
    <w:abstractNumId w:val="17"/>
  </w:num>
  <w:num w:numId="5">
    <w:abstractNumId w:val="10"/>
  </w:num>
  <w:num w:numId="6">
    <w:abstractNumId w:val="12"/>
  </w:num>
  <w:num w:numId="7">
    <w:abstractNumId w:val="8"/>
  </w:num>
  <w:num w:numId="8">
    <w:abstractNumId w:val="9"/>
  </w:num>
  <w:num w:numId="9">
    <w:abstractNumId w:val="15"/>
  </w:num>
  <w:num w:numId="10">
    <w:abstractNumId w:val="5"/>
  </w:num>
  <w:num w:numId="11">
    <w:abstractNumId w:val="6"/>
  </w:num>
  <w:num w:numId="12">
    <w:abstractNumId w:val="13"/>
  </w:num>
  <w:num w:numId="13">
    <w:abstractNumId w:val="4"/>
  </w:num>
  <w:num w:numId="14">
    <w:abstractNumId w:val="2"/>
  </w:num>
  <w:num w:numId="15">
    <w:abstractNumId w:val="0"/>
  </w:num>
  <w:num w:numId="16">
    <w:abstractNumId w:val="7"/>
  </w:num>
  <w:num w:numId="17">
    <w:abstractNumId w:val="1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61F03"/>
    <w:rsid w:val="000C4DC3"/>
    <w:rsid w:val="0014217F"/>
    <w:rsid w:val="001A42F1"/>
    <w:rsid w:val="00280940"/>
    <w:rsid w:val="003062B1"/>
    <w:rsid w:val="00336337"/>
    <w:rsid w:val="00346A86"/>
    <w:rsid w:val="003503ED"/>
    <w:rsid w:val="00556023"/>
    <w:rsid w:val="00587872"/>
    <w:rsid w:val="005F49ED"/>
    <w:rsid w:val="007268C0"/>
    <w:rsid w:val="007840BA"/>
    <w:rsid w:val="007B4E48"/>
    <w:rsid w:val="007C22F0"/>
    <w:rsid w:val="00827406"/>
    <w:rsid w:val="00846660"/>
    <w:rsid w:val="008B6EDE"/>
    <w:rsid w:val="008E4479"/>
    <w:rsid w:val="009118F7"/>
    <w:rsid w:val="00AC23B2"/>
    <w:rsid w:val="00AC65B8"/>
    <w:rsid w:val="00AD0A7F"/>
    <w:rsid w:val="00AD4B2C"/>
    <w:rsid w:val="00B549F6"/>
    <w:rsid w:val="00B76BCF"/>
    <w:rsid w:val="00BA7B78"/>
    <w:rsid w:val="00BB7898"/>
    <w:rsid w:val="00BD02AD"/>
    <w:rsid w:val="00CB67CC"/>
    <w:rsid w:val="00CD752F"/>
    <w:rsid w:val="00D24A0F"/>
    <w:rsid w:val="00D87F65"/>
    <w:rsid w:val="00DC4D71"/>
    <w:rsid w:val="00E16CB4"/>
    <w:rsid w:val="00E352CE"/>
    <w:rsid w:val="00E437C2"/>
    <w:rsid w:val="00E72BF5"/>
    <w:rsid w:val="00E745E0"/>
    <w:rsid w:val="00EC4ACF"/>
    <w:rsid w:val="00F66C96"/>
    <w:rsid w:val="00F71A16"/>
    <w:rsid w:val="00FC2695"/>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008CD"/>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table" w:customStyle="1" w:styleId="TableGrid1">
    <w:name w:val="Table Grid1"/>
    <w:basedOn w:val="TableNormal"/>
    <w:next w:val="TableGrid"/>
    <w:uiPriority w:val="39"/>
    <w:rsid w:val="00061F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5Dark-Accent61">
    <w:name w:val="List Table 5 Dark - Accent 61"/>
    <w:basedOn w:val="TableNormal"/>
    <w:next w:val="ListTable5Dark-Accent6"/>
    <w:uiPriority w:val="50"/>
    <w:rsid w:val="00061F03"/>
    <w:pPr>
      <w:spacing w:after="0" w:line="240" w:lineRule="auto"/>
    </w:pPr>
    <w:rPr>
      <w:color w:val="FFFFFF" w:themeColor="background1"/>
      <w:lang w:val="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customStyle="1" w:styleId="contentcontrol">
    <w:name w:val="contentcontrol"/>
    <w:basedOn w:val="DefaultParagraphFont"/>
    <w:rsid w:val="00061F03"/>
  </w:style>
  <w:style w:type="paragraph" w:styleId="Revision">
    <w:name w:val="Revision"/>
    <w:hidden/>
    <w:uiPriority w:val="99"/>
    <w:semiHidden/>
    <w:rsid w:val="00B549F6"/>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777141565">
      <w:bodyDiv w:val="1"/>
      <w:marLeft w:val="0"/>
      <w:marRight w:val="0"/>
      <w:marTop w:val="0"/>
      <w:marBottom w:val="0"/>
      <w:divBdr>
        <w:top w:val="none" w:sz="0" w:space="0" w:color="auto"/>
        <w:left w:val="none" w:sz="0" w:space="0" w:color="auto"/>
        <w:bottom w:val="none" w:sz="0" w:space="0" w:color="auto"/>
        <w:right w:val="none" w:sz="0" w:space="0" w:color="auto"/>
      </w:divBdr>
    </w:div>
    <w:div w:id="81449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tap.mk.gov.lv/lv/mk/tap/?pid=40467308&amp;mode=mk&amp;date=2019-07-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C7D05D-5679-4BA6-AC0A-5793659FB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7694</Words>
  <Characters>4387</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Elīna Puriņa</cp:lastModifiedBy>
  <cp:revision>2</cp:revision>
  <dcterms:created xsi:type="dcterms:W3CDTF">2022-01-26T07:19:00Z</dcterms:created>
  <dcterms:modified xsi:type="dcterms:W3CDTF">2022-01-26T07:19:00Z</dcterms:modified>
</cp:coreProperties>
</file>