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98BCE" w14:textId="765CCF72" w:rsidR="00A7192A" w:rsidRDefault="00F823F2" w:rsidP="00F67865">
      <w:pPr>
        <w:spacing w:line="240" w:lineRule="auto"/>
        <w:jc w:val="center"/>
        <w:rPr>
          <w:b/>
          <w:sz w:val="20"/>
          <w:szCs w:val="20"/>
        </w:rPr>
      </w:pPr>
      <w:r>
        <w:rPr>
          <w:b/>
          <w:sz w:val="20"/>
          <w:szCs w:val="20"/>
        </w:rPr>
        <w:t>Principa “Nenodarīt būtisku kaitējumu” novērtējums</w:t>
      </w:r>
    </w:p>
    <w:p w14:paraId="618F3C40" w14:textId="13A4856A" w:rsidR="00A661FF" w:rsidRDefault="00A661FF" w:rsidP="00F67865">
      <w:pPr>
        <w:spacing w:line="240" w:lineRule="auto"/>
        <w:jc w:val="center"/>
        <w:rPr>
          <w:b/>
          <w:sz w:val="20"/>
          <w:szCs w:val="20"/>
        </w:rPr>
      </w:pPr>
      <w:r w:rsidRPr="00A661FF">
        <w:rPr>
          <w:b/>
          <w:sz w:val="20"/>
          <w:szCs w:val="20"/>
        </w:rPr>
        <w:t xml:space="preserve">4.2.1.SAM </w:t>
      </w:r>
      <w:r>
        <w:rPr>
          <w:b/>
          <w:sz w:val="20"/>
          <w:szCs w:val="20"/>
        </w:rPr>
        <w:t>“</w:t>
      </w:r>
      <w:r w:rsidRPr="00A661FF">
        <w:rPr>
          <w:b/>
          <w:sz w:val="20"/>
          <w:szCs w:val="20"/>
        </w:rPr>
        <w:t>Uzlabot vienlīdzīgu piekļuvi iekļaujošiem un kvalitatīviem pakalpojumiem izglītības, mācību un mūžizglītības jomā, attīstot pieejamu infrastruktūru, tostarp, veicinot noturību izglītošanā un mācībās attālinātā un tiešsaistes režīmā</w:t>
      </w:r>
      <w:r>
        <w:rPr>
          <w:b/>
          <w:sz w:val="20"/>
          <w:szCs w:val="20"/>
        </w:rPr>
        <w:t>”</w:t>
      </w:r>
    </w:p>
    <w:p w14:paraId="040B76E2" w14:textId="6DCB5EA3" w:rsidR="00D452E2" w:rsidRDefault="00D452E2" w:rsidP="00F67865">
      <w:pPr>
        <w:spacing w:line="240" w:lineRule="auto"/>
        <w:jc w:val="center"/>
        <w:rPr>
          <w:b/>
          <w:sz w:val="20"/>
          <w:szCs w:val="20"/>
        </w:rPr>
      </w:pPr>
      <w:bookmarkStart w:id="0" w:name="_heading=h.gjdgxs" w:colFirst="0" w:colLast="0"/>
      <w:bookmarkStart w:id="1" w:name="_Hlk90388827"/>
      <w:bookmarkEnd w:id="0"/>
      <w:r>
        <w:rPr>
          <w:b/>
          <w:sz w:val="20"/>
          <w:szCs w:val="20"/>
        </w:rPr>
        <w:t>4</w:t>
      </w:r>
      <w:r w:rsidR="0011328B">
        <w:rPr>
          <w:b/>
          <w:sz w:val="20"/>
          <w:szCs w:val="20"/>
        </w:rPr>
        <w:t>.2.1.1</w:t>
      </w:r>
      <w:r w:rsidR="007830B8">
        <w:rPr>
          <w:b/>
          <w:sz w:val="20"/>
          <w:szCs w:val="20"/>
        </w:rPr>
        <w:t>.pasākumam</w:t>
      </w:r>
      <w:r w:rsidR="008E770D">
        <w:rPr>
          <w:b/>
          <w:sz w:val="20"/>
          <w:szCs w:val="20"/>
        </w:rPr>
        <w:t xml:space="preserve"> </w:t>
      </w:r>
      <w:r w:rsidR="00EA28B3">
        <w:rPr>
          <w:b/>
          <w:sz w:val="20"/>
          <w:szCs w:val="20"/>
        </w:rPr>
        <w:t>„</w:t>
      </w:r>
      <w:r w:rsidR="0011328B" w:rsidRPr="0011328B">
        <w:rPr>
          <w:b/>
          <w:sz w:val="20"/>
          <w:szCs w:val="20"/>
        </w:rPr>
        <w:t>Infrastruktūras izveide starpnozaru sadarbības un atbalsta sistēmas izveidei bērnu attīstībai</w:t>
      </w:r>
      <w:r>
        <w:rPr>
          <w:b/>
          <w:sz w:val="20"/>
          <w:szCs w:val="20"/>
        </w:rPr>
        <w:t>”</w:t>
      </w:r>
    </w:p>
    <w:p w14:paraId="6A494CBF" w14:textId="77777777" w:rsidR="00F67865" w:rsidRDefault="00F67865" w:rsidP="00F67865">
      <w:pPr>
        <w:spacing w:line="240" w:lineRule="auto"/>
        <w:jc w:val="center"/>
        <w:rPr>
          <w:b/>
          <w:sz w:val="16"/>
          <w:szCs w:val="16"/>
        </w:rPr>
      </w:pPr>
    </w:p>
    <w:bookmarkEnd w:id="1"/>
    <w:p w14:paraId="46DC7113" w14:textId="77777777" w:rsidR="00D452E2" w:rsidRDefault="00D452E2" w:rsidP="00D452E2">
      <w:pPr>
        <w:spacing w:line="240" w:lineRule="auto"/>
        <w:rPr>
          <w:b/>
          <w:sz w:val="20"/>
          <w:szCs w:val="20"/>
        </w:rPr>
      </w:pPr>
      <w:r>
        <w:rPr>
          <w:b/>
          <w:sz w:val="20"/>
          <w:szCs w:val="20"/>
        </w:rPr>
        <w:t>Novērtējuma 1.daļa</w:t>
      </w:r>
    </w:p>
    <w:tbl>
      <w:tblPr>
        <w:tblStyle w:val="a3"/>
        <w:tblW w:w="10631" w:type="dxa"/>
        <w:jc w:val="center"/>
        <w:tblLayout w:type="fixed"/>
        <w:tblLook w:val="0400" w:firstRow="0" w:lastRow="0" w:firstColumn="0" w:lastColumn="0" w:noHBand="0" w:noVBand="1"/>
      </w:tblPr>
      <w:tblGrid>
        <w:gridCol w:w="2977"/>
        <w:gridCol w:w="709"/>
        <w:gridCol w:w="664"/>
        <w:gridCol w:w="6281"/>
      </w:tblGrid>
      <w:tr w:rsidR="00D452E2" w14:paraId="6BF52B26" w14:textId="77777777" w:rsidTr="00A95C75">
        <w:trPr>
          <w:trHeight w:val="90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1EACFDB" w14:textId="77777777" w:rsidR="00D452E2" w:rsidRDefault="00D452E2" w:rsidP="00323F0D">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7834B1E3" w14:textId="77777777" w:rsidR="00D452E2" w:rsidRDefault="00D452E2" w:rsidP="00323F0D">
            <w:pPr>
              <w:spacing w:line="240" w:lineRule="auto"/>
              <w:jc w:val="center"/>
              <w:rPr>
                <w:b/>
                <w:sz w:val="20"/>
                <w:szCs w:val="20"/>
              </w:rPr>
            </w:pPr>
            <w:r>
              <w:rPr>
                <w:b/>
                <w:sz w:val="20"/>
                <w:szCs w:val="20"/>
              </w:rPr>
              <w:t>JĀ</w:t>
            </w:r>
          </w:p>
        </w:tc>
        <w:tc>
          <w:tcPr>
            <w:tcW w:w="664"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18994D8C" w14:textId="77777777" w:rsidR="00D452E2" w:rsidRDefault="00D452E2" w:rsidP="00323F0D">
            <w:pPr>
              <w:spacing w:line="240" w:lineRule="auto"/>
              <w:jc w:val="center"/>
              <w:rPr>
                <w:b/>
                <w:sz w:val="20"/>
                <w:szCs w:val="20"/>
              </w:rPr>
            </w:pPr>
            <w:r>
              <w:rPr>
                <w:b/>
                <w:sz w:val="20"/>
                <w:szCs w:val="20"/>
              </w:rPr>
              <w:t>NĒ</w:t>
            </w:r>
          </w:p>
        </w:tc>
        <w:tc>
          <w:tcPr>
            <w:tcW w:w="6281"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14:paraId="4C40C5E8" w14:textId="77777777" w:rsidR="00D452E2" w:rsidRDefault="00D452E2" w:rsidP="00323F0D">
            <w:pPr>
              <w:spacing w:line="240" w:lineRule="auto"/>
              <w:jc w:val="center"/>
              <w:rPr>
                <w:b/>
                <w:sz w:val="20"/>
                <w:szCs w:val="20"/>
              </w:rPr>
            </w:pPr>
            <w:r>
              <w:rPr>
                <w:b/>
                <w:sz w:val="20"/>
                <w:szCs w:val="20"/>
              </w:rPr>
              <w:t>Pamatojums, ja novērtējums ir “NĒ”</w:t>
            </w:r>
          </w:p>
        </w:tc>
      </w:tr>
      <w:tr w:rsidR="00FB17AA" w14:paraId="1BF4168B" w14:textId="77777777" w:rsidTr="00D50DDD">
        <w:trPr>
          <w:trHeight w:val="300"/>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78530CA" w14:textId="77777777" w:rsidR="00FB17AA" w:rsidRDefault="00FB17AA" w:rsidP="00D50DDD">
            <w:pPr>
              <w:spacing w:line="240" w:lineRule="auto"/>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BAD8316" w14:textId="3F7C64D4" w:rsidR="00FB17AA" w:rsidRDefault="00A25375" w:rsidP="001D6D48">
            <w:pPr>
              <w:spacing w:line="240" w:lineRule="auto"/>
              <w:jc w:val="center"/>
              <w:rPr>
                <w:b/>
                <w:sz w:val="20"/>
                <w:szCs w:val="20"/>
              </w:rPr>
            </w:pPr>
            <w:r>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A8AA455" w14:textId="1DC1954D" w:rsidR="00FB17AA" w:rsidRDefault="00FB17AA" w:rsidP="001D6D48">
            <w:pPr>
              <w:spacing w:line="240" w:lineRule="auto"/>
              <w:jc w:val="center"/>
              <w:rPr>
                <w:b/>
                <w:sz w:val="20"/>
                <w:szCs w:val="20"/>
              </w:rPr>
            </w:pP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59FBBCA" w14:textId="1573F4D0" w:rsidR="00FB17AA" w:rsidRDefault="001D6D48" w:rsidP="00D50DDD">
            <w:pPr>
              <w:widowControl w:val="0"/>
              <w:spacing w:before="240" w:after="240" w:line="276" w:lineRule="auto"/>
              <w:rPr>
                <w:sz w:val="20"/>
                <w:szCs w:val="20"/>
              </w:rPr>
            </w:pPr>
            <w:r>
              <w:rPr>
                <w:sz w:val="20"/>
                <w:szCs w:val="20"/>
              </w:rPr>
              <w:t xml:space="preserve">Skatīt </w:t>
            </w:r>
            <w:r w:rsidR="00A661FF">
              <w:rPr>
                <w:sz w:val="20"/>
                <w:szCs w:val="20"/>
              </w:rPr>
              <w:t xml:space="preserve">novērtējuma </w:t>
            </w:r>
            <w:r w:rsidR="004153F2">
              <w:rPr>
                <w:sz w:val="20"/>
                <w:szCs w:val="20"/>
              </w:rPr>
              <w:t>2</w:t>
            </w:r>
            <w:r>
              <w:rPr>
                <w:sz w:val="20"/>
                <w:szCs w:val="20"/>
              </w:rPr>
              <w:t>.daļ</w:t>
            </w:r>
            <w:r w:rsidR="00A661FF">
              <w:rPr>
                <w:sz w:val="20"/>
                <w:szCs w:val="20"/>
              </w:rPr>
              <w:t>u</w:t>
            </w:r>
            <w:r w:rsidR="005937D4">
              <w:rPr>
                <w:sz w:val="20"/>
                <w:szCs w:val="20"/>
              </w:rPr>
              <w:t>.</w:t>
            </w:r>
          </w:p>
        </w:tc>
      </w:tr>
      <w:tr w:rsidR="00FB17AA" w14:paraId="39144AF3" w14:textId="77777777" w:rsidTr="001D6D48">
        <w:trPr>
          <w:trHeight w:val="278"/>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118405" w14:textId="77777777" w:rsidR="00FB17AA" w:rsidRDefault="00FB17AA" w:rsidP="00FB17AA">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102B67F"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14:paraId="601FD138" w14:textId="61840DB1" w:rsidR="00FB17AA" w:rsidRDefault="00A25375"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ECCBA11" w14:textId="6B120FEB" w:rsidR="00FB17AA" w:rsidRDefault="00FB17AA" w:rsidP="00FB17AA">
            <w:pPr>
              <w:widowControl w:val="0"/>
              <w:spacing w:line="240" w:lineRule="auto"/>
              <w:jc w:val="both"/>
              <w:rPr>
                <w:sz w:val="20"/>
                <w:szCs w:val="20"/>
              </w:rPr>
            </w:pPr>
            <w:r>
              <w:rPr>
                <w:sz w:val="20"/>
                <w:szCs w:val="20"/>
              </w:rPr>
              <w:t>Pasākuma</w:t>
            </w:r>
            <w:r w:rsidR="00360D4B">
              <w:rPr>
                <w:sz w:val="20"/>
                <w:szCs w:val="20"/>
              </w:rPr>
              <w:t>m</w:t>
            </w:r>
            <w:r>
              <w:rPr>
                <w:sz w:val="20"/>
                <w:szCs w:val="20"/>
              </w:rPr>
              <w:t xml:space="preserve"> nav vai ir paredzama nenozīmīga ietekme uz vides mērķiem, kas saistīts ar pasākuma tiešo un primāro netiešo ietekmi visā tā dzīves ciklā, ņemot vērā tā raksturu. Pasākums nav saistīts ar klimata pārmaiņu radīto potenciālo risku radīšanu, bet uzlabojot novecojošo infrastruktūru, tiks netieši mazināta klimatu pārmaiņu ietekme.</w:t>
            </w:r>
          </w:p>
          <w:p w14:paraId="2F0AD95F" w14:textId="77777777" w:rsidR="00FB17AA" w:rsidRDefault="00FB17AA" w:rsidP="00FB17AA">
            <w:pPr>
              <w:widowControl w:val="0"/>
              <w:spacing w:line="240" w:lineRule="auto"/>
              <w:jc w:val="both"/>
              <w:rPr>
                <w:sz w:val="20"/>
                <w:szCs w:val="20"/>
              </w:rPr>
            </w:pPr>
            <w:r>
              <w:rPr>
                <w:sz w:val="20"/>
                <w:szCs w:val="20"/>
              </w:rPr>
              <w:t>Tādējādi tas tiek uzskatīts par atbilstīgs NBK attiecībā uz attiecīgo mērķi.</w:t>
            </w:r>
          </w:p>
          <w:p w14:paraId="4E41D805" w14:textId="576B5120" w:rsidR="00FB17AA" w:rsidRDefault="00FB17AA" w:rsidP="00FB17AA">
            <w:pPr>
              <w:widowControl w:val="0"/>
              <w:spacing w:line="240" w:lineRule="auto"/>
              <w:jc w:val="both"/>
              <w:rPr>
                <w:sz w:val="20"/>
                <w:szCs w:val="20"/>
              </w:rPr>
            </w:pPr>
            <w:r w:rsidRPr="00227B64">
              <w:rPr>
                <w:sz w:val="20"/>
                <w:szCs w:val="20"/>
              </w:rPr>
              <w:t xml:space="preserve">Pasākuma ietvaros tiek plānoti atjaunošanas vai pārbūves darbi ēku infrastruktūrā, </w:t>
            </w:r>
            <w:r w:rsidR="009542B8">
              <w:rPr>
                <w:sz w:val="20"/>
                <w:szCs w:val="20"/>
              </w:rPr>
              <w:t xml:space="preserve">pielāgojot ēkas </w:t>
            </w:r>
            <w:r w:rsidR="0011328B">
              <w:rPr>
                <w:sz w:val="20"/>
                <w:szCs w:val="20"/>
              </w:rPr>
              <w:t>starpnozaru sadarbīb</w:t>
            </w:r>
            <w:r w:rsidR="009542B8">
              <w:rPr>
                <w:sz w:val="20"/>
                <w:szCs w:val="20"/>
              </w:rPr>
              <w:t>as un atbalsta sistēmas izveides nodrošināšanai</w:t>
            </w:r>
            <w:r w:rsidR="0011328B">
              <w:rPr>
                <w:sz w:val="20"/>
                <w:szCs w:val="20"/>
              </w:rPr>
              <w:t xml:space="preserve">, </w:t>
            </w:r>
            <w:r w:rsidRPr="00227B64">
              <w:rPr>
                <w:sz w:val="20"/>
                <w:szCs w:val="20"/>
              </w:rPr>
              <w:t xml:space="preserve">pamatā paredzot vienkāršotas būvdarbus </w:t>
            </w:r>
            <w:r w:rsidR="0011328B">
              <w:rPr>
                <w:sz w:val="20"/>
                <w:szCs w:val="20"/>
              </w:rPr>
              <w:t xml:space="preserve">pakalpojuma </w:t>
            </w:r>
            <w:r w:rsidRPr="00227B64">
              <w:rPr>
                <w:sz w:val="20"/>
                <w:szCs w:val="20"/>
              </w:rPr>
              <w:t>telpās un, kur nepieciešams</w:t>
            </w:r>
            <w:r>
              <w:rPr>
                <w:sz w:val="20"/>
                <w:szCs w:val="20"/>
              </w:rPr>
              <w:t>,</w:t>
            </w:r>
            <w:r w:rsidRPr="00227B64">
              <w:rPr>
                <w:sz w:val="20"/>
                <w:szCs w:val="20"/>
              </w:rPr>
              <w:t xml:space="preserve"> pārbūvējot vai izbūvējot iekšējos inženiertīklus - ventilācijas, ūdens un kanalizācijas vai </w:t>
            </w:r>
            <w:r>
              <w:rPr>
                <w:sz w:val="20"/>
                <w:szCs w:val="20"/>
              </w:rPr>
              <w:t xml:space="preserve">apkures sistēmas. Atsevišķos gadījumos var tikt paredzēti lifta, </w:t>
            </w:r>
            <w:proofErr w:type="spellStart"/>
            <w:r>
              <w:rPr>
                <w:sz w:val="20"/>
                <w:szCs w:val="20"/>
              </w:rPr>
              <w:t>pandusu</w:t>
            </w:r>
            <w:proofErr w:type="spellEnd"/>
            <w:r>
              <w:rPr>
                <w:sz w:val="20"/>
                <w:szCs w:val="20"/>
              </w:rPr>
              <w:t xml:space="preserve"> vai </w:t>
            </w:r>
            <w:proofErr w:type="spellStart"/>
            <w:r>
              <w:rPr>
                <w:sz w:val="20"/>
                <w:szCs w:val="20"/>
              </w:rPr>
              <w:t>uzbrauktuvju</w:t>
            </w:r>
            <w:proofErr w:type="spellEnd"/>
            <w:r>
              <w:rPr>
                <w:sz w:val="20"/>
                <w:szCs w:val="20"/>
              </w:rPr>
              <w:t xml:space="preserve"> izbūve, lai nodrošinātu infrastruktūras pieejamību personām ar funkcionāliem traucējumiem. </w:t>
            </w:r>
            <w:r w:rsidRPr="00227B64">
              <w:rPr>
                <w:sz w:val="20"/>
                <w:szCs w:val="20"/>
              </w:rPr>
              <w:t xml:space="preserve">Pasākuma ietvaros netiks radīti jauni </w:t>
            </w:r>
            <w:proofErr w:type="spellStart"/>
            <w:r w:rsidRPr="00227B64">
              <w:rPr>
                <w:sz w:val="20"/>
                <w:szCs w:val="20"/>
              </w:rPr>
              <w:t>būvapjomi</w:t>
            </w:r>
            <w:proofErr w:type="spellEnd"/>
            <w:r w:rsidRPr="00227B64">
              <w:rPr>
                <w:sz w:val="20"/>
                <w:szCs w:val="20"/>
              </w:rPr>
              <w:t>, izbūvējot jaunas ēkas vai jaunas ēku piebūves</w:t>
            </w:r>
            <w:r>
              <w:rPr>
                <w:sz w:val="20"/>
                <w:szCs w:val="20"/>
              </w:rPr>
              <w:t xml:space="preserve">. </w:t>
            </w:r>
            <w:r w:rsidR="0011328B">
              <w:rPr>
                <w:sz w:val="20"/>
                <w:szCs w:val="20"/>
              </w:rPr>
              <w:t>B</w:t>
            </w:r>
            <w:r>
              <w:rPr>
                <w:sz w:val="20"/>
                <w:szCs w:val="20"/>
              </w:rPr>
              <w:t xml:space="preserve">ūvdarbiem un inženiertehniskajām komunikācijām plānots iespēju robežās izmantot mūsdienīgus risinājumus un materiālus.  Tādējādi ieguldījumu rezultātā  gaidāma pozitīva ietekme uz klimata pārmaiņu mazināšanu. </w:t>
            </w:r>
          </w:p>
          <w:p w14:paraId="4F090EBC" w14:textId="77777777" w:rsidR="00FB17AA" w:rsidRDefault="00FB17AA" w:rsidP="00FB17AA">
            <w:pPr>
              <w:widowControl w:val="0"/>
              <w:spacing w:line="240" w:lineRule="auto"/>
              <w:jc w:val="both"/>
              <w:rPr>
                <w:sz w:val="20"/>
                <w:szCs w:val="20"/>
              </w:rPr>
            </w:pPr>
          </w:p>
          <w:p w14:paraId="503C6C51" w14:textId="685F9999" w:rsidR="00FB17AA" w:rsidRDefault="00FB17AA" w:rsidP="007830B8">
            <w:pPr>
              <w:widowControl w:val="0"/>
              <w:spacing w:line="240" w:lineRule="auto"/>
              <w:jc w:val="both"/>
              <w:rPr>
                <w:sz w:val="20"/>
                <w:szCs w:val="20"/>
              </w:rPr>
            </w:pPr>
            <w:r>
              <w:rPr>
                <w:sz w:val="20"/>
                <w:szCs w:val="20"/>
              </w:rPr>
              <w:t>Investīcijas infrastruktūrā var tikt papildinātas ar nepieciešamo mēbeļu un aprīkojuma iegādi</w:t>
            </w:r>
            <w:r w:rsidR="0011328B">
              <w:rPr>
                <w:sz w:val="20"/>
                <w:szCs w:val="20"/>
              </w:rPr>
              <w:t>.</w:t>
            </w:r>
            <w:r w:rsidR="00F67A5B">
              <w:rPr>
                <w:sz w:val="20"/>
                <w:szCs w:val="20"/>
              </w:rPr>
              <w:t xml:space="preserve"> </w:t>
            </w:r>
            <w:r w:rsidR="00F67A5B">
              <w:rPr>
                <w:sz w:val="20"/>
                <w:szCs w:val="20"/>
                <w:lang w:eastAsia="lv-LV"/>
              </w:rPr>
              <w:t>Pasākuma ietvaros paredzēt</w:t>
            </w:r>
            <w:r w:rsidR="009542B8">
              <w:rPr>
                <w:sz w:val="20"/>
                <w:szCs w:val="20"/>
                <w:lang w:eastAsia="lv-LV"/>
              </w:rPr>
              <w:t>s</w:t>
            </w:r>
            <w:r w:rsidR="00F67A5B">
              <w:rPr>
                <w:sz w:val="20"/>
                <w:szCs w:val="20"/>
                <w:lang w:eastAsia="lv-LV"/>
              </w:rPr>
              <w:t xml:space="preserve"> </w:t>
            </w:r>
            <w:r w:rsidR="007830B8">
              <w:rPr>
                <w:sz w:val="20"/>
                <w:szCs w:val="20"/>
                <w:lang w:eastAsia="lv-LV"/>
              </w:rPr>
              <w:t>autotransporta</w:t>
            </w:r>
            <w:r w:rsidR="009542B8" w:rsidRPr="009542B8">
              <w:rPr>
                <w:sz w:val="20"/>
                <w:szCs w:val="20"/>
                <w:lang w:eastAsia="lv-LV"/>
              </w:rPr>
              <w:t xml:space="preserve"> pakalpojum</w:t>
            </w:r>
            <w:r w:rsidR="007830B8">
              <w:rPr>
                <w:sz w:val="20"/>
                <w:szCs w:val="20"/>
                <w:lang w:eastAsia="lv-LV"/>
              </w:rPr>
              <w:t>s</w:t>
            </w:r>
            <w:r w:rsidR="009542B8" w:rsidRPr="009542B8">
              <w:rPr>
                <w:sz w:val="20"/>
                <w:szCs w:val="20"/>
                <w:lang w:eastAsia="lv-LV"/>
              </w:rPr>
              <w:t xml:space="preserve"> mobilitātes nodrošināšanai</w:t>
            </w:r>
            <w:r w:rsidR="00F67A5B">
              <w:rPr>
                <w:sz w:val="20"/>
                <w:szCs w:val="20"/>
                <w:lang w:eastAsia="lv-LV"/>
              </w:rPr>
              <w:t xml:space="preserve">. Ņemot vērā, ka </w:t>
            </w:r>
            <w:r w:rsidR="009542B8">
              <w:rPr>
                <w:sz w:val="20"/>
                <w:szCs w:val="20"/>
                <w:lang w:eastAsia="lv-LV"/>
              </w:rPr>
              <w:t>autotransporta pakalpojumam</w:t>
            </w:r>
            <w:r w:rsidR="00F67A5B">
              <w:rPr>
                <w:sz w:val="20"/>
                <w:szCs w:val="20"/>
                <w:lang w:eastAsia="lv-LV"/>
              </w:rPr>
              <w:t xml:space="preserve"> atbilstoši </w:t>
            </w:r>
            <w:r w:rsidR="00F67A5B" w:rsidRPr="006D21CB">
              <w:rPr>
                <w:sz w:val="20"/>
                <w:szCs w:val="20"/>
                <w:lang w:eastAsia="lv-LV"/>
              </w:rPr>
              <w:t xml:space="preserve">Ministru kabineta </w:t>
            </w:r>
            <w:r w:rsidR="00F67A5B">
              <w:rPr>
                <w:sz w:val="20"/>
                <w:szCs w:val="20"/>
                <w:lang w:eastAsia="lv-LV"/>
              </w:rPr>
              <w:t>2017. gada 20. jūnija</w:t>
            </w:r>
            <w:r w:rsidR="00F67A5B" w:rsidRPr="006D21CB">
              <w:rPr>
                <w:sz w:val="20"/>
                <w:szCs w:val="20"/>
                <w:lang w:eastAsia="lv-LV"/>
              </w:rPr>
              <w:t xml:space="preserve"> noteikumi</w:t>
            </w:r>
            <w:r w:rsidR="00F67A5B">
              <w:rPr>
                <w:sz w:val="20"/>
                <w:szCs w:val="20"/>
                <w:lang w:eastAsia="lv-LV"/>
              </w:rPr>
              <w:t>em</w:t>
            </w:r>
            <w:r w:rsidR="00F67A5B" w:rsidRPr="006D21CB">
              <w:rPr>
                <w:sz w:val="20"/>
                <w:szCs w:val="20"/>
                <w:lang w:eastAsia="lv-LV"/>
              </w:rPr>
              <w:t xml:space="preserve"> Nr. 353</w:t>
            </w:r>
            <w:r w:rsidR="00F67A5B">
              <w:rPr>
                <w:sz w:val="20"/>
                <w:szCs w:val="20"/>
                <w:lang w:eastAsia="lv-LV"/>
              </w:rPr>
              <w:t xml:space="preserve"> „</w:t>
            </w:r>
            <w:r w:rsidR="00F67A5B" w:rsidRPr="006D21CB">
              <w:rPr>
                <w:sz w:val="20"/>
                <w:szCs w:val="20"/>
                <w:lang w:eastAsia="lv-LV"/>
              </w:rPr>
              <w:t>Prasības zaļajam publiskajam iepirkumam un to piemērošanas kārtība</w:t>
            </w:r>
            <w:r w:rsidR="00F67A5B">
              <w:rPr>
                <w:sz w:val="20"/>
                <w:szCs w:val="20"/>
                <w:lang w:eastAsia="lv-LV"/>
              </w:rPr>
              <w:t>” zaļais iepirkums ir piemērojams obligāti, papildus projektu iesniegumu vērtēšanas kritērijs vai prasība Ministru kabineta noteikumos par pasākuma ieviešanu noteikti netiks.</w:t>
            </w:r>
          </w:p>
        </w:tc>
      </w:tr>
      <w:tr w:rsidR="00FB17AA" w14:paraId="7DA096E0" w14:textId="77777777" w:rsidTr="001D6D48">
        <w:trPr>
          <w:trHeight w:val="382"/>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5A8C18DA" w14:textId="77777777" w:rsidR="00FB17AA" w:rsidRDefault="00FB17AA" w:rsidP="00FB17AA">
            <w:pPr>
              <w:spacing w:line="240" w:lineRule="auto"/>
              <w:jc w:val="both"/>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4BA25576"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DB569C8" w14:textId="119F6EFC" w:rsidR="00FB17AA" w:rsidRDefault="00A25375"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3A7F64C" w14:textId="0DDB580F" w:rsidR="00FB17AA" w:rsidRDefault="00FB17AA" w:rsidP="00FB17AA">
            <w:pPr>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un tādējādi tas tiek uzskatīts par atbilstīgu NBK attiecībā uz attiecīgo mērķi.</w:t>
            </w:r>
          </w:p>
        </w:tc>
      </w:tr>
      <w:tr w:rsidR="00FB17AA" w14:paraId="0840944C" w14:textId="77777777" w:rsidTr="001D6D48">
        <w:trPr>
          <w:trHeight w:val="735"/>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4C90457" w14:textId="77777777" w:rsidR="00FB17AA" w:rsidRDefault="00FB17AA" w:rsidP="00FB17AA">
            <w:pPr>
              <w:spacing w:line="240" w:lineRule="auto"/>
              <w:jc w:val="both"/>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B845E8" w14:textId="1A50043D" w:rsidR="00FB17AA" w:rsidRDefault="00A25375" w:rsidP="001D6D48">
            <w:pPr>
              <w:spacing w:line="240" w:lineRule="auto"/>
              <w:jc w:val="center"/>
              <w:rPr>
                <w:b/>
                <w:sz w:val="20"/>
                <w:szCs w:val="20"/>
              </w:rPr>
            </w:pPr>
            <w:r>
              <w:rPr>
                <w:b/>
                <w:sz w:val="20"/>
                <w:szCs w:val="20"/>
              </w:rPr>
              <w:t>X</w:t>
            </w: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E5EE058" w14:textId="7B413ACC" w:rsidR="00FB17AA" w:rsidRDefault="00FB17AA" w:rsidP="001D6D48">
            <w:pPr>
              <w:spacing w:line="240" w:lineRule="auto"/>
              <w:jc w:val="center"/>
              <w:rPr>
                <w:b/>
                <w:sz w:val="20"/>
                <w:szCs w:val="20"/>
              </w:rPr>
            </w:pP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B4CB174" w14:textId="7D6C1B1C" w:rsidR="00FB17AA" w:rsidRDefault="001D6D48" w:rsidP="004153F2">
            <w:pPr>
              <w:widowControl w:val="0"/>
              <w:spacing w:line="240" w:lineRule="auto"/>
              <w:jc w:val="both"/>
              <w:rPr>
                <w:sz w:val="20"/>
                <w:szCs w:val="20"/>
              </w:rPr>
            </w:pPr>
            <w:r>
              <w:rPr>
                <w:sz w:val="20"/>
                <w:szCs w:val="20"/>
              </w:rPr>
              <w:t xml:space="preserve">Skatīt </w:t>
            </w:r>
            <w:r w:rsidR="00A661FF">
              <w:rPr>
                <w:sz w:val="20"/>
                <w:szCs w:val="20"/>
              </w:rPr>
              <w:t xml:space="preserve">novērtējuma </w:t>
            </w:r>
            <w:r w:rsidR="004153F2">
              <w:rPr>
                <w:sz w:val="20"/>
                <w:szCs w:val="20"/>
              </w:rPr>
              <w:t>2</w:t>
            </w:r>
            <w:r>
              <w:rPr>
                <w:sz w:val="20"/>
                <w:szCs w:val="20"/>
              </w:rPr>
              <w:t>.daļ</w:t>
            </w:r>
            <w:r w:rsidR="00A661FF">
              <w:rPr>
                <w:sz w:val="20"/>
                <w:szCs w:val="20"/>
              </w:rPr>
              <w:t>u</w:t>
            </w:r>
            <w:r w:rsidR="005937D4">
              <w:rPr>
                <w:sz w:val="20"/>
                <w:szCs w:val="20"/>
              </w:rPr>
              <w:t>.</w:t>
            </w:r>
          </w:p>
        </w:tc>
      </w:tr>
      <w:tr w:rsidR="00FB17AA" w14:paraId="683FDE62" w14:textId="77777777" w:rsidTr="001D6D48">
        <w:trPr>
          <w:trHeight w:val="380"/>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3085E354" w14:textId="77777777" w:rsidR="00FB17AA" w:rsidRDefault="00FB17AA" w:rsidP="00FB17AA">
            <w:pPr>
              <w:spacing w:line="240" w:lineRule="auto"/>
              <w:jc w:val="both"/>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1B6EDE71"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07584F20" w14:textId="675B22AB" w:rsidR="00FB17AA" w:rsidRDefault="00A25375"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A27DA00" w14:textId="77777777" w:rsidR="00FB17AA" w:rsidRDefault="00FB17AA" w:rsidP="00FB17AA">
            <w:pPr>
              <w:widowControl w:val="0"/>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un tādējādi tas tiek uzskatīts par atbilstīgu NBK attiecībā uz attiecīgo mērķi.</w:t>
            </w:r>
          </w:p>
          <w:p w14:paraId="3110B015" w14:textId="72891FFE" w:rsidR="009542B8" w:rsidRDefault="009542B8" w:rsidP="00FB17AA">
            <w:pPr>
              <w:widowControl w:val="0"/>
              <w:spacing w:line="240" w:lineRule="auto"/>
              <w:jc w:val="both"/>
              <w:rPr>
                <w:sz w:val="20"/>
                <w:szCs w:val="20"/>
              </w:rPr>
            </w:pPr>
            <w:r>
              <w:rPr>
                <w:sz w:val="20"/>
                <w:szCs w:val="20"/>
                <w:lang w:eastAsia="lv-LV"/>
              </w:rPr>
              <w:t xml:space="preserve">Pasākuma ietvaros paredzēts </w:t>
            </w:r>
            <w:r w:rsidR="007830B8">
              <w:rPr>
                <w:sz w:val="20"/>
                <w:szCs w:val="20"/>
                <w:lang w:eastAsia="lv-LV"/>
              </w:rPr>
              <w:t>autotransporta pakalpojums</w:t>
            </w:r>
            <w:r w:rsidRPr="009542B8">
              <w:rPr>
                <w:sz w:val="20"/>
                <w:szCs w:val="20"/>
                <w:lang w:eastAsia="lv-LV"/>
              </w:rPr>
              <w:t xml:space="preserve"> mobilitātes nodrošināšanai</w:t>
            </w:r>
            <w:r>
              <w:rPr>
                <w:sz w:val="20"/>
                <w:szCs w:val="20"/>
                <w:lang w:eastAsia="lv-LV"/>
              </w:rPr>
              <w:t xml:space="preserve">. Ņemot vērā, ka autotransporta pakalpojumam atbilstoši </w:t>
            </w:r>
            <w:r w:rsidRPr="006D21CB">
              <w:rPr>
                <w:sz w:val="20"/>
                <w:szCs w:val="20"/>
                <w:lang w:eastAsia="lv-LV"/>
              </w:rPr>
              <w:t xml:space="preserve">Ministru kabineta </w:t>
            </w:r>
            <w:r>
              <w:rPr>
                <w:sz w:val="20"/>
                <w:szCs w:val="20"/>
                <w:lang w:eastAsia="lv-LV"/>
              </w:rPr>
              <w:t>2017. gada 20. jūnija</w:t>
            </w:r>
            <w:r w:rsidRPr="006D21CB">
              <w:rPr>
                <w:sz w:val="20"/>
                <w:szCs w:val="20"/>
                <w:lang w:eastAsia="lv-LV"/>
              </w:rPr>
              <w:t xml:space="preserve"> noteikumi</w:t>
            </w:r>
            <w:r>
              <w:rPr>
                <w:sz w:val="20"/>
                <w:szCs w:val="20"/>
                <w:lang w:eastAsia="lv-LV"/>
              </w:rPr>
              <w:t>em</w:t>
            </w:r>
            <w:r w:rsidRPr="006D21CB">
              <w:rPr>
                <w:sz w:val="20"/>
                <w:szCs w:val="20"/>
                <w:lang w:eastAsia="lv-LV"/>
              </w:rPr>
              <w:t xml:space="preserve"> Nr. 353</w:t>
            </w:r>
            <w:r>
              <w:rPr>
                <w:sz w:val="20"/>
                <w:szCs w:val="20"/>
                <w:lang w:eastAsia="lv-LV"/>
              </w:rPr>
              <w:t xml:space="preserve"> „</w:t>
            </w:r>
            <w:r w:rsidRPr="006D21CB">
              <w:rPr>
                <w:sz w:val="20"/>
                <w:szCs w:val="20"/>
                <w:lang w:eastAsia="lv-LV"/>
              </w:rPr>
              <w:t>Prasības zaļajam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p>
        </w:tc>
      </w:tr>
      <w:tr w:rsidR="00FB17AA" w14:paraId="032B9A53" w14:textId="77777777" w:rsidTr="001D6D48">
        <w:trPr>
          <w:trHeight w:val="386"/>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75433DC0" w14:textId="77777777" w:rsidR="00FB17AA" w:rsidRDefault="00FB17AA" w:rsidP="00FB17AA">
            <w:pPr>
              <w:spacing w:line="240" w:lineRule="auto"/>
              <w:jc w:val="both"/>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2FA4DB06" w14:textId="77777777" w:rsidR="00FB17AA" w:rsidRDefault="00FB17AA" w:rsidP="001D6D48">
            <w:pPr>
              <w:spacing w:line="240" w:lineRule="auto"/>
              <w:jc w:val="center"/>
              <w:rPr>
                <w:b/>
                <w:sz w:val="20"/>
                <w:szCs w:val="20"/>
              </w:rPr>
            </w:pPr>
          </w:p>
        </w:tc>
        <w:tc>
          <w:tcPr>
            <w:tcW w:w="664"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14:paraId="62733AC9" w14:textId="00527649" w:rsidR="00FB17AA" w:rsidRDefault="00A25375" w:rsidP="001D6D48">
            <w:pPr>
              <w:spacing w:line="240" w:lineRule="auto"/>
              <w:jc w:val="center"/>
              <w:rPr>
                <w:b/>
                <w:sz w:val="20"/>
                <w:szCs w:val="20"/>
              </w:rPr>
            </w:pPr>
            <w:r>
              <w:rPr>
                <w:b/>
                <w:sz w:val="20"/>
                <w:szCs w:val="20"/>
              </w:rPr>
              <w:t>X</w:t>
            </w:r>
          </w:p>
        </w:tc>
        <w:tc>
          <w:tcPr>
            <w:tcW w:w="62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49FAA5D" w14:textId="77777777" w:rsidR="00FB17AA" w:rsidRDefault="00FB17AA" w:rsidP="0011328B">
            <w:pPr>
              <w:spacing w:line="240" w:lineRule="auto"/>
              <w:jc w:val="both"/>
              <w:rPr>
                <w:sz w:val="20"/>
                <w:szCs w:val="20"/>
              </w:rPr>
            </w:pPr>
            <w:r>
              <w:rPr>
                <w:sz w:val="20"/>
                <w:szCs w:val="20"/>
              </w:rPr>
              <w:t xml:space="preserve">Ņemot vērā gan tiešo, gan primāro netiešo ietekmi visā aprites ciklā, pasākumā plānoto darbību paredzamā ietekme uz šo vides mērķi ir nebūtiska. </w:t>
            </w:r>
            <w:r w:rsidR="005E131B">
              <w:rPr>
                <w:sz w:val="20"/>
                <w:szCs w:val="20"/>
              </w:rPr>
              <w:t>Pasākuma</w:t>
            </w:r>
            <w:r>
              <w:rPr>
                <w:sz w:val="20"/>
                <w:szCs w:val="20"/>
              </w:rPr>
              <w:t xml:space="preserve"> ietvaros tiks veikti vienkāršoti uzlabojumi esošo </w:t>
            </w:r>
            <w:r w:rsidR="0011328B">
              <w:rPr>
                <w:sz w:val="20"/>
                <w:szCs w:val="20"/>
              </w:rPr>
              <w:t>ēku</w:t>
            </w:r>
            <w:r>
              <w:rPr>
                <w:sz w:val="20"/>
                <w:szCs w:val="20"/>
              </w:rPr>
              <w:t xml:space="preserve"> infrastruktūrā un aprīkojuma iegāde, tādējādi nav plānota ietekme uz bioloģisko daudzveidību un ekosistēmas aizsardzību vai tās apdraudējumu.</w:t>
            </w:r>
          </w:p>
          <w:p w14:paraId="79A32767" w14:textId="1213DAAA" w:rsidR="009542B8" w:rsidRDefault="009542B8" w:rsidP="0011328B">
            <w:pPr>
              <w:spacing w:line="240" w:lineRule="auto"/>
              <w:jc w:val="both"/>
              <w:rPr>
                <w:sz w:val="20"/>
                <w:szCs w:val="20"/>
              </w:rPr>
            </w:pPr>
            <w:r>
              <w:rPr>
                <w:sz w:val="20"/>
                <w:szCs w:val="20"/>
                <w:lang w:eastAsia="lv-LV"/>
              </w:rPr>
              <w:lastRenderedPageBreak/>
              <w:t xml:space="preserve">Pasākuma ietvaros paredzēts </w:t>
            </w:r>
            <w:r w:rsidR="007830B8">
              <w:rPr>
                <w:sz w:val="20"/>
                <w:szCs w:val="20"/>
                <w:lang w:eastAsia="lv-LV"/>
              </w:rPr>
              <w:t>autotransporta pakalpojums</w:t>
            </w:r>
            <w:r w:rsidRPr="009542B8">
              <w:rPr>
                <w:sz w:val="20"/>
                <w:szCs w:val="20"/>
                <w:lang w:eastAsia="lv-LV"/>
              </w:rPr>
              <w:t xml:space="preserve"> mobilitātes nodrošināšanai</w:t>
            </w:r>
            <w:r>
              <w:rPr>
                <w:sz w:val="20"/>
                <w:szCs w:val="20"/>
                <w:lang w:eastAsia="lv-LV"/>
              </w:rPr>
              <w:t xml:space="preserve">. Ņemot vērā, ka autotransporta pakalpojumam atbilstoši </w:t>
            </w:r>
            <w:r w:rsidRPr="006D21CB">
              <w:rPr>
                <w:sz w:val="20"/>
                <w:szCs w:val="20"/>
                <w:lang w:eastAsia="lv-LV"/>
              </w:rPr>
              <w:t xml:space="preserve">Ministru kabineta </w:t>
            </w:r>
            <w:r>
              <w:rPr>
                <w:sz w:val="20"/>
                <w:szCs w:val="20"/>
                <w:lang w:eastAsia="lv-LV"/>
              </w:rPr>
              <w:t>2017. gada 20. jūnija</w:t>
            </w:r>
            <w:r w:rsidRPr="006D21CB">
              <w:rPr>
                <w:sz w:val="20"/>
                <w:szCs w:val="20"/>
                <w:lang w:eastAsia="lv-LV"/>
              </w:rPr>
              <w:t xml:space="preserve"> noteikumi</w:t>
            </w:r>
            <w:r>
              <w:rPr>
                <w:sz w:val="20"/>
                <w:szCs w:val="20"/>
                <w:lang w:eastAsia="lv-LV"/>
              </w:rPr>
              <w:t>em</w:t>
            </w:r>
            <w:r w:rsidRPr="006D21CB">
              <w:rPr>
                <w:sz w:val="20"/>
                <w:szCs w:val="20"/>
                <w:lang w:eastAsia="lv-LV"/>
              </w:rPr>
              <w:t xml:space="preserve"> Nr. 353</w:t>
            </w:r>
            <w:r>
              <w:rPr>
                <w:sz w:val="20"/>
                <w:szCs w:val="20"/>
                <w:lang w:eastAsia="lv-LV"/>
              </w:rPr>
              <w:t xml:space="preserve"> „</w:t>
            </w:r>
            <w:r w:rsidRPr="006D21CB">
              <w:rPr>
                <w:sz w:val="20"/>
                <w:szCs w:val="20"/>
                <w:lang w:eastAsia="lv-LV"/>
              </w:rPr>
              <w:t>Prasības zaļajam publiskajam iepirkumam un to piemērošanas kārtība</w:t>
            </w:r>
            <w:r>
              <w:rPr>
                <w:sz w:val="20"/>
                <w:szCs w:val="20"/>
                <w:lang w:eastAsia="lv-LV"/>
              </w:rPr>
              <w:t>” zaļais iepirkums ir piemērojams obligāti, papildus projektu iesniegumu vērtēšanas kritērijs vai prasība Ministru kabineta noteikumos par pasākuma ieviešanu noteikti netiks</w:t>
            </w:r>
            <w:r w:rsidR="00BC31F3">
              <w:rPr>
                <w:sz w:val="20"/>
                <w:szCs w:val="20"/>
                <w:lang w:eastAsia="lv-LV"/>
              </w:rPr>
              <w:t>.</w:t>
            </w:r>
          </w:p>
        </w:tc>
      </w:tr>
    </w:tbl>
    <w:p w14:paraId="3ACC1807" w14:textId="77777777" w:rsidR="00D452E2" w:rsidRDefault="00D452E2" w:rsidP="00D452E2">
      <w:pPr>
        <w:spacing w:line="240" w:lineRule="auto"/>
        <w:rPr>
          <w:b/>
          <w:sz w:val="20"/>
          <w:szCs w:val="20"/>
        </w:rPr>
      </w:pPr>
    </w:p>
    <w:p w14:paraId="42C28F06" w14:textId="77777777" w:rsidR="00D452E2" w:rsidRDefault="00D452E2" w:rsidP="00D452E2">
      <w:pPr>
        <w:spacing w:line="240" w:lineRule="auto"/>
        <w:rPr>
          <w:b/>
          <w:sz w:val="20"/>
          <w:szCs w:val="20"/>
        </w:rPr>
      </w:pPr>
    </w:p>
    <w:p w14:paraId="3CF5B8CA" w14:textId="77777777" w:rsidR="00D452E2" w:rsidRDefault="00D452E2" w:rsidP="00D452E2">
      <w:pPr>
        <w:spacing w:line="240" w:lineRule="auto"/>
        <w:rPr>
          <w:b/>
          <w:sz w:val="20"/>
          <w:szCs w:val="20"/>
        </w:rPr>
      </w:pPr>
      <w:r>
        <w:rPr>
          <w:b/>
          <w:sz w:val="20"/>
          <w:szCs w:val="20"/>
        </w:rPr>
        <w:t>Novērtējuma 2.daļa</w:t>
      </w:r>
    </w:p>
    <w:tbl>
      <w:tblPr>
        <w:tblStyle w:val="a4"/>
        <w:tblW w:w="10627" w:type="dxa"/>
        <w:jc w:val="center"/>
        <w:tblLayout w:type="fixed"/>
        <w:tblLook w:val="0400" w:firstRow="0" w:lastRow="0" w:firstColumn="0" w:lastColumn="0" w:noHBand="0" w:noVBand="1"/>
      </w:tblPr>
      <w:tblGrid>
        <w:gridCol w:w="2977"/>
        <w:gridCol w:w="709"/>
        <w:gridCol w:w="6941"/>
      </w:tblGrid>
      <w:tr w:rsidR="00D452E2" w14:paraId="19734045" w14:textId="77777777" w:rsidTr="00927BBA">
        <w:trPr>
          <w:trHeight w:val="30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39BEEE88" w14:textId="77777777" w:rsidR="00D452E2" w:rsidRDefault="00D452E2" w:rsidP="00323F0D">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6CD1A661" w14:textId="77777777" w:rsidR="00D452E2" w:rsidRDefault="00D452E2" w:rsidP="00323F0D">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41E8C250" w14:textId="77777777" w:rsidR="00D452E2" w:rsidRDefault="00D452E2" w:rsidP="00323F0D">
            <w:pPr>
              <w:spacing w:line="240" w:lineRule="auto"/>
              <w:jc w:val="center"/>
              <w:rPr>
                <w:b/>
                <w:sz w:val="20"/>
                <w:szCs w:val="20"/>
              </w:rPr>
            </w:pPr>
            <w:r>
              <w:rPr>
                <w:b/>
                <w:sz w:val="20"/>
                <w:szCs w:val="20"/>
              </w:rPr>
              <w:t>Detalizēts izvērtējums (ja novērtējuma 1.daļā novērtējums ir “JĀ”)</w:t>
            </w:r>
          </w:p>
        </w:tc>
      </w:tr>
      <w:tr w:rsidR="00927BBA" w14:paraId="45EE683E" w14:textId="77777777" w:rsidTr="00927BBA">
        <w:trPr>
          <w:trHeight w:val="907"/>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5755C4C" w14:textId="77777777" w:rsidR="00927BBA" w:rsidRDefault="00927BBA" w:rsidP="00927BBA">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262C985" w14:textId="2103035F" w:rsidR="00927BBA" w:rsidRDefault="00A25375" w:rsidP="00927BBA">
            <w:pPr>
              <w:spacing w:line="240" w:lineRule="auto"/>
              <w:jc w:val="center"/>
              <w:rPr>
                <w:b/>
                <w:sz w:val="20"/>
                <w:szCs w:val="20"/>
              </w:rPr>
            </w:pPr>
            <w:r>
              <w:rPr>
                <w:b/>
                <w:sz w:val="20"/>
                <w:szCs w:val="20"/>
              </w:rPr>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F2653E9" w14:textId="77777777" w:rsidR="00927BBA" w:rsidRDefault="00927BBA" w:rsidP="00927BBA">
            <w:pPr>
              <w:widowControl w:val="0"/>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Atbalstītās darbības nerada būtisku kaitējumu klimata pārmaiņu mazināšanai, jo tās nerada ievērojamas SEG emisijas. Tādējādi tas tiek uzskatīts par atbilstīgs NBK attiecībā uz attiecīgo mērķi.</w:t>
            </w:r>
          </w:p>
          <w:p w14:paraId="7C6E1A3C" w14:textId="0880E139" w:rsidR="00927BBA" w:rsidRPr="00AB3BD7" w:rsidRDefault="00927BBA" w:rsidP="00927BBA">
            <w:pPr>
              <w:widowControl w:val="0"/>
              <w:spacing w:line="240" w:lineRule="auto"/>
              <w:jc w:val="both"/>
              <w:rPr>
                <w:sz w:val="20"/>
                <w:szCs w:val="20"/>
              </w:rPr>
            </w:pPr>
            <w:r>
              <w:rPr>
                <w:sz w:val="20"/>
                <w:szCs w:val="20"/>
              </w:rPr>
              <w:t>Pasākuma ietvaros tiek plānoti atjaunošanas vai pārbūves darbi ēku infrastruktūrā, pamatā paredzot vienkāršot</w:t>
            </w:r>
            <w:r w:rsidR="0031600E">
              <w:rPr>
                <w:sz w:val="20"/>
                <w:szCs w:val="20"/>
              </w:rPr>
              <w:t>u</w:t>
            </w:r>
            <w:r>
              <w:rPr>
                <w:sz w:val="20"/>
                <w:szCs w:val="20"/>
              </w:rPr>
              <w:t xml:space="preserve">s būvdarbus </w:t>
            </w:r>
            <w:r w:rsidR="0011328B">
              <w:rPr>
                <w:sz w:val="20"/>
                <w:szCs w:val="20"/>
              </w:rPr>
              <w:t xml:space="preserve">pakalpojuma </w:t>
            </w:r>
            <w:r>
              <w:rPr>
                <w:sz w:val="20"/>
                <w:szCs w:val="20"/>
              </w:rPr>
              <w:t xml:space="preserve">telpās un, kur nepieciešams, pārbūvējot vai izbūvējot iekšējos inženiertīklus - ventilācijas, ūdens </w:t>
            </w:r>
            <w:r w:rsidRPr="00AB3BD7">
              <w:rPr>
                <w:sz w:val="20"/>
                <w:szCs w:val="20"/>
              </w:rPr>
              <w:t xml:space="preserve">un kanalizācijas vai apkures sistēmas. Atsevišķos gadījumos var tikt paredzēti lifta, </w:t>
            </w:r>
            <w:proofErr w:type="spellStart"/>
            <w:r w:rsidRPr="00AB3BD7">
              <w:rPr>
                <w:sz w:val="20"/>
                <w:szCs w:val="20"/>
              </w:rPr>
              <w:t>pandusu</w:t>
            </w:r>
            <w:proofErr w:type="spellEnd"/>
            <w:r w:rsidRPr="00AB3BD7">
              <w:rPr>
                <w:sz w:val="20"/>
                <w:szCs w:val="20"/>
              </w:rPr>
              <w:t xml:space="preserve"> vai </w:t>
            </w:r>
            <w:proofErr w:type="spellStart"/>
            <w:r w:rsidRPr="00AB3BD7">
              <w:rPr>
                <w:sz w:val="20"/>
                <w:szCs w:val="20"/>
              </w:rPr>
              <w:t>uzbrauktuvju</w:t>
            </w:r>
            <w:proofErr w:type="spellEnd"/>
            <w:r w:rsidRPr="00AB3BD7">
              <w:rPr>
                <w:sz w:val="20"/>
                <w:szCs w:val="20"/>
              </w:rPr>
              <w:t xml:space="preserve"> izbūve, lai nodrošinātu infrastruktūras pieejamību personām ar funkcionāliem traucējumiem.  Pasākuma ietvaros netiks radīti jauni </w:t>
            </w:r>
            <w:proofErr w:type="spellStart"/>
            <w:r w:rsidRPr="00AB3BD7">
              <w:rPr>
                <w:sz w:val="20"/>
                <w:szCs w:val="20"/>
              </w:rPr>
              <w:t>būvapjomi</w:t>
            </w:r>
            <w:proofErr w:type="spellEnd"/>
            <w:r w:rsidRPr="00AB3BD7">
              <w:rPr>
                <w:sz w:val="20"/>
                <w:szCs w:val="20"/>
              </w:rPr>
              <w:t xml:space="preserve">, izbūvējot jaunas ēkas vai jaunas ēku piebūves. </w:t>
            </w:r>
            <w:r w:rsidR="0011328B">
              <w:rPr>
                <w:sz w:val="20"/>
                <w:szCs w:val="20"/>
              </w:rPr>
              <w:t>B</w:t>
            </w:r>
            <w:r w:rsidRPr="00AB3BD7">
              <w:rPr>
                <w:sz w:val="20"/>
                <w:szCs w:val="20"/>
              </w:rPr>
              <w:t xml:space="preserve">ūvdarbiem un inženiertehniskajām komunikācijām plānots iespēju robežās izmantot mūsdienīgus risinājumus un materiālus.  Tādējādi ieguldījumu rezultātā  gaidāma pozitīva ietekme uz klimata pārmaiņu mazināšanu. </w:t>
            </w:r>
          </w:p>
          <w:p w14:paraId="26F17519" w14:textId="77777777" w:rsidR="00927BBA" w:rsidRPr="00AB3BD7" w:rsidRDefault="00927BBA" w:rsidP="00927BBA">
            <w:pPr>
              <w:widowControl w:val="0"/>
              <w:spacing w:line="240" w:lineRule="auto"/>
              <w:jc w:val="both"/>
              <w:rPr>
                <w:sz w:val="20"/>
                <w:szCs w:val="20"/>
              </w:rPr>
            </w:pPr>
          </w:p>
          <w:p w14:paraId="12D9BB2D" w14:textId="7F0D3842" w:rsidR="009542B8" w:rsidRDefault="00927BBA" w:rsidP="007830B8">
            <w:pPr>
              <w:widowControl w:val="0"/>
              <w:spacing w:line="240" w:lineRule="auto"/>
              <w:jc w:val="both"/>
              <w:rPr>
                <w:sz w:val="20"/>
                <w:szCs w:val="20"/>
              </w:rPr>
            </w:pPr>
            <w:r w:rsidRPr="00AB3BD7">
              <w:rPr>
                <w:sz w:val="20"/>
                <w:szCs w:val="20"/>
              </w:rPr>
              <w:t xml:space="preserve">Investīcijas infrastruktūrā var tikt papildinātas ar nepieciešamo mēbeļu un aprīkojuma iegādi. </w:t>
            </w:r>
            <w:r w:rsidR="007830B8">
              <w:rPr>
                <w:sz w:val="20"/>
                <w:szCs w:val="20"/>
                <w:lang w:eastAsia="lv-LV"/>
              </w:rPr>
              <w:t xml:space="preserve">Pasākuma ietvaros paredzēts </w:t>
            </w:r>
            <w:r w:rsidR="007830B8" w:rsidRPr="009542B8">
              <w:rPr>
                <w:sz w:val="20"/>
                <w:szCs w:val="20"/>
                <w:lang w:eastAsia="lv-LV"/>
              </w:rPr>
              <w:t>autotransports pakalpojumu mobilitātes nodrošināšanai</w:t>
            </w:r>
            <w:r w:rsidR="007830B8">
              <w:rPr>
                <w:sz w:val="20"/>
                <w:szCs w:val="20"/>
                <w:lang w:eastAsia="lv-LV"/>
              </w:rPr>
              <w:t xml:space="preserve">. Ņemot vērā, ka autotransporta pakalpojumam atbilstoši </w:t>
            </w:r>
            <w:r w:rsidR="007830B8" w:rsidRPr="006D21CB">
              <w:rPr>
                <w:sz w:val="20"/>
                <w:szCs w:val="20"/>
                <w:lang w:eastAsia="lv-LV"/>
              </w:rPr>
              <w:t xml:space="preserve">Ministru kabineta </w:t>
            </w:r>
            <w:r w:rsidR="007830B8">
              <w:rPr>
                <w:sz w:val="20"/>
                <w:szCs w:val="20"/>
                <w:lang w:eastAsia="lv-LV"/>
              </w:rPr>
              <w:t>2017. gada 20. jūnija</w:t>
            </w:r>
            <w:r w:rsidR="007830B8" w:rsidRPr="006D21CB">
              <w:rPr>
                <w:sz w:val="20"/>
                <w:szCs w:val="20"/>
                <w:lang w:eastAsia="lv-LV"/>
              </w:rPr>
              <w:t xml:space="preserve"> noteikumi</w:t>
            </w:r>
            <w:r w:rsidR="007830B8">
              <w:rPr>
                <w:sz w:val="20"/>
                <w:szCs w:val="20"/>
                <w:lang w:eastAsia="lv-LV"/>
              </w:rPr>
              <w:t>em</w:t>
            </w:r>
            <w:r w:rsidR="007830B8" w:rsidRPr="006D21CB">
              <w:rPr>
                <w:sz w:val="20"/>
                <w:szCs w:val="20"/>
                <w:lang w:eastAsia="lv-LV"/>
              </w:rPr>
              <w:t xml:space="preserve"> Nr. 353</w:t>
            </w:r>
            <w:r w:rsidR="007830B8">
              <w:rPr>
                <w:sz w:val="20"/>
                <w:szCs w:val="20"/>
                <w:lang w:eastAsia="lv-LV"/>
              </w:rPr>
              <w:t xml:space="preserve"> „</w:t>
            </w:r>
            <w:r w:rsidR="007830B8" w:rsidRPr="006D21CB">
              <w:rPr>
                <w:sz w:val="20"/>
                <w:szCs w:val="20"/>
                <w:lang w:eastAsia="lv-LV"/>
              </w:rPr>
              <w:t>Prasības zaļajam publiskajam iepirkumam un to piemērošanas kārtība</w:t>
            </w:r>
            <w:r w:rsidR="007830B8">
              <w:rPr>
                <w:sz w:val="20"/>
                <w:szCs w:val="20"/>
                <w:lang w:eastAsia="lv-LV"/>
              </w:rPr>
              <w:t>” zaļais iepirkums ir piemērojams obligāti, papildus projektu iesniegumu vērtēšanas kritērijs vai prasība Ministru kabineta noteikumos par pasākuma ieviešanu noteikti netiks.</w:t>
            </w:r>
          </w:p>
        </w:tc>
      </w:tr>
      <w:tr w:rsidR="00927BBA" w14:paraId="53158D5B" w14:textId="77777777" w:rsidTr="00D50DDD">
        <w:trPr>
          <w:trHeight w:val="1680"/>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6621E385" w14:textId="77777777" w:rsidR="00927BBA" w:rsidRDefault="00927BBA" w:rsidP="00927BBA">
            <w:pPr>
              <w:spacing w:line="240" w:lineRule="auto"/>
              <w:rPr>
                <w:b/>
                <w:sz w:val="20"/>
                <w:szCs w:val="20"/>
              </w:rPr>
            </w:pPr>
            <w:r>
              <w:rPr>
                <w:b/>
                <w:sz w:val="20"/>
                <w:szCs w:val="20"/>
              </w:rPr>
              <w:t xml:space="preserve">Pielāgošanās klimata pārmaiņām. </w:t>
            </w:r>
          </w:p>
          <w:p w14:paraId="3D224CB8" w14:textId="77777777" w:rsidR="00927BBA" w:rsidRDefault="00927BBA" w:rsidP="00927BBA">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67E5FBCB" w14:textId="534CEF32"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009E46FA" w14:textId="49812070" w:rsidR="00927BBA" w:rsidRPr="005937D4" w:rsidRDefault="00A661FF" w:rsidP="00D50DDD">
            <w:pPr>
              <w:spacing w:line="240" w:lineRule="auto"/>
              <w:rPr>
                <w:sz w:val="20"/>
                <w:szCs w:val="20"/>
              </w:rPr>
            </w:pPr>
            <w:r>
              <w:rPr>
                <w:sz w:val="20"/>
                <w:szCs w:val="20"/>
              </w:rPr>
              <w:t>Skatīt novērtējuma 1.daļu.</w:t>
            </w:r>
          </w:p>
        </w:tc>
      </w:tr>
      <w:tr w:rsidR="00927BBA" w14:paraId="37F7755F" w14:textId="77777777" w:rsidTr="00D50DDD">
        <w:trPr>
          <w:trHeight w:val="1676"/>
          <w:jc w:val="center"/>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CDCC029" w14:textId="77777777" w:rsidR="00927BBA" w:rsidRDefault="00927BBA" w:rsidP="00927BBA">
            <w:pPr>
              <w:spacing w:line="240" w:lineRule="auto"/>
              <w:jc w:val="both"/>
              <w:rPr>
                <w:b/>
                <w:sz w:val="20"/>
                <w:szCs w:val="20"/>
              </w:rPr>
            </w:pPr>
            <w:r>
              <w:rPr>
                <w:b/>
                <w:sz w:val="20"/>
                <w:szCs w:val="20"/>
              </w:rPr>
              <w:t xml:space="preserve">Ilgtspējīga ūdens un jūras resursu izmantošana un aizsardzība. </w:t>
            </w:r>
          </w:p>
          <w:p w14:paraId="3BC4E3F9" w14:textId="77777777" w:rsidR="00927BBA" w:rsidRDefault="00927BBA" w:rsidP="00927BBA">
            <w:pPr>
              <w:spacing w:line="240" w:lineRule="auto"/>
              <w:jc w:val="both"/>
              <w:rPr>
                <w:sz w:val="20"/>
                <w:szCs w:val="20"/>
              </w:rPr>
            </w:pPr>
            <w:r>
              <w:rPr>
                <w:sz w:val="20"/>
                <w:szCs w:val="20"/>
              </w:rPr>
              <w:t xml:space="preserve">Vai paredzams, ka pasākums kaitēs: </w:t>
            </w:r>
          </w:p>
          <w:p w14:paraId="0B6AA3B3" w14:textId="77777777" w:rsidR="00927BBA" w:rsidRDefault="00927BBA" w:rsidP="00927BBA">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1516AE25" w14:textId="77777777" w:rsidR="00927BBA" w:rsidRDefault="00927BBA" w:rsidP="00927BBA">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2238A0D" w14:textId="79C64944"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CE27D8E" w14:textId="46F5BB13" w:rsidR="00927BBA" w:rsidRPr="005937D4" w:rsidRDefault="00A661FF" w:rsidP="00D50DDD">
            <w:pPr>
              <w:spacing w:line="240" w:lineRule="auto"/>
              <w:rPr>
                <w:sz w:val="20"/>
                <w:szCs w:val="20"/>
              </w:rPr>
            </w:pPr>
            <w:r>
              <w:rPr>
                <w:sz w:val="20"/>
                <w:szCs w:val="20"/>
              </w:rPr>
              <w:t>Skatīt novērtējuma 1.daļu.</w:t>
            </w:r>
          </w:p>
        </w:tc>
      </w:tr>
      <w:tr w:rsidR="00927BBA" w14:paraId="7052317C" w14:textId="77777777" w:rsidTr="00927BBA">
        <w:trPr>
          <w:trHeight w:val="687"/>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B5E8D9D" w14:textId="77777777" w:rsidR="00927BBA" w:rsidRDefault="00927BBA" w:rsidP="00927BBA">
            <w:pPr>
              <w:spacing w:line="240" w:lineRule="auto"/>
              <w:jc w:val="both"/>
              <w:rPr>
                <w:sz w:val="20"/>
                <w:szCs w:val="20"/>
              </w:rPr>
            </w:pPr>
            <w:r>
              <w:rPr>
                <w:b/>
                <w:sz w:val="20"/>
                <w:szCs w:val="20"/>
              </w:rPr>
              <w:t>Pāreja uz aprites ekonomiku, ieskaitot atkritumu rašanās novēršanu un to reciklēšanu</w:t>
            </w:r>
            <w:r>
              <w:rPr>
                <w:sz w:val="20"/>
                <w:szCs w:val="20"/>
              </w:rPr>
              <w:t xml:space="preserve">. </w:t>
            </w:r>
          </w:p>
          <w:p w14:paraId="656B7A2D" w14:textId="77777777" w:rsidR="00927BBA" w:rsidRDefault="00927BBA" w:rsidP="00927BBA">
            <w:pPr>
              <w:spacing w:line="240" w:lineRule="auto"/>
              <w:jc w:val="both"/>
              <w:rPr>
                <w:sz w:val="20"/>
                <w:szCs w:val="20"/>
              </w:rPr>
            </w:pPr>
            <w:r>
              <w:rPr>
                <w:sz w:val="20"/>
                <w:szCs w:val="20"/>
              </w:rPr>
              <w:t xml:space="preserve">Vai paredzams, ka pasākums: </w:t>
            </w:r>
          </w:p>
          <w:p w14:paraId="673B0EC0" w14:textId="77777777" w:rsidR="00927BBA" w:rsidRDefault="00927BBA" w:rsidP="00927BBA">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r>
            <w:r>
              <w:rPr>
                <w:sz w:val="20"/>
                <w:szCs w:val="20"/>
              </w:rPr>
              <w:lastRenderedPageBreak/>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5FB1C5FF" w14:textId="595F77A9" w:rsidR="00927BBA" w:rsidRDefault="00A25375" w:rsidP="00927BBA">
            <w:pPr>
              <w:spacing w:line="240" w:lineRule="auto"/>
              <w:jc w:val="center"/>
              <w:rPr>
                <w:b/>
                <w:sz w:val="20"/>
                <w:szCs w:val="20"/>
              </w:rPr>
            </w:pPr>
            <w:r>
              <w:rPr>
                <w:b/>
                <w:sz w:val="20"/>
                <w:szCs w:val="20"/>
              </w:rPr>
              <w:lastRenderedPageBreak/>
              <w:t>X</w:t>
            </w: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DD1618B" w14:textId="77777777" w:rsidR="00927BBA" w:rsidRDefault="00927BBA" w:rsidP="00927BBA">
            <w:pPr>
              <w:widowControl w:val="0"/>
              <w:spacing w:line="240" w:lineRule="auto"/>
              <w:jc w:val="both"/>
              <w:rPr>
                <w:sz w:val="20"/>
                <w:szCs w:val="20"/>
              </w:rPr>
            </w:pPr>
            <w:r>
              <w:rPr>
                <w:sz w:val="20"/>
                <w:szCs w:val="20"/>
              </w:rPr>
              <w:t xml:space="preserve">Pasākumam ir paredzama nenozīmīga ietekme uz vides mērķiem, kas saistīts ar pasākuma tiešo un primāro netiešo ietekmi visā tā dzīves ciklā, ņemot vērā tā raksturu, un tādējādi tas tiek uzskatīts par atbilstīgu NBK attiecībā uz attiecīgo mērķi. </w:t>
            </w:r>
          </w:p>
          <w:p w14:paraId="4205B735" w14:textId="43CBD1F7" w:rsidR="00927BBA" w:rsidRDefault="00927BBA" w:rsidP="0011328B">
            <w:pPr>
              <w:widowControl w:val="0"/>
              <w:pBdr>
                <w:top w:val="nil"/>
                <w:left w:val="nil"/>
                <w:bottom w:val="nil"/>
                <w:right w:val="nil"/>
                <w:between w:val="nil"/>
              </w:pBdr>
              <w:spacing w:line="240" w:lineRule="auto"/>
              <w:jc w:val="both"/>
              <w:rPr>
                <w:sz w:val="20"/>
                <w:szCs w:val="20"/>
              </w:rPr>
            </w:pPr>
            <w:r>
              <w:rPr>
                <w:sz w:val="20"/>
                <w:szCs w:val="20"/>
              </w:rPr>
              <w:t xml:space="preserve">Pasākuma ietvaros tiek plānoti atjaunošanas vai pārbūves darbi ēku infrastruktūrā, pamatā paredzot vienkāršotas būvdarbus telpās un, kur nepieciešams, pārbūvējot vai izbūvējot iekšējos inženiertīklus - ventilācijas, ūdens un kanalizācijas vai apkures sistēmas. Atsevišķos gadījumos var tikt paredzēti lifta, </w:t>
            </w:r>
            <w:proofErr w:type="spellStart"/>
            <w:r>
              <w:rPr>
                <w:sz w:val="20"/>
                <w:szCs w:val="20"/>
              </w:rPr>
              <w:t>pandusu</w:t>
            </w:r>
            <w:proofErr w:type="spellEnd"/>
            <w:r>
              <w:rPr>
                <w:sz w:val="20"/>
                <w:szCs w:val="20"/>
              </w:rPr>
              <w:t xml:space="preserve"> vai </w:t>
            </w:r>
            <w:proofErr w:type="spellStart"/>
            <w:r>
              <w:rPr>
                <w:sz w:val="20"/>
                <w:szCs w:val="20"/>
              </w:rPr>
              <w:t>uzbrauktuvju</w:t>
            </w:r>
            <w:proofErr w:type="spellEnd"/>
            <w:r>
              <w:rPr>
                <w:sz w:val="20"/>
                <w:szCs w:val="20"/>
              </w:rPr>
              <w:t xml:space="preserve"> izbūve, lai nodrošinātu infrastruktūras pieejamību personām ar funkcionāliem traucējumiem. Pasākuma ietvaros netiks radīti jauni </w:t>
            </w:r>
            <w:proofErr w:type="spellStart"/>
            <w:r>
              <w:rPr>
                <w:sz w:val="20"/>
                <w:szCs w:val="20"/>
              </w:rPr>
              <w:t>būvapjomi</w:t>
            </w:r>
            <w:proofErr w:type="spellEnd"/>
            <w:r>
              <w:rPr>
                <w:sz w:val="20"/>
                <w:szCs w:val="20"/>
              </w:rPr>
              <w:t xml:space="preserve">, izbūvējot jaunas </w:t>
            </w:r>
            <w:r>
              <w:rPr>
                <w:sz w:val="20"/>
                <w:szCs w:val="20"/>
              </w:rPr>
              <w:lastRenderedPageBreak/>
              <w:t>ēkas vai jaunas ēku piebūves. Attiecīgi netiek paredzēti ēku vai būvju demontāža, tādejādi būtiski atkritumu apjomi neradīsies.</w:t>
            </w:r>
          </w:p>
        </w:tc>
      </w:tr>
      <w:tr w:rsidR="00927BBA" w14:paraId="569DCD7B" w14:textId="77777777" w:rsidTr="00D50DDD">
        <w:trPr>
          <w:trHeight w:val="542"/>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C415BF5" w14:textId="77777777" w:rsidR="00927BBA" w:rsidRDefault="00927BBA" w:rsidP="00927BBA">
            <w:pPr>
              <w:spacing w:line="240" w:lineRule="auto"/>
              <w:jc w:val="both"/>
              <w:rPr>
                <w:b/>
                <w:sz w:val="20"/>
                <w:szCs w:val="20"/>
              </w:rPr>
            </w:pPr>
            <w:r>
              <w:rPr>
                <w:b/>
                <w:sz w:val="20"/>
                <w:szCs w:val="20"/>
              </w:rPr>
              <w:lastRenderedPageBreak/>
              <w:t xml:space="preserve">Piesārņojuma novēršana un kontrole. </w:t>
            </w:r>
          </w:p>
          <w:p w14:paraId="12718DDD" w14:textId="77777777" w:rsidR="00927BBA" w:rsidRDefault="00927BBA" w:rsidP="00927BBA">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95C122E" w14:textId="5C16AE07"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EC2EA28" w14:textId="6D1F327C" w:rsidR="00927BBA" w:rsidRPr="005937D4" w:rsidRDefault="00A661FF" w:rsidP="00D50DDD">
            <w:pPr>
              <w:widowControl w:val="0"/>
              <w:pBdr>
                <w:top w:val="nil"/>
                <w:left w:val="nil"/>
                <w:bottom w:val="nil"/>
                <w:right w:val="nil"/>
                <w:between w:val="nil"/>
              </w:pBdr>
              <w:spacing w:line="240" w:lineRule="auto"/>
              <w:rPr>
                <w:sz w:val="20"/>
                <w:szCs w:val="20"/>
              </w:rPr>
            </w:pPr>
            <w:r>
              <w:rPr>
                <w:sz w:val="20"/>
                <w:szCs w:val="20"/>
              </w:rPr>
              <w:t>Skatīt novērtējuma 1.daļu.</w:t>
            </w:r>
          </w:p>
        </w:tc>
      </w:tr>
      <w:tr w:rsidR="00927BBA" w14:paraId="4F0058F0" w14:textId="77777777" w:rsidTr="00D50DDD">
        <w:trPr>
          <w:trHeight w:val="1679"/>
          <w:jc w:val="center"/>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E0D66D" w14:textId="77777777" w:rsidR="00927BBA" w:rsidRDefault="00927BBA" w:rsidP="00927BBA">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128EFF46" w14:textId="77777777" w:rsidR="00927BBA" w:rsidRDefault="00927BBA" w:rsidP="00927BBA">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12E3D4A8" w14:textId="60E0A71F" w:rsidR="00927BBA" w:rsidRPr="005937D4" w:rsidRDefault="00927BBA" w:rsidP="00927BBA">
            <w:pPr>
              <w:spacing w:line="240" w:lineRule="auto"/>
              <w:jc w:val="center"/>
              <w:rPr>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961FBA9" w14:textId="257835A4" w:rsidR="00927BBA" w:rsidRPr="005937D4" w:rsidRDefault="00A661FF" w:rsidP="00D50DDD">
            <w:pPr>
              <w:widowControl w:val="0"/>
              <w:pBdr>
                <w:top w:val="nil"/>
                <w:left w:val="nil"/>
                <w:bottom w:val="nil"/>
                <w:right w:val="nil"/>
                <w:between w:val="nil"/>
              </w:pBdr>
              <w:spacing w:line="240" w:lineRule="auto"/>
              <w:rPr>
                <w:sz w:val="20"/>
                <w:szCs w:val="20"/>
              </w:rPr>
            </w:pPr>
            <w:r>
              <w:rPr>
                <w:sz w:val="20"/>
                <w:szCs w:val="20"/>
              </w:rPr>
              <w:t>Skatīt novērtējuma 1.daļu.</w:t>
            </w:r>
          </w:p>
        </w:tc>
      </w:tr>
    </w:tbl>
    <w:p w14:paraId="5B60C128" w14:textId="77777777" w:rsidR="00D452E2" w:rsidRDefault="00D452E2" w:rsidP="00D452E2">
      <w:pPr>
        <w:spacing w:before="240" w:after="240" w:line="276" w:lineRule="auto"/>
        <w:jc w:val="center"/>
        <w:rPr>
          <w:b/>
          <w:sz w:val="20"/>
          <w:szCs w:val="20"/>
        </w:rPr>
      </w:pPr>
    </w:p>
    <w:p w14:paraId="29DF10CC" w14:textId="77777777" w:rsidR="00A7192A" w:rsidRPr="00D452E2" w:rsidRDefault="00A7192A" w:rsidP="00D452E2">
      <w:pPr>
        <w:tabs>
          <w:tab w:val="left" w:pos="3366"/>
        </w:tabs>
        <w:rPr>
          <w:sz w:val="20"/>
          <w:szCs w:val="20"/>
        </w:rPr>
      </w:pPr>
    </w:p>
    <w:sectPr w:rsidR="00A7192A"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6A6C7" w14:textId="77777777" w:rsidR="00FC1650" w:rsidRDefault="00FC1650">
      <w:pPr>
        <w:spacing w:line="240" w:lineRule="auto"/>
      </w:pPr>
      <w:r>
        <w:separator/>
      </w:r>
    </w:p>
  </w:endnote>
  <w:endnote w:type="continuationSeparator" w:id="0">
    <w:p w14:paraId="65A16A10" w14:textId="77777777" w:rsidR="00FC1650" w:rsidRDefault="00FC1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69436" w14:textId="77777777" w:rsidR="00FC1650" w:rsidRDefault="00FC1650">
      <w:pPr>
        <w:spacing w:line="240" w:lineRule="auto"/>
      </w:pPr>
      <w:r>
        <w:separator/>
      </w:r>
    </w:p>
  </w:footnote>
  <w:footnote w:type="continuationSeparator" w:id="0">
    <w:p w14:paraId="449B2059" w14:textId="77777777" w:rsidR="00FC1650" w:rsidRDefault="00FC1650">
      <w:pPr>
        <w:spacing w:line="240" w:lineRule="auto"/>
      </w:pPr>
      <w:r>
        <w:continuationSeparator/>
      </w:r>
    </w:p>
  </w:footnote>
  <w:footnote w:id="1">
    <w:p w14:paraId="1BE008FA" w14:textId="16C32397" w:rsidR="00D452E2" w:rsidRDefault="00D452E2" w:rsidP="00D452E2">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novērtējuma 2.daļā tiek apliecināts,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1749B"/>
    <w:rsid w:val="00036500"/>
    <w:rsid w:val="000569E6"/>
    <w:rsid w:val="0011328B"/>
    <w:rsid w:val="001C0EED"/>
    <w:rsid w:val="001D6D48"/>
    <w:rsid w:val="00223991"/>
    <w:rsid w:val="00227B64"/>
    <w:rsid w:val="002B078A"/>
    <w:rsid w:val="0031600E"/>
    <w:rsid w:val="00360D4B"/>
    <w:rsid w:val="004153F2"/>
    <w:rsid w:val="004B284D"/>
    <w:rsid w:val="004C6E7F"/>
    <w:rsid w:val="005726A5"/>
    <w:rsid w:val="005937D4"/>
    <w:rsid w:val="00597F5B"/>
    <w:rsid w:val="005E131B"/>
    <w:rsid w:val="005E445E"/>
    <w:rsid w:val="006A5616"/>
    <w:rsid w:val="00726DE1"/>
    <w:rsid w:val="007331D8"/>
    <w:rsid w:val="007830B8"/>
    <w:rsid w:val="007C0D0E"/>
    <w:rsid w:val="007C2F15"/>
    <w:rsid w:val="007C3676"/>
    <w:rsid w:val="007C6C80"/>
    <w:rsid w:val="007D6C1F"/>
    <w:rsid w:val="0084537A"/>
    <w:rsid w:val="008C5859"/>
    <w:rsid w:val="008E770D"/>
    <w:rsid w:val="00920665"/>
    <w:rsid w:val="0092673F"/>
    <w:rsid w:val="00927BBA"/>
    <w:rsid w:val="009542B8"/>
    <w:rsid w:val="00A12BD2"/>
    <w:rsid w:val="00A25375"/>
    <w:rsid w:val="00A661FF"/>
    <w:rsid w:val="00A7192A"/>
    <w:rsid w:val="00A95C75"/>
    <w:rsid w:val="00AB3BD7"/>
    <w:rsid w:val="00AD4ECC"/>
    <w:rsid w:val="00AE18C8"/>
    <w:rsid w:val="00AF06BA"/>
    <w:rsid w:val="00BA5438"/>
    <w:rsid w:val="00BC31F3"/>
    <w:rsid w:val="00BF4163"/>
    <w:rsid w:val="00C026C0"/>
    <w:rsid w:val="00C1735B"/>
    <w:rsid w:val="00C22491"/>
    <w:rsid w:val="00C9589B"/>
    <w:rsid w:val="00CC445E"/>
    <w:rsid w:val="00CD70B0"/>
    <w:rsid w:val="00CE25D1"/>
    <w:rsid w:val="00D452E2"/>
    <w:rsid w:val="00D50DDD"/>
    <w:rsid w:val="00DD44CE"/>
    <w:rsid w:val="00E21643"/>
    <w:rsid w:val="00E703C5"/>
    <w:rsid w:val="00E840A8"/>
    <w:rsid w:val="00EA28B3"/>
    <w:rsid w:val="00EC3639"/>
    <w:rsid w:val="00ED6B4A"/>
    <w:rsid w:val="00F200CC"/>
    <w:rsid w:val="00F559F8"/>
    <w:rsid w:val="00F67865"/>
    <w:rsid w:val="00F67A5B"/>
    <w:rsid w:val="00F823F2"/>
    <w:rsid w:val="00FB17AA"/>
    <w:rsid w:val="00FC1650"/>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D381"/>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7C6C8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605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s" ma:contentTypeID="0x010100B22C3B4BACCC354FADCDE68687A6FD56" ma:contentTypeVersion="12" ma:contentTypeDescription="Izveidot jaunu dokumentu." ma:contentTypeScope="" ma:versionID="1932201a7ba09da07cb99095871439f1">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8d1f346810b3b930dfe9cec2d9b2a13d"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3938B-8FB4-4BA4-A521-2199632B78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26A3C1-8048-46EC-B361-0AB833F0EBDD}">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84BC2F7-943E-467C-92C1-602845F7FCF2}">
  <ds:schemaRefs>
    <ds:schemaRef ds:uri="http://schemas.microsoft.com/sharepoint/v3/contenttype/forms"/>
  </ds:schemaRefs>
</ds:datastoreItem>
</file>

<file path=customXml/itemProps5.xml><?xml version="1.0" encoding="utf-8"?>
<ds:datastoreItem xmlns:ds="http://schemas.openxmlformats.org/officeDocument/2006/customXml" ds:itemID="{83FEB2E1-AF37-4B3E-BFF4-C729F74A1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5545</Words>
  <Characters>3162</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Santa Feifere</cp:lastModifiedBy>
  <cp:revision>2</cp:revision>
  <dcterms:created xsi:type="dcterms:W3CDTF">2024-07-18T15:37:00Z</dcterms:created>
  <dcterms:modified xsi:type="dcterms:W3CDTF">2024-07-18T15:37:00Z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