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20F45" w14:textId="2775CE44" w:rsidR="00696639" w:rsidRPr="00661E19" w:rsidRDefault="00696639" w:rsidP="00696639">
      <w:pPr>
        <w:jc w:val="right"/>
        <w:rPr>
          <w:b/>
          <w:bCs/>
        </w:rPr>
      </w:pPr>
      <w:r>
        <w:rPr>
          <w:b/>
          <w:bCs/>
        </w:rPr>
        <w:t>5</w:t>
      </w:r>
      <w:r w:rsidRPr="00661E19">
        <w:rPr>
          <w:b/>
          <w:bCs/>
        </w:rPr>
        <w:t>.pielikums</w:t>
      </w:r>
    </w:p>
    <w:p w14:paraId="06CB9848" w14:textId="77777777" w:rsidR="00696639" w:rsidRDefault="00696639" w:rsidP="00696639">
      <w:pPr>
        <w:spacing w:before="0" w:after="0"/>
        <w:jc w:val="right"/>
        <w:rPr>
          <w:b/>
          <w:bCs/>
          <w:noProof/>
          <w:szCs w:val="24"/>
        </w:rPr>
      </w:pPr>
    </w:p>
    <w:p w14:paraId="4BCD64C5" w14:textId="4C8AE04C" w:rsidR="00527616" w:rsidRPr="009C1E5E" w:rsidRDefault="00527616" w:rsidP="00185102">
      <w:pPr>
        <w:spacing w:before="0" w:after="0"/>
        <w:jc w:val="center"/>
        <w:rPr>
          <w:b/>
          <w:bCs/>
          <w:noProof/>
          <w:szCs w:val="24"/>
        </w:rPr>
      </w:pPr>
      <w:r w:rsidRPr="009C1E5E">
        <w:rPr>
          <w:b/>
          <w:bCs/>
          <w:noProof/>
          <w:szCs w:val="24"/>
        </w:rPr>
        <w:t>Tematiskais priekšnosacījums Nr.13 (4.4.)</w:t>
      </w:r>
    </w:p>
    <w:p w14:paraId="219FAB3E" w14:textId="0C354B02" w:rsidR="00527616" w:rsidRDefault="00527616" w:rsidP="00185102">
      <w:pPr>
        <w:spacing w:before="0" w:after="0"/>
        <w:jc w:val="center"/>
        <w:rPr>
          <w:b/>
          <w:bCs/>
          <w:noProof/>
          <w:szCs w:val="24"/>
        </w:rPr>
      </w:pPr>
      <w:r w:rsidRPr="009C1E5E">
        <w:rPr>
          <w:b/>
          <w:bCs/>
          <w:noProof/>
          <w:szCs w:val="24"/>
        </w:rPr>
        <w:t>Valsts stratēģiskās politikas satvars sociālās iekļaušanas un nabadzības mazināšanas jomā</w:t>
      </w:r>
    </w:p>
    <w:p w14:paraId="738B3815" w14:textId="77777777" w:rsidR="00185102" w:rsidRPr="009C1E5E" w:rsidRDefault="00185102" w:rsidP="00185102">
      <w:pPr>
        <w:spacing w:before="0" w:after="0"/>
        <w:jc w:val="center"/>
        <w:rPr>
          <w:b/>
          <w:bCs/>
          <w:szCs w:val="24"/>
        </w:rPr>
      </w:pPr>
    </w:p>
    <w:p w14:paraId="05791C8E" w14:textId="77777777" w:rsidR="00527616" w:rsidRPr="00527616" w:rsidRDefault="00527616" w:rsidP="00185102">
      <w:pPr>
        <w:spacing w:before="0" w:after="0"/>
        <w:rPr>
          <w:noProof/>
          <w:szCs w:val="24"/>
        </w:rPr>
      </w:pPr>
      <w:r w:rsidRPr="002A78B1">
        <w:rPr>
          <w:b/>
          <w:szCs w:val="24"/>
        </w:rPr>
        <w:t>Kritērijs nr.1</w:t>
      </w:r>
      <w:r w:rsidRPr="00527616">
        <w:rPr>
          <w:szCs w:val="24"/>
        </w:rPr>
        <w:t xml:space="preserve"> </w:t>
      </w:r>
      <w:r w:rsidRPr="00527616">
        <w:rPr>
          <w:noProof/>
          <w:szCs w:val="24"/>
        </w:rPr>
        <w:t>uz pierādījumiem balstītus secinājumus par nabadzību un sociālo atstumtību, tostarp par bērnu nabadzību, jo īpaši attiecībā uz vienlīdzīgu piekļuvi kvalitatīviem pakalpojumiem, kas paredzēti bērniem neaizsargātās situācijās, kā arī bezpajumtniecību, teritoriālo un izglītības segregāciju, ierobežotu piekļuvi pamatpakalpojumiem un infrastruktūrai, un par visu vecuma grupu neaizsargāto personu īpašajām vajadzībām.</w:t>
      </w:r>
    </w:p>
    <w:p w14:paraId="4B1AEF7C" w14:textId="77777777" w:rsidR="00527616" w:rsidRPr="00527616" w:rsidRDefault="00527616" w:rsidP="00185102">
      <w:pPr>
        <w:spacing w:before="0" w:after="0"/>
        <w:rPr>
          <w:szCs w:val="24"/>
          <w:u w:val="single"/>
        </w:rPr>
      </w:pPr>
      <w:r w:rsidRPr="00527616">
        <w:rPr>
          <w:szCs w:val="24"/>
          <w:u w:val="single"/>
        </w:rPr>
        <w:t>Pamatojums:</w:t>
      </w:r>
    </w:p>
    <w:p w14:paraId="63623C90" w14:textId="77777777" w:rsidR="001C7C5E" w:rsidRDefault="00527616" w:rsidP="00185102">
      <w:pPr>
        <w:spacing w:before="0" w:after="0"/>
        <w:rPr>
          <w:szCs w:val="24"/>
        </w:rPr>
      </w:pPr>
      <w:r w:rsidRPr="00527616">
        <w:rPr>
          <w:szCs w:val="24"/>
        </w:rPr>
        <w:t xml:space="preserve">Sociālās aizsardzības un darba tirgus politikas pamatnostādņu 2021.-2027.g. galvenais mērķis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w:t>
      </w:r>
      <w:r w:rsidRPr="00F1440B">
        <w:rPr>
          <w:szCs w:val="24"/>
        </w:rPr>
        <w:t xml:space="preserve">Pamatnostādnēs identificētie izaicinājumi, risināmie uzdevumi nabadzības un sociālās atstumtības jomā ir balstīti gan uz starptautiski salīdzināmiem apsekojumu datiem (piemēram, EU-SILC, LFS), gan nacionāla līmeņa datiem un pētījumiem, kā arī izmantojot starptautiskus monitoringa instrumentus (skat.2.pielikumu un datu avotus, pamatnostādņu rezultatīvo rādītāju tabulā norādīto saikni ar monitoringa ietvaru). Arī pieejamība sociālajiem pakalpojumiem ir analizēta balstoties uz EU-SILC </w:t>
      </w:r>
      <w:r w:rsidRPr="00F1440B">
        <w:rPr>
          <w:i/>
          <w:iCs/>
          <w:szCs w:val="24"/>
        </w:rPr>
        <w:t>ad-hoc</w:t>
      </w:r>
      <w:r w:rsidRPr="00F1440B">
        <w:rPr>
          <w:szCs w:val="24"/>
        </w:rPr>
        <w:t xml:space="preserve"> datiem un administratīvo reģistru/ informācijas sistēmu datiem.</w:t>
      </w:r>
    </w:p>
    <w:p w14:paraId="4ABA5C52" w14:textId="77777777" w:rsidR="004A679B" w:rsidRPr="00F1440B" w:rsidRDefault="004A679B" w:rsidP="00185102">
      <w:pPr>
        <w:spacing w:before="0" w:after="0"/>
        <w:rPr>
          <w:szCs w:val="24"/>
        </w:rPr>
      </w:pPr>
      <w:r w:rsidRPr="004A679B">
        <w:rPr>
          <w:szCs w:val="24"/>
        </w:rPr>
        <w:t xml:space="preserve">Ekonomiskā attīstība, ienākumu pārdale nodokļu politikas ietvaros, pieejama veselības aprūpe un izglītība visā mūža garumā, mobilitātes iespējas un citi faktori ietekmē nabadzības mazināšanu un veicina sociālo iekļaušanu. </w:t>
      </w:r>
      <w:r w:rsidRPr="00F1440B">
        <w:rPr>
          <w:szCs w:val="24"/>
        </w:rPr>
        <w:t>Piemēram, par bezpajumtniekiem ir identificētās un aktuālākās problēmas:</w:t>
      </w:r>
    </w:p>
    <w:p w14:paraId="06B90374" w14:textId="2912FDEA" w:rsidR="00064E08" w:rsidRPr="00F1440B" w:rsidRDefault="004A679B" w:rsidP="00185102">
      <w:pPr>
        <w:pStyle w:val="ListParagraph"/>
        <w:numPr>
          <w:ilvl w:val="0"/>
          <w:numId w:val="2"/>
        </w:numPr>
        <w:spacing w:before="0" w:after="0"/>
        <w:rPr>
          <w:szCs w:val="24"/>
        </w:rPr>
      </w:pPr>
      <w:r w:rsidRPr="00F1440B">
        <w:rPr>
          <w:szCs w:val="24"/>
        </w:rPr>
        <w:t xml:space="preserve">mājokļa problēma (97%), saskarsmes problēma/konflikti (67%), </w:t>
      </w:r>
    </w:p>
    <w:p w14:paraId="052977EA" w14:textId="1E39586C" w:rsidR="00064E08" w:rsidRPr="00F1440B" w:rsidRDefault="004A679B" w:rsidP="00185102">
      <w:pPr>
        <w:pStyle w:val="ListParagraph"/>
        <w:numPr>
          <w:ilvl w:val="0"/>
          <w:numId w:val="2"/>
        </w:numPr>
        <w:spacing w:before="0" w:after="0"/>
        <w:rPr>
          <w:szCs w:val="24"/>
        </w:rPr>
      </w:pPr>
      <w:r w:rsidRPr="00F1440B">
        <w:rPr>
          <w:szCs w:val="24"/>
        </w:rPr>
        <w:t xml:space="preserve">nodarbinātība (61%), </w:t>
      </w:r>
    </w:p>
    <w:p w14:paraId="6A7480DD" w14:textId="56EE7400" w:rsidR="004A679B" w:rsidRDefault="004A679B" w:rsidP="00185102">
      <w:pPr>
        <w:pStyle w:val="ListParagraph"/>
        <w:numPr>
          <w:ilvl w:val="0"/>
          <w:numId w:val="2"/>
        </w:numPr>
        <w:spacing w:before="0" w:after="0"/>
        <w:rPr>
          <w:szCs w:val="24"/>
        </w:rPr>
      </w:pPr>
      <w:r w:rsidRPr="00F1440B">
        <w:rPr>
          <w:szCs w:val="24"/>
        </w:rPr>
        <w:t>atkarības problēma (58%). Sociālo darbinieku, NVA u.c. iesa</w:t>
      </w:r>
      <w:r w:rsidR="00064E08" w:rsidRPr="00F1440B">
        <w:rPr>
          <w:szCs w:val="24"/>
        </w:rPr>
        <w:t>i</w:t>
      </w:r>
      <w:r w:rsidRPr="00F1440B">
        <w:rPr>
          <w:szCs w:val="24"/>
        </w:rPr>
        <w:t>ste ir palīdzoša un nepieciešama problēmu risināšanā.</w:t>
      </w:r>
    </w:p>
    <w:p w14:paraId="25D22D2A" w14:textId="77777777" w:rsidR="00595904" w:rsidRPr="003B59CA" w:rsidRDefault="00595904" w:rsidP="00595904">
      <w:pPr>
        <w:spacing w:before="0" w:after="0"/>
        <w:rPr>
          <w:szCs w:val="24"/>
        </w:rPr>
      </w:pPr>
      <w:r w:rsidRPr="00595904">
        <w:rPr>
          <w:szCs w:val="24"/>
        </w:rPr>
        <w:t>Starpnozaru sadarbības un atbalsta sistēmas pilnveide bērnu attīstības, uzvedības un psihisko traucējumu veidošanās risku mazināšanai - paredz veidot agrīnā preventīvā atbalsta sistēmu un īstenot visaptverošu, integrētu, uz indivīda vajadzībām orientētu profilakses un agrīnās intervences aktivitāšu kopumu bērnu attīstības,  uzvedības un psihisko traucējumu veidošanās risku mazināšanai, tādējādi radot priekšnoteikumus personas veselīgai attīstībai un veiksmīgai pašrealizācijai mūža garumā.</w:t>
      </w:r>
    </w:p>
    <w:p w14:paraId="513037C2" w14:textId="7D07D2A4" w:rsidR="006D1250" w:rsidRPr="006D1250" w:rsidRDefault="00D3139B" w:rsidP="00185102">
      <w:pPr>
        <w:spacing w:before="0" w:after="0"/>
        <w:rPr>
          <w:szCs w:val="24"/>
        </w:rPr>
      </w:pPr>
      <w:hyperlink r:id="rId7" w:history="1">
        <w:r w:rsidR="006D1250" w:rsidRPr="006D1250">
          <w:rPr>
            <w:szCs w:val="24"/>
          </w:rPr>
          <w:t>IAP</w:t>
        </w:r>
      </w:hyperlink>
      <w:r w:rsidR="006D1250" w:rsidRPr="006D1250">
        <w:rPr>
          <w:szCs w:val="24"/>
        </w:rPr>
        <w:t xml:space="preserve"> - rīcības virziena 2.2. “Izglītības vides attīstība” minētais uzdevums nr. 2.2.1. “Stiprināt vispārējās izglītības iestāžu nodrošinājumu ar mūsdienīgas un kvalitatīvas izglītības īstenošanai nepieciešamajiem resursiem, mācību vidi un infrastruktūru”; rīcības virziena 3.1. „Institucionāli risinājumi atbalsta nodrošināšanai ikviena izaugsmei” u</w:t>
      </w:r>
      <w:bookmarkStart w:id="0" w:name="_GoBack"/>
      <w:bookmarkEnd w:id="0"/>
      <w:r w:rsidR="006D1250" w:rsidRPr="006D1250">
        <w:rPr>
          <w:szCs w:val="24"/>
        </w:rPr>
        <w:t xml:space="preserve">zdevums nr. 3.1.1. “Nodrošināt iekļaujošas izglītības pieeju visos izglītības līmeņos”, minētais uzdevums nr.3.1.2. “Nodrošināt augstas kvalitātes speciālo izglītību”; rīcības virziena 3.2. “Sadarbība un dalīta atbildība ar vietējo kopienu izglītības mērķu sasniegšanai” minētais uzdevums nr. 3.2.2. “Stiprināt kopienas mēroga sadarbību (pašvaldības ietvaros) indivīda izaugsmei” </w:t>
      </w:r>
      <w:sdt>
        <w:sdtPr>
          <w:tag w:val="goog_rdk_149"/>
          <w:id w:val="2111706647"/>
        </w:sdtPr>
        <w:sdtEndPr/>
        <w:sdtContent>
          <w:r w:rsidR="006D1250" w:rsidRPr="006D1250">
            <w:rPr>
              <w:szCs w:val="24"/>
            </w:rPr>
            <w:t xml:space="preserve"> sniedz ieguldījumu kvalitatīvas izglītības pieejamības uzlabošanā, tādējādi mazinot ģimenes sociāli ekonomiskā stāvokļa ietekmi uz bērnu un jauniešu iespējām iegūt kvalitatīvu izglītību</w:t>
          </w:r>
        </w:sdtContent>
      </w:sdt>
      <w:r w:rsidR="006D1250" w:rsidRPr="006D1250">
        <w:rPr>
          <w:szCs w:val="24"/>
        </w:rPr>
        <w:t>.</w:t>
      </w:r>
    </w:p>
    <w:p w14:paraId="41D7F999" w14:textId="77777777" w:rsidR="006D1250" w:rsidRPr="006D1250" w:rsidRDefault="006D1250" w:rsidP="00185102">
      <w:pPr>
        <w:spacing w:before="0" w:after="0"/>
        <w:rPr>
          <w:szCs w:val="24"/>
        </w:rPr>
      </w:pPr>
      <w:r w:rsidRPr="006D1250">
        <w:rPr>
          <w:szCs w:val="24"/>
        </w:rPr>
        <w:lastRenderedPageBreak/>
        <w:t>Reģionālās politikas pamatnostādnēs 2021.-2027.gadam paredzēti atbalsta mehānismi, lai risinātu situāciju ar nepietiekamu pirmsskolas izglītības un bērnu pieskatīšanas pakalpojuma pieejamību.</w:t>
      </w:r>
    </w:p>
    <w:p w14:paraId="158F408C" w14:textId="6DA542A9" w:rsidR="006D1250" w:rsidRPr="006D1250" w:rsidRDefault="006D1250" w:rsidP="00185102">
      <w:pPr>
        <w:spacing w:before="0" w:after="0"/>
        <w:rPr>
          <w:szCs w:val="24"/>
        </w:rPr>
      </w:pPr>
      <w:r w:rsidRPr="006D1250">
        <w:rPr>
          <w:szCs w:val="24"/>
        </w:rPr>
        <w:t>Resocializācijas politikas mērķis ir mazināt noziedzīgās uzvedības riskus ieslodzītajiem un probācijas klientiem, tādējādi radot priekšnoteikumus personas veiksmīgai iekļaušanai sabiedrībā, tai skaitā aktīvai līdzdalībai sabiedrības procesos (arī nodarbinā</w:t>
      </w:r>
      <w:r w:rsidR="00C50698">
        <w:rPr>
          <w:szCs w:val="24"/>
        </w:rPr>
        <w:t>t</w:t>
      </w:r>
      <w:r w:rsidRPr="006D1250">
        <w:rPr>
          <w:szCs w:val="24"/>
        </w:rPr>
        <w:t xml:space="preserve">ības jomā). </w:t>
      </w:r>
    </w:p>
    <w:p w14:paraId="33ABE5CB" w14:textId="77777777" w:rsidR="006D1250" w:rsidRPr="006D1250" w:rsidRDefault="006D1250" w:rsidP="00185102">
      <w:pPr>
        <w:spacing w:before="0" w:after="0"/>
        <w:rPr>
          <w:szCs w:val="24"/>
        </w:rPr>
      </w:pPr>
      <w:r w:rsidRPr="006D1250">
        <w:rPr>
          <w:szCs w:val="24"/>
        </w:rPr>
        <w:t>Sabiedrības saliedētības pamatnostādņu 2021- 2027.gadam 2.rīcības virziena “Demokrātijas kultūra un iekļaujošs pilsoniskums” 2.2.apakšpunkts paredz stiprināt pilsoniskās sabiedrības attīstību un ilgtspēju, veidojot pilsonisku kultūru un attīstot iekļaujošu pilsoniskumu.</w:t>
      </w:r>
    </w:p>
    <w:p w14:paraId="53D41F3D" w14:textId="5C1D369D" w:rsidR="009A79F0" w:rsidRPr="006D1250" w:rsidRDefault="006D1250" w:rsidP="00185102">
      <w:pPr>
        <w:spacing w:before="0" w:after="0"/>
        <w:rPr>
          <w:szCs w:val="24"/>
        </w:rPr>
      </w:pPr>
      <w:r w:rsidRPr="006D1250">
        <w:rPr>
          <w:szCs w:val="24"/>
        </w:rPr>
        <w:t>Bērnu, jaunatnes un ģimenes attīstības pamatnostādnes 202</w:t>
      </w:r>
      <w:r w:rsidR="003B59CA">
        <w:rPr>
          <w:szCs w:val="24"/>
        </w:rPr>
        <w:t>2</w:t>
      </w:r>
      <w:r w:rsidRPr="006D1250">
        <w:rPr>
          <w:szCs w:val="24"/>
        </w:rPr>
        <w:t>.-2027.gadam paredz veidot ģimenēm ar bērniem draudzīgu sabiedrību, kas veicina bērnu un jaunatnes labklājību, veselīgu attīstību un vienlīdzīgas iespējas un veicināt izglītības iestāžu, t.sk. pirmsskolu personāla informētību par bērnu uzvedības īpatnībām un piemērotāko rīcību dažādu saslimšanu un uzvedības traucējumu gadījumā, kā arī attīstīt atbalsta dienestu gan izglītības iestāžu personālam, gan bērniem un viņu vecākiem, kur vērsties pēc palīdzības, lai neatkarīgi no bērna īpašajām individuālajām vajadzībām nodrošinātu atbilstošas pirmsskolas izglītības pieejamību un sociālo iekļaušanos, kā arī pilnveidot speciālistu zināšanu un prasmes bērnu attīstības vajadzību jautājumos. Pamatnostādnes aptver virkni šobrīd aktuālu, horizontāli un pārnozariski risināmu, jaunu attīstības virzienu bērnu, jaunatnes un ģimenes politikas jomā, kā piemēram, bērnu un jauniešu attīstības vajadzību nodrošināšana, agrīnā preventīvā atbalsta sistēmas izveide, veselība, izglītība, psiholoģiskā un emocionālā labklājība viņu izaugsmes ceļā, jauniešu līdzdalības veicināšana, bērnu tiesību aizsardzības un uzraudzības sistēmas pilnveidošana, darba ar jaunatni sistēmas attīstība. Izvirzītie rīcības virzieni un uzdevumi attiecināmi uz plašu personu loku, proti, visiem bērniem, kas vēl nav sasnieguši 18 gadu vecumu atbilstoši Bērnu tiesību aizsardzības likuma tvērumam, jauniešiem no 13 līdz 25 gadiem, atbilstoši Jaunatnes likumam, kā arī viņu ģimenēm.</w:t>
      </w:r>
    </w:p>
    <w:p w14:paraId="6B52B2D2" w14:textId="77777777" w:rsidR="002A78B1" w:rsidRDefault="002A78B1" w:rsidP="00185102">
      <w:pPr>
        <w:spacing w:before="0" w:after="0"/>
        <w:rPr>
          <w:szCs w:val="24"/>
        </w:rPr>
      </w:pPr>
      <w:r w:rsidRPr="002A78B1">
        <w:rPr>
          <w:b/>
          <w:szCs w:val="24"/>
        </w:rPr>
        <w:t>Kritērijs nr. 2</w:t>
      </w:r>
      <w:r w:rsidRPr="002A78B1">
        <w:rPr>
          <w:szCs w:val="24"/>
        </w:rPr>
        <w:t>. pasākumus segregācijas novēršanai un apkarošanai visās jomās, tostarp sociālo aizsardzību, iekļaujošu darba tirgu un piekļuvi kvalitatīviem pakalpojumiem, kas paredzēti neaizsargātām personām, tostarp migrantiem un bēgļiem.</w:t>
      </w:r>
    </w:p>
    <w:p w14:paraId="5EA319CC" w14:textId="77777777" w:rsidR="002A78B1" w:rsidRPr="002A78B1" w:rsidRDefault="002A78B1" w:rsidP="00185102">
      <w:pPr>
        <w:spacing w:before="0" w:after="0"/>
        <w:rPr>
          <w:szCs w:val="24"/>
        </w:rPr>
      </w:pPr>
      <w:r w:rsidRPr="002A78B1">
        <w:rPr>
          <w:szCs w:val="24"/>
        </w:rPr>
        <w:t>Ar MK rīkojumu 01.09.2021., Nr.616 apstiprinātas Sociālās aizsardzības un darba tirgus politikas pamatnostādnes 2021.-2027. gadam.</w:t>
      </w:r>
    </w:p>
    <w:p w14:paraId="32219C86" w14:textId="77777777" w:rsidR="002A78B1" w:rsidRPr="002A78B1" w:rsidRDefault="002A78B1" w:rsidP="00185102">
      <w:pPr>
        <w:spacing w:before="0" w:after="0"/>
        <w:rPr>
          <w:szCs w:val="24"/>
        </w:rPr>
      </w:pPr>
      <w:r w:rsidRPr="002A78B1">
        <w:rPr>
          <w:szCs w:val="24"/>
        </w:rPr>
        <w:t>Pamatnostādņu galvenais mērķis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Attiecīgi visi uzdevumi ir vērsti uz nabadzības un sociālās atstumtības mazināšanu.</w:t>
      </w:r>
    </w:p>
    <w:p w14:paraId="4E7E8C5B" w14:textId="74CBE5B2" w:rsidR="002A78B1" w:rsidRPr="002A78B1" w:rsidRDefault="002A78B1" w:rsidP="00185102">
      <w:pPr>
        <w:spacing w:before="0" w:after="0"/>
        <w:rPr>
          <w:szCs w:val="24"/>
        </w:rPr>
      </w:pPr>
      <w:r w:rsidRPr="00863FAC">
        <w:rPr>
          <w:szCs w:val="24"/>
        </w:rPr>
        <w:t>Viens no rīcības virzieniem plānots: Moderna un pieejama sociālo pakalpojumu sistēma, kas cita starpā uzlabo iedzīvotāju iespējas dzīvot neatkarīgi un dzīvot sabiedrībā, iekļauties izglītībā un darba tirgū</w:t>
      </w:r>
      <w:r w:rsidRPr="009A348D">
        <w:rPr>
          <w:szCs w:val="24"/>
        </w:rPr>
        <w:t xml:space="preserve">. Rīcības virziena ietvaros vidējā termiņā paredzēts nodrošināt līdzvērtīgu sociālo pakalpojumu grozu reģionos un pārskatīt sociālo pakalpojumu sniegšanas pieeju un sociālo pakalpojumu saturu atbilstoši mērķa grupu vajadzībām (uz cilvēku centrēta pieeja) un faktiskajām tirgus cenām, t.sk. palielināt sabiedrībā balstītu sociālo pakalpojumu pieejamību,, arī reģionos, uzlabot tehnisko palīglīdzekļu klāstu, stiprināt sociālā darba nozīmi, arī ieviešot jauno pieeju sociālajam darbam ģimenēm ar bērniem, tai skaitā, nostiprinot ģimenes asistenta pakalpojumu, uzlabot atbalstu personām pārejas posmā no institucionālās aprūpes uz patstāvīgu dzīvi; attīstīt uz personu ar FT vajadzībām mērķētu atbalsta pasākumu sistēmu, pārskatīt invaliditātes noteikšanas sistēmu, izstrādāt priekšlikumus kvalitātes un cenas ziņā pieejamu mājokļu nodrošināšanai nabadzības un sociālās atstumtības </w:t>
      </w:r>
      <w:r w:rsidRPr="009A348D">
        <w:rPr>
          <w:szCs w:val="24"/>
        </w:rPr>
        <w:lastRenderedPageBreak/>
        <w:t>riskam pakļautajām iedzīvotāju grupām, iedzīvotājiem krīzes situācijās, iedzīvotājiem reģionālās mobilitātes veicināšanai, attīstot atbalstu, tostarp cilvēkiem ar ļoti smagiem un multipliem FT, cilvēkiem ar demenci, personām paliatīvajā aprūpē, gados vecākiem cilvēkiem, bērniem ar smagu diagnozi un iespējamu vai esošu invaliditāti.</w:t>
      </w:r>
    </w:p>
    <w:p w14:paraId="67DB6A6E" w14:textId="4D37DED7" w:rsidR="002A78B1" w:rsidRPr="002A78B1" w:rsidRDefault="002A78B1" w:rsidP="00185102">
      <w:pPr>
        <w:spacing w:before="0" w:after="0"/>
        <w:rPr>
          <w:szCs w:val="24"/>
        </w:rPr>
      </w:pPr>
      <w:r w:rsidRPr="002A78B1">
        <w:rPr>
          <w:szCs w:val="24"/>
        </w:rPr>
        <w:t xml:space="preserve">Plāna minimālo ienākumu atbalsta sistēmas pilnveidošanai 2022.–2024.gadam ir vidēja termiņa politikas plānošanas dokuments, kas izstrādāts, lai noteiktu minimālo ienākumu atbalsta sistēmas parametru noteikšanas kritērijus, kārtību un metodi, kā arī pārskatīšanas kārtību, ņemot vērā valsts ekonomikas attīstību. </w:t>
      </w:r>
    </w:p>
    <w:p w14:paraId="678EE2F6" w14:textId="77777777" w:rsidR="002A78B1" w:rsidRPr="002A78B1" w:rsidRDefault="002A78B1" w:rsidP="00185102">
      <w:pPr>
        <w:spacing w:before="0" w:after="0"/>
        <w:rPr>
          <w:szCs w:val="24"/>
        </w:rPr>
      </w:pPr>
      <w:r w:rsidRPr="009A348D">
        <w:rPr>
          <w:szCs w:val="24"/>
        </w:rPr>
        <w:t>Plāna ietvaros paredzēts normatīvajos aktos nostiprināt minimālo ienākumu sliekšņu noteikšanas metodoloģiju, pārskatīt (palielināt) minimālos ienākumu sliekšņus katru gadu no 2023.gada 1.janvāra un sagatavot priekšlikumus minimālo pensiju finansēšanas principu un politikas maiņai. Minētie pasākumi attiecas uz šādām iedzīvotāju grupām: garantētā minimālā ienākuma pabalsta saņēmējiem, trūcīgām mājsaimniecībām, maznodrošinātām mājsaimniecībām, valsts sociālā nodrošinājuma pabalsta saņēmējiem un valsts minimālo pensiju (vecuma, invaliditātes, apgādnieka zaudējuma pensija) saņēmējiem.</w:t>
      </w:r>
    </w:p>
    <w:p w14:paraId="6FA5F1DF" w14:textId="77777777" w:rsidR="002A78B1" w:rsidRDefault="002A78B1" w:rsidP="00185102">
      <w:pPr>
        <w:spacing w:before="0" w:after="0"/>
        <w:rPr>
          <w:szCs w:val="24"/>
        </w:rPr>
      </w:pPr>
    </w:p>
    <w:p w14:paraId="4C3CF78A" w14:textId="77777777" w:rsidR="00970ACF" w:rsidRDefault="00970ACF" w:rsidP="00185102">
      <w:pPr>
        <w:spacing w:before="0" w:after="0"/>
        <w:rPr>
          <w:szCs w:val="24"/>
        </w:rPr>
      </w:pPr>
      <w:r w:rsidRPr="00970ACF">
        <w:rPr>
          <w:b/>
          <w:szCs w:val="24"/>
        </w:rPr>
        <w:t>Kritērijs Nr. 3.</w:t>
      </w:r>
      <w:r w:rsidRPr="00970ACF">
        <w:rPr>
          <w:szCs w:val="24"/>
        </w:rPr>
        <w:t xml:space="preserve"> pasākumus pārejai no institucionālās aprūpes uz aprūpi ģimenē un vietējā kopienā.</w:t>
      </w:r>
    </w:p>
    <w:p w14:paraId="188911C9" w14:textId="77777777" w:rsidR="00970ACF" w:rsidRPr="009A348D" w:rsidRDefault="00970ACF" w:rsidP="00185102">
      <w:pPr>
        <w:spacing w:before="0" w:after="0"/>
        <w:rPr>
          <w:szCs w:val="24"/>
        </w:rPr>
      </w:pPr>
      <w:r w:rsidRPr="00970ACF">
        <w:rPr>
          <w:szCs w:val="24"/>
        </w:rPr>
        <w:t xml:space="preserve">Ar MK rīkojumu 01.09.2021., Nr.616 apstiprinātas Sociālās aizsardzības un darba tirgus politikas pamatnostādnes 2021.-2027. gadam, kuru rīcības virzienā - Moderna un pieejama sociālo pakalpojumu sistēma, kas cita starpā uzlabo iedzīvotāju iespējas dzīvot neatkarīgi un dzīvot sabiedrībā, iekļauties izglītībā un darba tirgū – paredzēts īstenot pasākumu - palielināt sabiedrībā balstītu sociālo pakalpojumu pieejamību, </w:t>
      </w:r>
      <w:r w:rsidRPr="009A348D">
        <w:rPr>
          <w:szCs w:val="24"/>
        </w:rPr>
        <w:t>efektivitāti un atbilstību mērķa grupas vajadzībām:</w:t>
      </w:r>
    </w:p>
    <w:p w14:paraId="5D7C0EA1" w14:textId="77777777" w:rsidR="00970ACF" w:rsidRPr="009A348D" w:rsidRDefault="00970ACF" w:rsidP="00185102">
      <w:pPr>
        <w:spacing w:before="0" w:after="0"/>
        <w:rPr>
          <w:szCs w:val="24"/>
        </w:rPr>
      </w:pPr>
      <w:r w:rsidRPr="009A348D">
        <w:rPr>
          <w:szCs w:val="24"/>
        </w:rPr>
        <w:t>•</w:t>
      </w:r>
      <w:r w:rsidRPr="009A348D">
        <w:rPr>
          <w:szCs w:val="24"/>
        </w:rPr>
        <w:tab/>
        <w:t>palielinot sabiedrībā balstītu sociālo pakalpojumu pieejamību bērniem un pilngadīgām personām ar FT, t.sk. GRT vai multiplu traucējumu gadījumā, vecāka gada gājuma cilvēkiem, t.sk. cilvēkiem ar demenci, un sniegt atbalstu viņu ģimenes locekļiem, veicinot starpnozaru un multidisciplināru pieeju sociālajā aprūpē;</w:t>
      </w:r>
    </w:p>
    <w:p w14:paraId="7B4A22AE" w14:textId="77777777" w:rsidR="00970ACF" w:rsidRPr="009A348D" w:rsidRDefault="00970ACF" w:rsidP="00185102">
      <w:pPr>
        <w:spacing w:before="0" w:after="0"/>
        <w:rPr>
          <w:szCs w:val="24"/>
        </w:rPr>
      </w:pPr>
      <w:r w:rsidRPr="009A348D">
        <w:rPr>
          <w:szCs w:val="24"/>
        </w:rPr>
        <w:t>•</w:t>
      </w:r>
      <w:r w:rsidRPr="009A348D">
        <w:rPr>
          <w:szCs w:val="24"/>
        </w:rPr>
        <w:tab/>
        <w:t>paaugstinot pakalpojumu kvalitāti bērniem ar smagiem FT ilgstošas sociālās aprūpes institūcijās, tuvinot pakalpojuma sniegšanu ģimeniskai videi;</w:t>
      </w:r>
    </w:p>
    <w:p w14:paraId="66217880" w14:textId="77777777" w:rsidR="00970ACF" w:rsidRPr="009A348D" w:rsidRDefault="00970ACF" w:rsidP="00185102">
      <w:pPr>
        <w:spacing w:before="0" w:after="0"/>
        <w:rPr>
          <w:szCs w:val="24"/>
        </w:rPr>
      </w:pPr>
      <w:r w:rsidRPr="009A348D">
        <w:rPr>
          <w:szCs w:val="24"/>
        </w:rPr>
        <w:t>•</w:t>
      </w:r>
      <w:r w:rsidRPr="009A348D">
        <w:rPr>
          <w:szCs w:val="24"/>
        </w:rPr>
        <w:tab/>
        <w:t>veidojot integrētus sociālos pakalpojumus hroniski un nedziedināmi slimiem cilvēkiem un viņu ģimenes locekļiem un tuviniekiem;</w:t>
      </w:r>
    </w:p>
    <w:p w14:paraId="2D18BA1E" w14:textId="77777777" w:rsidR="00970ACF" w:rsidRPr="009A348D" w:rsidRDefault="00970ACF" w:rsidP="00185102">
      <w:pPr>
        <w:spacing w:before="0" w:after="0"/>
        <w:rPr>
          <w:szCs w:val="24"/>
        </w:rPr>
      </w:pPr>
      <w:r w:rsidRPr="009A348D">
        <w:rPr>
          <w:szCs w:val="24"/>
        </w:rPr>
        <w:t>•</w:t>
      </w:r>
      <w:r w:rsidRPr="009A348D">
        <w:rPr>
          <w:szCs w:val="24"/>
        </w:rPr>
        <w:tab/>
        <w:t>attīstot atbalstu, tostarp cilvēkiem ar ļoti smagiem un multipliem FT, cilvēkiem ar demenci, personām paliatīvajā aprūpē, gados vecākiem cilvēkiem, bērniem ar smagu diagnozi un iespējamu vai esošu invaliditāti, t.sk., nodrošinot metodisku un praktisku atbalstu viņu aprūpē iesaistītajiem ģimenes locekļiem un neformālajiem aprūpētājiem;</w:t>
      </w:r>
    </w:p>
    <w:p w14:paraId="28A8CECA" w14:textId="77777777" w:rsidR="00970ACF" w:rsidRPr="009A348D" w:rsidRDefault="00970ACF" w:rsidP="00185102">
      <w:pPr>
        <w:spacing w:before="0" w:after="0"/>
        <w:rPr>
          <w:szCs w:val="24"/>
        </w:rPr>
      </w:pPr>
      <w:r w:rsidRPr="009A348D">
        <w:rPr>
          <w:szCs w:val="24"/>
        </w:rPr>
        <w:t>•</w:t>
      </w:r>
      <w:r w:rsidRPr="009A348D">
        <w:rPr>
          <w:szCs w:val="24"/>
        </w:rPr>
        <w:tab/>
        <w:t>ieviešot individuālā budžeta pieeju sociālo pakalpojumu sniegšanā noteiktām mērķa grupām, īpaši bērniem;</w:t>
      </w:r>
    </w:p>
    <w:p w14:paraId="6F11F691" w14:textId="77777777" w:rsidR="00970ACF" w:rsidRPr="00970ACF" w:rsidRDefault="00970ACF" w:rsidP="00185102">
      <w:pPr>
        <w:spacing w:before="0" w:after="0"/>
        <w:rPr>
          <w:szCs w:val="24"/>
        </w:rPr>
      </w:pPr>
      <w:r w:rsidRPr="009A348D">
        <w:rPr>
          <w:szCs w:val="24"/>
        </w:rPr>
        <w:t>•</w:t>
      </w:r>
      <w:r w:rsidRPr="009A348D">
        <w:rPr>
          <w:szCs w:val="24"/>
        </w:rPr>
        <w:tab/>
        <w:t>attīstot sociālās inovācijas, t.sk., digitālus un tehnoloģiskus risinājumus, sociālo pakalpojumu sniegšanā.</w:t>
      </w:r>
      <w:r w:rsidRPr="00970ACF">
        <w:rPr>
          <w:szCs w:val="24"/>
        </w:rPr>
        <w:t xml:space="preserve"> </w:t>
      </w:r>
    </w:p>
    <w:p w14:paraId="1F2D1B0E" w14:textId="282B56A0" w:rsidR="00970ACF" w:rsidRPr="00970ACF" w:rsidRDefault="00970ACF" w:rsidP="00185102">
      <w:pPr>
        <w:spacing w:before="0" w:after="0"/>
        <w:rPr>
          <w:szCs w:val="24"/>
        </w:rPr>
      </w:pPr>
      <w:r w:rsidRPr="00970ACF">
        <w:rPr>
          <w:szCs w:val="24"/>
        </w:rPr>
        <w:t xml:space="preserve">Rīcības virzienā iekļauto uzdevumu īstenošanai </w:t>
      </w:r>
      <w:r w:rsidR="00B34850">
        <w:rPr>
          <w:szCs w:val="24"/>
        </w:rPr>
        <w:t>ir</w:t>
      </w:r>
      <w:r w:rsidR="00B34850" w:rsidRPr="00970ACF">
        <w:rPr>
          <w:szCs w:val="24"/>
        </w:rPr>
        <w:t xml:space="preserve"> </w:t>
      </w:r>
      <w:r w:rsidRPr="00970ACF">
        <w:rPr>
          <w:szCs w:val="24"/>
        </w:rPr>
        <w:t xml:space="preserve">izstrādāts </w:t>
      </w:r>
      <w:r w:rsidR="00B34850">
        <w:rPr>
          <w:szCs w:val="24"/>
        </w:rPr>
        <w:t xml:space="preserve">un 2022.gada 30.martā MK apstiprināts </w:t>
      </w:r>
      <w:r w:rsidRPr="00970ACF">
        <w:rPr>
          <w:szCs w:val="24"/>
        </w:rPr>
        <w:t>Plāns sociālo pakalpojumu pilnveidošanai un attīstībai 2021.-2024.gadam.</w:t>
      </w:r>
    </w:p>
    <w:p w14:paraId="20739DA9" w14:textId="77777777" w:rsidR="0098299F" w:rsidRDefault="0098299F" w:rsidP="00185102">
      <w:pPr>
        <w:spacing w:before="0" w:after="0"/>
        <w:rPr>
          <w:szCs w:val="24"/>
        </w:rPr>
      </w:pPr>
    </w:p>
    <w:p w14:paraId="0E74315E" w14:textId="77777777" w:rsidR="00970ACF" w:rsidRDefault="0098299F" w:rsidP="00185102">
      <w:pPr>
        <w:spacing w:before="0" w:after="0"/>
        <w:rPr>
          <w:szCs w:val="24"/>
        </w:rPr>
      </w:pPr>
      <w:r w:rsidRPr="0098299F">
        <w:rPr>
          <w:b/>
          <w:szCs w:val="24"/>
        </w:rPr>
        <w:t>Kritērijs nr. 4.</w:t>
      </w:r>
      <w:r w:rsidRPr="0098299F">
        <w:rPr>
          <w:szCs w:val="24"/>
        </w:rPr>
        <w:t xml:space="preserve"> kārtību, kādā nodrošina, ka tā izstrādi, īstenošanu, uzraudzību un pārskatīšanu veic ciešā sadarbībā ar attiecīgajām ieinteresētajām personām, tostarp sociālajiem partneriem un attiecīgajām pilsoniskās sabiedrības organizācijām.</w:t>
      </w:r>
    </w:p>
    <w:p w14:paraId="4D973DA2" w14:textId="77777777" w:rsidR="0098299F" w:rsidRPr="0098299F" w:rsidRDefault="0098299F" w:rsidP="00185102">
      <w:pPr>
        <w:spacing w:before="0" w:after="0"/>
        <w:rPr>
          <w:szCs w:val="24"/>
        </w:rPr>
      </w:pPr>
      <w:r w:rsidRPr="0098299F">
        <w:rPr>
          <w:szCs w:val="24"/>
        </w:rPr>
        <w:t xml:space="preserve">Sociālās iekļaušanas politikas koordinācijas komitejas sastāvā ir pārstāvji no nozaru ministrijām, pašvaldībām un nevalstiskajām organizācijām, Centrālās statistikas pārvaldes, Valsts policijas, kā arī sociālie partneri. Komitejas ietvaros tiek izskatīti jautājumi, kas saistīti ar nabadzības, ienākumu nevienlīdzības un sociālās atstumtības situāciju valstī, sniegti priekšlikumi politikas plānošanas dokumentu un izstrādei un </w:t>
      </w:r>
      <w:r w:rsidRPr="0098299F">
        <w:rPr>
          <w:szCs w:val="24"/>
        </w:rPr>
        <w:lastRenderedPageBreak/>
        <w:t xml:space="preserve">pilnveidošanai sociālās iekļaušanas politikas jomā, notiek informācijas apmaiņa par aktuālo sociālās iekļaušanas jomā, </w:t>
      </w:r>
      <w:r w:rsidRPr="00737624">
        <w:rPr>
          <w:szCs w:val="24"/>
        </w:rPr>
        <w:t>piemēram, aktuālajiem statistikas datiem, jaunajām likumdošanas iniciatīvām dažādās nozarēs, labās prakses piemēriem. Sociālie partneri un NVO tiek aicināti paust viedokli, priekšlikumus, iebildumus par konkrētiem politikas plānošanas dokumentiem un plānotām rīcībpolitiku iniciatīvām.</w:t>
      </w:r>
      <w:r w:rsidRPr="0098299F">
        <w:rPr>
          <w:szCs w:val="24"/>
        </w:rPr>
        <w:t xml:space="preserve"> </w:t>
      </w:r>
    </w:p>
    <w:p w14:paraId="3E244A11" w14:textId="0623328B" w:rsidR="0098299F" w:rsidRPr="00737624" w:rsidRDefault="0098299F" w:rsidP="00185102">
      <w:pPr>
        <w:spacing w:before="0" w:after="0"/>
        <w:rPr>
          <w:szCs w:val="24"/>
        </w:rPr>
      </w:pPr>
      <w:r w:rsidRPr="0098299F">
        <w:rPr>
          <w:szCs w:val="24"/>
        </w:rPr>
        <w:t xml:space="preserve">Sociālās iekļaušanas politikas koordinācijas komiteja ir konsultatīva institūcija. </w:t>
      </w:r>
      <w:r w:rsidRPr="00737624">
        <w:rPr>
          <w:szCs w:val="24"/>
        </w:rPr>
        <w:t>Papildus nacionāla līmeņa politikas plānošanas dokumentu izvērtēšanai tā konsultatīvi uzrauga arī Darbības programmas “Izaugsme un nodarbinātība” 9.2.1. specifiskā atbalsta mērķa “Paaugstināt sociālo dienestu darba efektivitāti un darbinieku profesionalitāti darbam ar riska situācijā esošām personām” 9.2.1.2.pasākuma “Iekļaujoša darba tirgus un nabadzības risku pētījumi un monitorings” ietvaros izstrādājamo:</w:t>
      </w:r>
    </w:p>
    <w:p w14:paraId="113A3C54" w14:textId="77777777" w:rsidR="0098299F" w:rsidRPr="00737624" w:rsidRDefault="0098299F" w:rsidP="00185102">
      <w:pPr>
        <w:spacing w:before="0" w:after="0"/>
        <w:rPr>
          <w:szCs w:val="24"/>
        </w:rPr>
      </w:pPr>
      <w:r w:rsidRPr="00737624">
        <w:rPr>
          <w:szCs w:val="24"/>
        </w:rPr>
        <w:t>- nabadzības un sociālās atstumtības mazināšanas rīcībpolitikas izvērtējumu;</w:t>
      </w:r>
    </w:p>
    <w:p w14:paraId="0229274E" w14:textId="77777777" w:rsidR="0098299F" w:rsidRPr="0098299F" w:rsidRDefault="0098299F" w:rsidP="00185102">
      <w:pPr>
        <w:spacing w:before="0" w:after="0"/>
        <w:rPr>
          <w:szCs w:val="24"/>
        </w:rPr>
      </w:pPr>
      <w:r w:rsidRPr="00737624">
        <w:rPr>
          <w:szCs w:val="24"/>
        </w:rPr>
        <w:t>- zinātnisko pētījumu par sociālās atstumtības riskam pakļauto bezdarbnieku iespējām iekļauties darba tirgū;</w:t>
      </w:r>
    </w:p>
    <w:p w14:paraId="7FD58511" w14:textId="77777777" w:rsidR="0098299F" w:rsidRPr="0098299F" w:rsidRDefault="0098299F" w:rsidP="00185102">
      <w:pPr>
        <w:spacing w:before="0" w:after="0"/>
        <w:rPr>
          <w:szCs w:val="24"/>
        </w:rPr>
      </w:pPr>
      <w:r w:rsidRPr="0098299F">
        <w:rPr>
          <w:szCs w:val="24"/>
        </w:rPr>
        <w:t>- metodoloģijas izstrādi iztikas minimuma patēriņa preču un pakalpojumu groza noteikšanai un tās aprobācijas īstenošanai.</w:t>
      </w:r>
    </w:p>
    <w:p w14:paraId="27381D0E" w14:textId="77777777" w:rsidR="006D1250" w:rsidRPr="006D1250" w:rsidRDefault="006D1250" w:rsidP="00185102">
      <w:pPr>
        <w:spacing w:before="0" w:after="0"/>
        <w:rPr>
          <w:iCs/>
          <w:szCs w:val="24"/>
        </w:rPr>
      </w:pPr>
      <w:r w:rsidRPr="006D1250">
        <w:rPr>
          <w:iCs/>
          <w:szCs w:val="24"/>
        </w:rPr>
        <w:t xml:space="preserve">Sociālo pakalpojumu attīstības padomes sastāvā ir pārstāvji no nozaru ministrijām, pašvaldībām un nevalstiskajām organizācijām. </w:t>
      </w:r>
      <w:r w:rsidRPr="006D1250">
        <w:rPr>
          <w:rFonts w:eastAsia="Times New Roman"/>
          <w:szCs w:val="24"/>
        </w:rPr>
        <w:t>Sociālo pakalpojumu attīstības padome ir koleģiāla, konsultatīva un koordinējoša institūcija, kas izveidota, lai sekmētu sociālo pakalpojumu ilgtspējīgu un līdzsvarotu attīstību</w:t>
      </w:r>
      <w:bookmarkStart w:id="1" w:name="p2"/>
      <w:bookmarkStart w:id="2" w:name="p-358071"/>
      <w:bookmarkStart w:id="3" w:name="n2"/>
      <w:bookmarkStart w:id="4" w:name="p3"/>
      <w:bookmarkStart w:id="5" w:name="p-358073"/>
      <w:bookmarkEnd w:id="1"/>
      <w:bookmarkEnd w:id="2"/>
      <w:bookmarkEnd w:id="3"/>
      <w:bookmarkEnd w:id="4"/>
      <w:bookmarkEnd w:id="5"/>
      <w:r w:rsidRPr="006D1250">
        <w:rPr>
          <w:rFonts w:eastAsia="Times New Roman"/>
          <w:szCs w:val="24"/>
        </w:rPr>
        <w:t xml:space="preserve">. Padome izvērtē ar sociālo pakalpojumu nodrošināšanu un attīstību saistītās problēmas un izstrādā priekšlikumus to risināšanai, sniedz atbalstu sociālo pakalpojumu sniedzējiem, pašvaldībām un citām iesaistītajām institūcijām sociālo pakalpojumu attīstībā un deinstitucionalizācijas procesu īstenošanā atbilstoši savai darbības jomai (kompetencei), kā arī </w:t>
      </w:r>
      <w:r w:rsidRPr="006D1250">
        <w:rPr>
          <w:iCs/>
          <w:szCs w:val="24"/>
        </w:rPr>
        <w:t xml:space="preserve">uzrauga deinstitucionalizācijas projektu ieviešanu, t.sk. apstiprina plānošanas reģionu deinstitucionalizācijas plānus. Padomes sēdēs ir vairākkārtīgi izskatīts projekts </w:t>
      </w:r>
      <w:r w:rsidRPr="006D1250">
        <w:rPr>
          <w:rFonts w:eastAsia="Times New Roman"/>
          <w:szCs w:val="24"/>
        </w:rPr>
        <w:t xml:space="preserve">Sociālās aizsardzības un darba tirgus politikas pamatnostādnēm 2021. – 2027. gadam, kā arī diskutēts par deinstitucionalizācijas ieviešanas progresu un problēmjautājumiem. Padome, apstiprinot plānošanas reģionu deinstitucionalizācijas plānus un to grozījumus, nodrošina pašvaldībās attīstāmo sociālo pakalpojumu infrastruktūras atbilstību DI īstenošanas pamatprincipiem. </w:t>
      </w:r>
      <w:r w:rsidRPr="006D1250">
        <w:rPr>
          <w:iCs/>
          <w:szCs w:val="24"/>
        </w:rPr>
        <w:t>Sociālās iekļaušanas politikas koordinācijas komiteja ir konsultatīva institūcija. Tās sastāvā ir pārstāvji no nozaru ministrijām, pašvaldībām un nevalstiskajām organizācijām, Centrālās statistikas pārvaldes, Valsts policijas, kā arī sociālie partneri.</w:t>
      </w:r>
      <w:r w:rsidRPr="006D1250">
        <w:rPr>
          <w:szCs w:val="24"/>
        </w:rPr>
        <w:t xml:space="preserve"> </w:t>
      </w:r>
      <w:r w:rsidRPr="006D1250">
        <w:rPr>
          <w:iCs/>
          <w:szCs w:val="24"/>
        </w:rPr>
        <w:t>Komitejas ietvaros tiek izskatīti jautājumi, kas saistīti ar nabadzības, ienākumu nevienlīdzības un sociālās atstumtības situāciju valstī, sniegti priekšlikumi politikas plānošanas dokumentu un izstrādei un pilnveidošanai sociālās iekļaušanas politikas jomā, notiek informācijas apmaiņa par aktuālo sociālās iekļaušanas jomā.</w:t>
      </w:r>
    </w:p>
    <w:p w14:paraId="1174D71A" w14:textId="77777777" w:rsidR="00786EFF" w:rsidRDefault="00D3139B" w:rsidP="00185102">
      <w:pPr>
        <w:spacing w:before="0" w:after="0"/>
        <w:rPr>
          <w:szCs w:val="24"/>
        </w:rPr>
      </w:pPr>
      <w:hyperlink r:id="rId8" w:history="1">
        <w:r w:rsidR="006D1250" w:rsidRPr="006D1250">
          <w:rPr>
            <w:rStyle w:val="Hyperlink"/>
            <w:iCs/>
            <w:szCs w:val="24"/>
          </w:rPr>
          <w:t>Plāns  pieejamas vides veidošanai Latvijā 2019.-2021.gadam</w:t>
        </w:r>
      </w:hyperlink>
      <w:r w:rsidR="006D1250" w:rsidRPr="006D1250">
        <w:rPr>
          <w:iCs/>
          <w:szCs w:val="24"/>
        </w:rPr>
        <w:t xml:space="preserve"> (turpmāk – plāns) ir vidēja termiņa plānošanas dokuments, kurš paredz koordinētu pasākumu kopumu pieejamas vides un informācijas nodrošināšanai valstī.</w:t>
      </w:r>
      <w:r w:rsidR="006D1250" w:rsidRPr="006D1250">
        <w:rPr>
          <w:szCs w:val="24"/>
        </w:rPr>
        <w:t xml:space="preserve"> Plāns ir izstrādāts atbilstoši ANO Konvencijas par personu ar invaliditāti tiesībām īstenošanas pamatnostādnēm 2014.-2020. gadam un ANO Personu ar invaliditāti tiesību komitejas 2017. gada rekomendācijām Latvijai pieejamības jomā</w:t>
      </w:r>
      <w:r w:rsidR="006D1250" w:rsidRPr="006D1250">
        <w:rPr>
          <w:rStyle w:val="FootnoteReference"/>
          <w:szCs w:val="24"/>
        </w:rPr>
        <w:footnoteReference w:id="1"/>
      </w:r>
      <w:r w:rsidR="006D1250" w:rsidRPr="006D1250">
        <w:rPr>
          <w:szCs w:val="24"/>
        </w:rPr>
        <w:t xml:space="preserve">. Plāns vienkopus strukturēti parāda sabiedrībai valsts virzību uz pieejamas vides nodrošināšanu un apņemšanos īstenot starptautiski uzņemtās saistības. Plāna izstrāde notika sadarbībā ar iesaistītajām institūcijām (SM, VARAM, IZM, EM, BVKB), kā arī ar Invalīdu un viņu draugu apvienību “Apeirons”, Latvijas cilvēku ar īpašām vajadzībām sadarbības organizāciju </w:t>
      </w:r>
      <w:r w:rsidR="006D1250" w:rsidRPr="006D1250">
        <w:rPr>
          <w:szCs w:val="24"/>
        </w:rPr>
        <w:lastRenderedPageBreak/>
        <w:t xml:space="preserve">SUSTENTO, kā arī notika  sabiedriskā apspriešana  Par Plāna īstenošanu 2022.gada 2.pusgadā tiks sagatavots informatīvais ziņojums Ministru kabinetam par plāna izpildi. Jauni uzdevumi un pasākumi tika iekļauti Plānā personu ar invaliditāti vienlīdzīgu iespēju veicināšanai 2021.-2023. gadam (MK 17.08.2021. rīkojums Nr.577), kur 4. rīcības virziens ir “Vides un pakalpojumu piekļūstamības nodrošināšana”, kas paredz pasākumus, kas sekmē sabiedriskā transporta, ēku (tostarp privāto mājokļu), informācijas un vēlēšanu procesa piekļūstamību, starptautisko saistību pārņemšanu, kā arī Plāna pasākumi, kas ir vērsti uz izpratnes veicināšanu par vides un pakalpojumu piekļūstamības nozīmi, lai personām ar funkcionēšanas ierobežojumiem būtu iespēja saņemt savām vajadzībām un iespējas atbilstošu pakalpojumus dažādās jomās.  </w:t>
      </w:r>
    </w:p>
    <w:p w14:paraId="3FD0BA11" w14:textId="77777777" w:rsidR="00786EFF" w:rsidRDefault="00786EFF" w:rsidP="00185102">
      <w:pPr>
        <w:spacing w:before="0" w:after="0"/>
        <w:rPr>
          <w:szCs w:val="24"/>
        </w:rPr>
      </w:pPr>
    </w:p>
    <w:p w14:paraId="6B2AA0E8" w14:textId="3E4FA7B1" w:rsidR="00AB679A" w:rsidRPr="006D1250" w:rsidRDefault="006D1250" w:rsidP="00185102">
      <w:pPr>
        <w:spacing w:before="0" w:after="0"/>
        <w:rPr>
          <w:szCs w:val="24"/>
        </w:rPr>
      </w:pPr>
      <w:r w:rsidRPr="006D1250">
        <w:rPr>
          <w:szCs w:val="24"/>
        </w:rPr>
        <w:t>Sociālā darba speciālistu sadarbības padome (turpmāk – SDSSP) ir konsultatīva institūcija, kura izveidota, lai veicinātu profesionāla sociālā darba attīstību, sociālā darba speciālistu izglītošanu un nodrošinājumu, tādējādi sekmējot sabiedrības pārstāvju iesaistīšanu sociālā darba politikas veidošanā.</w:t>
      </w:r>
      <w:r w:rsidR="00786EFF">
        <w:rPr>
          <w:szCs w:val="24"/>
        </w:rPr>
        <w:t xml:space="preserve"> </w:t>
      </w:r>
      <w:r w:rsidRPr="006D1250">
        <w:rPr>
          <w:szCs w:val="24"/>
        </w:rPr>
        <w:t>SDSSP sastāvā ir plaši pārstāvētas sociālā darba jomas vadošās NVO, izglītības iestādes, kā arī ar jomu saistītās valsts un pašvaldību iestādes: Latvijas Pašvaldību sociālo dienestu vadītāju apvienība, Latvijas Profesionālo sociālā darba speciālistu asociācija, Latvijas Universitātes P.Stradiņa medicīnas koledža, Latvijas Kristīgā akadēmija, Ieslodzījuma vietu pārvalde, Izglītības un zinātnes ministrijas Augstākās izglītības, zinātnes un inovāciju departaments; Baltijas Starptautiskās akadēmija; Rīgas domes Labklājības departaments; Valmieras pilsētas Sociālo lietu pārvalde; Rēzeknes Tehnoloģiju akadēmija; Sociālo darbinieku biedrība; Latvijas Universitātes Sociālo zinātņu fakultāte; Rīgas 1.slimnīcas Hronisko slimnieku īslaicīgās aprūpes nodaļa; Latvijas Pašvaldību savienība; Liepājas Universitātes Pedagoģijas un sociālā darba fakultāte; Rīgas Stradiņa Universitātes Labklājības un sociālā darba katedra.</w:t>
      </w:r>
    </w:p>
    <w:p w14:paraId="599DC90B" w14:textId="2BAC377F" w:rsidR="00AB679A" w:rsidRPr="006D1250" w:rsidRDefault="00AB679A" w:rsidP="00185102">
      <w:pPr>
        <w:spacing w:before="0" w:after="0"/>
        <w:rPr>
          <w:szCs w:val="24"/>
        </w:rPr>
      </w:pPr>
    </w:p>
    <w:p w14:paraId="2F3A6CE7" w14:textId="77777777" w:rsidR="00185102" w:rsidRPr="006D1250" w:rsidRDefault="00185102">
      <w:pPr>
        <w:spacing w:before="0" w:after="0"/>
        <w:rPr>
          <w:szCs w:val="24"/>
        </w:rPr>
      </w:pPr>
    </w:p>
    <w:sectPr w:rsidR="00185102" w:rsidRPr="006D1250" w:rsidSect="00696639">
      <w:footerReference w:type="default" r:id="rId9"/>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4478C" w14:textId="77777777" w:rsidR="00AB679A" w:rsidRDefault="00AB679A" w:rsidP="00AB679A">
      <w:pPr>
        <w:spacing w:before="0" w:after="0"/>
      </w:pPr>
      <w:r>
        <w:separator/>
      </w:r>
    </w:p>
  </w:endnote>
  <w:endnote w:type="continuationSeparator" w:id="0">
    <w:p w14:paraId="5E31D3CB" w14:textId="77777777" w:rsidR="00AB679A" w:rsidRDefault="00AB679A" w:rsidP="00AB67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352065"/>
      <w:docPartObj>
        <w:docPartGallery w:val="Page Numbers (Bottom of Page)"/>
        <w:docPartUnique/>
      </w:docPartObj>
    </w:sdtPr>
    <w:sdtEndPr>
      <w:rPr>
        <w:noProof/>
      </w:rPr>
    </w:sdtEndPr>
    <w:sdtContent>
      <w:p w14:paraId="3D238D00" w14:textId="7C8A6597" w:rsidR="00185102" w:rsidRDefault="00185102">
        <w:pPr>
          <w:pStyle w:val="Footer"/>
          <w:jc w:val="center"/>
        </w:pPr>
        <w:r>
          <w:fldChar w:fldCharType="begin"/>
        </w:r>
        <w:r>
          <w:instrText xml:space="preserve"> PAGE   \* MERGEFORMAT </w:instrText>
        </w:r>
        <w:r>
          <w:fldChar w:fldCharType="separate"/>
        </w:r>
        <w:r w:rsidR="00D3139B">
          <w:rPr>
            <w:noProof/>
          </w:rPr>
          <w:t>5</w:t>
        </w:r>
        <w:r>
          <w:rPr>
            <w:noProof/>
          </w:rPr>
          <w:fldChar w:fldCharType="end"/>
        </w:r>
      </w:p>
    </w:sdtContent>
  </w:sdt>
  <w:p w14:paraId="7EB1170E" w14:textId="0C38B0D8" w:rsidR="00185102" w:rsidRPr="00680B05" w:rsidRDefault="00185102">
    <w:pPr>
      <w:pStyle w:val="Footer"/>
      <w:rPr>
        <w:sz w:val="20"/>
      </w:rPr>
    </w:pPr>
    <w:r w:rsidRPr="00680B05">
      <w:rPr>
        <w:sz w:val="20"/>
      </w:rPr>
      <w:t>FMProgPiel5_</w:t>
    </w:r>
    <w:r w:rsidR="00D3139B">
      <w:rPr>
        <w:sz w:val="20"/>
      </w:rPr>
      <w:t>2</w:t>
    </w:r>
    <w:r w:rsidR="00680B05" w:rsidRPr="00680B05">
      <w:rPr>
        <w:sz w:val="20"/>
      </w:rPr>
      <w:t>710</w:t>
    </w:r>
    <w:r w:rsidR="00E1400C" w:rsidRPr="00680B05">
      <w:rPr>
        <w:sz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CC031" w14:textId="77777777" w:rsidR="00AB679A" w:rsidRDefault="00AB679A" w:rsidP="00AB679A">
      <w:pPr>
        <w:spacing w:before="0" w:after="0"/>
      </w:pPr>
      <w:r>
        <w:separator/>
      </w:r>
    </w:p>
  </w:footnote>
  <w:footnote w:type="continuationSeparator" w:id="0">
    <w:p w14:paraId="2EE8C76E" w14:textId="77777777" w:rsidR="00AB679A" w:rsidRDefault="00AB679A" w:rsidP="00AB679A">
      <w:pPr>
        <w:spacing w:before="0" w:after="0"/>
      </w:pPr>
      <w:r>
        <w:continuationSeparator/>
      </w:r>
    </w:p>
  </w:footnote>
  <w:footnote w:id="1">
    <w:p w14:paraId="15F1B7B2" w14:textId="77777777" w:rsidR="006D1250" w:rsidRPr="00E62ABF" w:rsidRDefault="006D1250" w:rsidP="00BD6799">
      <w:pPr>
        <w:pStyle w:val="FootnoteText"/>
        <w:ind w:left="0" w:firstLine="0"/>
      </w:pPr>
      <w:r>
        <w:rPr>
          <w:rStyle w:val="FootnoteReference"/>
        </w:rPr>
        <w:footnoteRef/>
      </w:r>
      <w:r>
        <w:t xml:space="preserve"> </w:t>
      </w:r>
      <w:r w:rsidRPr="00E62ABF">
        <w:t>ANO Cilvēku ar invaliditāti komitejas r</w:t>
      </w:r>
      <w:r>
        <w:t>ekomendācijas Latvijai</w:t>
      </w:r>
      <w:r w:rsidRPr="00E62ABF">
        <w:t>, pieejams: http://www.lm.gov.lv/upload/invaliditate/rekomendacijas_lv_fin_060218.pdf (skatīts 10.06.2018.)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8088F"/>
    <w:multiLevelType w:val="hybridMultilevel"/>
    <w:tmpl w:val="0CA6B1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56B06ACB"/>
    <w:multiLevelType w:val="hybridMultilevel"/>
    <w:tmpl w:val="E8327466"/>
    <w:lvl w:ilvl="0" w:tplc="A26A418C">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616"/>
    <w:rsid w:val="00014276"/>
    <w:rsid w:val="00064E08"/>
    <w:rsid w:val="000A2E46"/>
    <w:rsid w:val="00185102"/>
    <w:rsid w:val="001C7C5E"/>
    <w:rsid w:val="002A78B1"/>
    <w:rsid w:val="003B59CA"/>
    <w:rsid w:val="00482409"/>
    <w:rsid w:val="004A679B"/>
    <w:rsid w:val="00527616"/>
    <w:rsid w:val="00595904"/>
    <w:rsid w:val="00680B05"/>
    <w:rsid w:val="00696639"/>
    <w:rsid w:val="006D1250"/>
    <w:rsid w:val="00737624"/>
    <w:rsid w:val="00786EFF"/>
    <w:rsid w:val="007C7A21"/>
    <w:rsid w:val="00863FAC"/>
    <w:rsid w:val="00970ACF"/>
    <w:rsid w:val="0098299F"/>
    <w:rsid w:val="009A348D"/>
    <w:rsid w:val="009A79F0"/>
    <w:rsid w:val="009C1E5E"/>
    <w:rsid w:val="00A42E04"/>
    <w:rsid w:val="00AB679A"/>
    <w:rsid w:val="00B34850"/>
    <w:rsid w:val="00BD6799"/>
    <w:rsid w:val="00C50698"/>
    <w:rsid w:val="00D3139B"/>
    <w:rsid w:val="00E1400C"/>
    <w:rsid w:val="00E540A4"/>
    <w:rsid w:val="00E72E00"/>
    <w:rsid w:val="00F1440B"/>
    <w:rsid w:val="00FB55FA"/>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02378"/>
  <w15:chartTrackingRefBased/>
  <w15:docId w15:val="{9419B286-BCC8-4857-811D-262577D3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16"/>
    <w:pPr>
      <w:spacing w:before="120" w:after="120" w:line="240" w:lineRule="auto"/>
      <w:jc w:val="both"/>
    </w:pPr>
    <w:rPr>
      <w:rFonts w:ascii="Times New Roman" w:eastAsia="Calibri"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99F"/>
    <w:rPr>
      <w:color w:val="0563C1" w:themeColor="hyperlink"/>
      <w:u w:val="single"/>
    </w:rPr>
  </w:style>
  <w:style w:type="paragraph" w:styleId="ListParagraph">
    <w:name w:val="List Paragraph"/>
    <w:basedOn w:val="Normal"/>
    <w:uiPriority w:val="34"/>
    <w:qFormat/>
    <w:rsid w:val="00064E08"/>
    <w:pPr>
      <w:ind w:left="720"/>
      <w:contextualSpacing/>
    </w:p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AB679A"/>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AB679A"/>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AB679A"/>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B679A"/>
    <w:pPr>
      <w:spacing w:before="0" w:after="160" w:line="240" w:lineRule="exact"/>
    </w:pPr>
    <w:rPr>
      <w:rFonts w:asciiTheme="minorHAnsi" w:eastAsiaTheme="minorHAnsi" w:hAnsiTheme="minorHAnsi" w:cstheme="minorBidi"/>
      <w:sz w:val="22"/>
      <w:szCs w:val="22"/>
      <w:vertAlign w:val="superscript"/>
      <w:lang w:eastAsia="en-US" w:bidi="ar-SA"/>
    </w:rPr>
  </w:style>
  <w:style w:type="character" w:styleId="CommentReference">
    <w:name w:val="annotation reference"/>
    <w:basedOn w:val="DefaultParagraphFont"/>
    <w:uiPriority w:val="99"/>
    <w:semiHidden/>
    <w:unhideWhenUsed/>
    <w:rsid w:val="00AB679A"/>
    <w:rPr>
      <w:sz w:val="16"/>
      <w:szCs w:val="16"/>
    </w:rPr>
  </w:style>
  <w:style w:type="paragraph" w:styleId="CommentText">
    <w:name w:val="annotation text"/>
    <w:basedOn w:val="Normal"/>
    <w:link w:val="CommentTextChar"/>
    <w:uiPriority w:val="99"/>
    <w:semiHidden/>
    <w:unhideWhenUsed/>
    <w:rsid w:val="00AB679A"/>
    <w:rPr>
      <w:sz w:val="20"/>
    </w:rPr>
  </w:style>
  <w:style w:type="character" w:customStyle="1" w:styleId="CommentTextChar">
    <w:name w:val="Comment Text Char"/>
    <w:basedOn w:val="DefaultParagraphFont"/>
    <w:link w:val="CommentText"/>
    <w:uiPriority w:val="99"/>
    <w:semiHidden/>
    <w:rsid w:val="00AB679A"/>
    <w:rPr>
      <w:rFonts w:ascii="Times New Roman" w:eastAsia="Calibri" w:hAnsi="Times New Roman" w:cs="Times New Roman"/>
      <w:sz w:val="20"/>
      <w:szCs w:val="20"/>
      <w:lang w:eastAsia="lv-LV" w:bidi="lv-LV"/>
    </w:rPr>
  </w:style>
  <w:style w:type="paragraph" w:styleId="Revision">
    <w:name w:val="Revision"/>
    <w:hidden/>
    <w:uiPriority w:val="99"/>
    <w:semiHidden/>
    <w:rsid w:val="006D1250"/>
    <w:pPr>
      <w:spacing w:after="0" w:line="240" w:lineRule="auto"/>
    </w:pPr>
    <w:rPr>
      <w:rFonts w:ascii="Times New Roman" w:eastAsia="Calibri" w:hAnsi="Times New Roman" w:cs="Times New Roman"/>
      <w:sz w:val="24"/>
      <w:szCs w:val="20"/>
      <w:lang w:eastAsia="lv-LV" w:bidi="lv-LV"/>
    </w:rPr>
  </w:style>
  <w:style w:type="paragraph" w:styleId="Header">
    <w:name w:val="header"/>
    <w:basedOn w:val="Normal"/>
    <w:link w:val="HeaderChar"/>
    <w:uiPriority w:val="99"/>
    <w:unhideWhenUsed/>
    <w:rsid w:val="00185102"/>
    <w:pPr>
      <w:tabs>
        <w:tab w:val="center" w:pos="4153"/>
        <w:tab w:val="right" w:pos="8306"/>
      </w:tabs>
      <w:spacing w:before="0" w:after="0"/>
    </w:pPr>
  </w:style>
  <w:style w:type="character" w:customStyle="1" w:styleId="HeaderChar">
    <w:name w:val="Header Char"/>
    <w:basedOn w:val="DefaultParagraphFont"/>
    <w:link w:val="Header"/>
    <w:uiPriority w:val="99"/>
    <w:rsid w:val="00185102"/>
    <w:rPr>
      <w:rFonts w:ascii="Times New Roman" w:eastAsia="Calibri" w:hAnsi="Times New Roman" w:cs="Times New Roman"/>
      <w:sz w:val="24"/>
      <w:szCs w:val="20"/>
      <w:lang w:eastAsia="lv-LV" w:bidi="lv-LV"/>
    </w:rPr>
  </w:style>
  <w:style w:type="paragraph" w:styleId="Footer">
    <w:name w:val="footer"/>
    <w:basedOn w:val="Normal"/>
    <w:link w:val="FooterChar"/>
    <w:uiPriority w:val="99"/>
    <w:unhideWhenUsed/>
    <w:rsid w:val="00185102"/>
    <w:pPr>
      <w:tabs>
        <w:tab w:val="center" w:pos="4153"/>
        <w:tab w:val="right" w:pos="8306"/>
      </w:tabs>
      <w:spacing w:before="0" w:after="0"/>
    </w:pPr>
  </w:style>
  <w:style w:type="character" w:customStyle="1" w:styleId="FooterChar">
    <w:name w:val="Footer Char"/>
    <w:basedOn w:val="DefaultParagraphFont"/>
    <w:link w:val="Footer"/>
    <w:uiPriority w:val="99"/>
    <w:rsid w:val="00185102"/>
    <w:rPr>
      <w:rFonts w:ascii="Times New Roman" w:eastAsia="Calibri" w:hAnsi="Times New Roman" w:cs="Times New Roman"/>
      <w:sz w:val="24"/>
      <w:szCs w:val="20"/>
      <w:lang w:eastAsia="lv-LV" w:bidi="lv-LV"/>
    </w:rPr>
  </w:style>
  <w:style w:type="paragraph" w:styleId="BalloonText">
    <w:name w:val="Balloon Text"/>
    <w:basedOn w:val="Normal"/>
    <w:link w:val="BalloonTextChar"/>
    <w:uiPriority w:val="99"/>
    <w:semiHidden/>
    <w:unhideWhenUsed/>
    <w:rsid w:val="005959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904"/>
    <w:rPr>
      <w:rFonts w:ascii="Segoe UI" w:eastAsia="Calibri" w:hAnsi="Segoe UI" w:cs="Segoe UI"/>
      <w:sz w:val="18"/>
      <w:szCs w:val="18"/>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5520-par-planu-pieejamas-vides-veidosanai-latvija-2019-2021-gadam" TargetMode="External"/><Relationship Id="rId3" Type="http://schemas.openxmlformats.org/officeDocument/2006/relationships/settings" Target="settings.xml"/><Relationship Id="rId7" Type="http://schemas.openxmlformats.org/officeDocument/2006/relationships/hyperlink" Target="https://likumi.lv/ta/id/324332-par-izglitibas-attistibas-pamatnostadnem-2021-2027-gad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2586</Words>
  <Characters>14743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Kūla</dc:creator>
  <cp:keywords/>
  <dc:description/>
  <cp:lastModifiedBy>Anna Pukse </cp:lastModifiedBy>
  <cp:revision>6</cp:revision>
  <dcterms:created xsi:type="dcterms:W3CDTF">2022-09-03T12:06:00Z</dcterms:created>
  <dcterms:modified xsi:type="dcterms:W3CDTF">2022-10-27T07:49:00Z</dcterms:modified>
</cp:coreProperties>
</file>