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C344D" w14:textId="77777777" w:rsidR="00945CEA" w:rsidRDefault="00945CEA" w:rsidP="009D1FBF">
      <w:pPr>
        <w:spacing w:after="0" w:line="240" w:lineRule="auto"/>
        <w:jc w:val="center"/>
        <w:rPr>
          <w:rFonts w:ascii="Times New Roman" w:hAnsi="Times New Roman" w:cs="Times New Roman"/>
          <w:b/>
        </w:rPr>
      </w:pPr>
    </w:p>
    <w:p w14:paraId="08A2DA6D" w14:textId="77777777" w:rsidR="00945CEA" w:rsidRDefault="00945CEA" w:rsidP="009D1FBF">
      <w:pPr>
        <w:spacing w:after="0" w:line="240" w:lineRule="auto"/>
        <w:jc w:val="center"/>
        <w:rPr>
          <w:rFonts w:ascii="Times New Roman" w:hAnsi="Times New Roman" w:cs="Times New Roman"/>
          <w:b/>
        </w:rPr>
      </w:pPr>
    </w:p>
    <w:p w14:paraId="69F38118" w14:textId="77777777" w:rsidR="00945CEA" w:rsidRDefault="00945CEA" w:rsidP="009D1FBF">
      <w:pPr>
        <w:spacing w:after="0" w:line="240" w:lineRule="auto"/>
        <w:jc w:val="center"/>
        <w:rPr>
          <w:rFonts w:ascii="Times New Roman" w:hAnsi="Times New Roman" w:cs="Times New Roman"/>
          <w:b/>
        </w:rPr>
      </w:pPr>
    </w:p>
    <w:p w14:paraId="420DFD68" w14:textId="77777777" w:rsidR="00945CEA" w:rsidRPr="00233A55" w:rsidRDefault="00945CEA" w:rsidP="00945CEA">
      <w:pPr>
        <w:spacing w:after="0" w:line="240" w:lineRule="auto"/>
        <w:jc w:val="center"/>
        <w:rPr>
          <w:rFonts w:ascii="Times New Roman" w:hAnsi="Times New Roman" w:cs="Times New Roman"/>
          <w:b/>
        </w:rPr>
      </w:pPr>
      <w:r w:rsidRPr="00233A55">
        <w:rPr>
          <w:rFonts w:ascii="Times New Roman" w:hAnsi="Times New Roman" w:cs="Times New Roman"/>
          <w:b/>
        </w:rPr>
        <w:t>SAM rādītāju metodoloģijas apraksts</w:t>
      </w:r>
    </w:p>
    <w:tbl>
      <w:tblPr>
        <w:tblStyle w:val="TableGrid"/>
        <w:tblW w:w="950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57"/>
        <w:gridCol w:w="699"/>
        <w:gridCol w:w="2551"/>
        <w:gridCol w:w="4258"/>
      </w:tblGrid>
      <w:tr w:rsidR="007A69B3" w:rsidRPr="00233A55" w14:paraId="1F647D87" w14:textId="77777777" w:rsidTr="00945CEA">
        <w:tc>
          <w:tcPr>
            <w:tcW w:w="1838" w:type="dxa"/>
            <w:vAlign w:val="bottom"/>
          </w:tcPr>
          <w:p w14:paraId="13BB5C9E" w14:textId="77777777" w:rsidR="00945CEA" w:rsidRPr="00233A55" w:rsidRDefault="00945CEA" w:rsidP="00945CEA">
            <w:pPr>
              <w:rPr>
                <w:rFonts w:ascii="Times New Roman" w:hAnsi="Times New Roman" w:cs="Times New Roman"/>
                <w:b/>
              </w:rPr>
            </w:pPr>
          </w:p>
          <w:p w14:paraId="53C982D9" w14:textId="77777777" w:rsidR="00945CEA" w:rsidRPr="00233A55" w:rsidRDefault="00945CEA" w:rsidP="00945CEA">
            <w:pPr>
              <w:rPr>
                <w:rFonts w:ascii="Times New Roman" w:hAnsi="Times New Roman" w:cs="Times New Roman"/>
                <w:b/>
              </w:rPr>
            </w:pPr>
          </w:p>
          <w:p w14:paraId="4D0E0D9B" w14:textId="285158D4" w:rsidR="007A69B3" w:rsidRPr="00233A55" w:rsidRDefault="007A69B3" w:rsidP="00945CEA">
            <w:pPr>
              <w:rPr>
                <w:rFonts w:ascii="Times New Roman" w:hAnsi="Times New Roman" w:cs="Times New Roman"/>
                <w:b/>
              </w:rPr>
            </w:pPr>
            <w:r w:rsidRPr="00233A55">
              <w:rPr>
                <w:rFonts w:ascii="Times New Roman" w:hAnsi="Times New Roman" w:cs="Times New Roman"/>
                <w:b/>
              </w:rPr>
              <w:t>Prioritātes Nr.</w:t>
            </w:r>
          </w:p>
        </w:tc>
        <w:tc>
          <w:tcPr>
            <w:tcW w:w="856" w:type="dxa"/>
            <w:gridSpan w:val="2"/>
            <w:tcBorders>
              <w:bottom w:val="single" w:sz="4" w:space="0" w:color="auto"/>
            </w:tcBorders>
            <w:vAlign w:val="bottom"/>
          </w:tcPr>
          <w:p w14:paraId="2F2CC74E" w14:textId="1DA3B352" w:rsidR="007A69B3" w:rsidRPr="00233A55" w:rsidRDefault="007A69B3" w:rsidP="00945CEA">
            <w:pPr>
              <w:rPr>
                <w:rFonts w:ascii="Times New Roman" w:hAnsi="Times New Roman" w:cs="Times New Roman"/>
                <w:b/>
              </w:rPr>
            </w:pPr>
            <w:r w:rsidRPr="00233A55">
              <w:rPr>
                <w:rFonts w:ascii="Times New Roman" w:hAnsi="Times New Roman" w:cs="Times New Roman"/>
                <w:b/>
              </w:rPr>
              <w:t>2.1.</w:t>
            </w:r>
          </w:p>
        </w:tc>
        <w:tc>
          <w:tcPr>
            <w:tcW w:w="2551" w:type="dxa"/>
            <w:vAlign w:val="bottom"/>
          </w:tcPr>
          <w:p w14:paraId="63E6C690" w14:textId="282BE754" w:rsidR="007A69B3" w:rsidRPr="00233A55" w:rsidRDefault="007A69B3" w:rsidP="00945CEA">
            <w:pPr>
              <w:rPr>
                <w:rFonts w:ascii="Times New Roman" w:hAnsi="Times New Roman" w:cs="Times New Roman"/>
                <w:b/>
              </w:rPr>
            </w:pPr>
            <w:r w:rsidRPr="00233A55">
              <w:rPr>
                <w:rFonts w:ascii="Times New Roman" w:hAnsi="Times New Roman" w:cs="Times New Roman"/>
                <w:b/>
              </w:rPr>
              <w:t xml:space="preserve">Prioritātes nosaukums: </w:t>
            </w:r>
          </w:p>
        </w:tc>
        <w:tc>
          <w:tcPr>
            <w:tcW w:w="4258" w:type="dxa"/>
            <w:tcBorders>
              <w:bottom w:val="single" w:sz="4" w:space="0" w:color="auto"/>
            </w:tcBorders>
            <w:vAlign w:val="bottom"/>
          </w:tcPr>
          <w:p w14:paraId="275C6A3D" w14:textId="2EE0F1F3" w:rsidR="007A69B3" w:rsidRPr="00233A55" w:rsidRDefault="00CE4268" w:rsidP="00945CEA">
            <w:pPr>
              <w:rPr>
                <w:rFonts w:ascii="Times New Roman" w:hAnsi="Times New Roman" w:cs="Times New Roman"/>
                <w:b/>
              </w:rPr>
            </w:pPr>
            <w:r w:rsidRPr="00233A55">
              <w:rPr>
                <w:rFonts w:ascii="Times New Roman" w:hAnsi="Times New Roman" w:cs="Times New Roman"/>
                <w:b/>
                <w:noProof/>
              </w:rPr>
              <w:t>Klimata pārmaiņu mazināšana un pielāgošanās klimata pārmaiņām</w:t>
            </w:r>
          </w:p>
        </w:tc>
      </w:tr>
      <w:tr w:rsidR="007A69B3" w:rsidRPr="00233A55" w14:paraId="36A43144" w14:textId="77777777" w:rsidTr="00945CEA">
        <w:tc>
          <w:tcPr>
            <w:tcW w:w="1838" w:type="dxa"/>
            <w:vAlign w:val="bottom"/>
          </w:tcPr>
          <w:p w14:paraId="1BA9551B" w14:textId="77777777" w:rsidR="007A69B3" w:rsidRPr="00233A55" w:rsidRDefault="007A69B3" w:rsidP="00945CEA">
            <w:pPr>
              <w:rPr>
                <w:rFonts w:ascii="Times New Roman" w:hAnsi="Times New Roman" w:cs="Times New Roman"/>
                <w:b/>
              </w:rPr>
            </w:pPr>
            <w:r w:rsidRPr="00233A55">
              <w:rPr>
                <w:rFonts w:ascii="Times New Roman" w:hAnsi="Times New Roman" w:cs="Times New Roman"/>
                <w:b/>
              </w:rPr>
              <w:t xml:space="preserve">SAM </w:t>
            </w:r>
            <w:proofErr w:type="spellStart"/>
            <w:r w:rsidRPr="00233A55">
              <w:rPr>
                <w:rFonts w:ascii="Times New Roman" w:hAnsi="Times New Roman" w:cs="Times New Roman"/>
                <w:b/>
              </w:rPr>
              <w:t>Nr</w:t>
            </w:r>
            <w:proofErr w:type="spellEnd"/>
            <w:r w:rsidRPr="00233A55">
              <w:rPr>
                <w:rFonts w:ascii="Times New Roman" w:hAnsi="Times New Roman" w:cs="Times New Roman"/>
                <w:b/>
              </w:rPr>
              <w:t>:</w:t>
            </w:r>
          </w:p>
        </w:tc>
        <w:tc>
          <w:tcPr>
            <w:tcW w:w="856" w:type="dxa"/>
            <w:gridSpan w:val="2"/>
            <w:tcBorders>
              <w:top w:val="single" w:sz="4" w:space="0" w:color="auto"/>
              <w:bottom w:val="single" w:sz="4" w:space="0" w:color="auto"/>
            </w:tcBorders>
            <w:vAlign w:val="bottom"/>
          </w:tcPr>
          <w:p w14:paraId="4A32BC75" w14:textId="0B157000" w:rsidR="007A69B3" w:rsidRPr="00233A55" w:rsidRDefault="007A69B3" w:rsidP="00945CEA">
            <w:pPr>
              <w:rPr>
                <w:rFonts w:ascii="Times New Roman" w:hAnsi="Times New Roman" w:cs="Times New Roman"/>
                <w:b/>
              </w:rPr>
            </w:pPr>
            <w:r w:rsidRPr="00233A55">
              <w:rPr>
                <w:rFonts w:ascii="Times New Roman" w:hAnsi="Times New Roman" w:cs="Times New Roman"/>
                <w:b/>
              </w:rPr>
              <w:t>2.1.</w:t>
            </w:r>
            <w:r w:rsidR="00871F7A" w:rsidRPr="00233A55">
              <w:rPr>
                <w:rFonts w:ascii="Times New Roman" w:hAnsi="Times New Roman" w:cs="Times New Roman"/>
                <w:b/>
              </w:rPr>
              <w:t>1.</w:t>
            </w:r>
          </w:p>
        </w:tc>
        <w:tc>
          <w:tcPr>
            <w:tcW w:w="2551" w:type="dxa"/>
            <w:vAlign w:val="bottom"/>
          </w:tcPr>
          <w:p w14:paraId="1774B191" w14:textId="77777777" w:rsidR="007A69B3" w:rsidRPr="00233A55" w:rsidRDefault="007A69B3" w:rsidP="00945CEA">
            <w:pPr>
              <w:ind w:left="185"/>
              <w:rPr>
                <w:rFonts w:ascii="Times New Roman" w:hAnsi="Times New Roman" w:cs="Times New Roman"/>
                <w:b/>
              </w:rPr>
            </w:pPr>
            <w:r w:rsidRPr="00233A55">
              <w:rPr>
                <w:rFonts w:ascii="Times New Roman" w:hAnsi="Times New Roman" w:cs="Times New Roman"/>
                <w:b/>
              </w:rPr>
              <w:t>SAM nosaukums:</w:t>
            </w:r>
          </w:p>
        </w:tc>
        <w:tc>
          <w:tcPr>
            <w:tcW w:w="4258" w:type="dxa"/>
            <w:tcBorders>
              <w:top w:val="single" w:sz="4" w:space="0" w:color="auto"/>
              <w:bottom w:val="single" w:sz="4" w:space="0" w:color="auto"/>
            </w:tcBorders>
            <w:vAlign w:val="bottom"/>
          </w:tcPr>
          <w:p w14:paraId="72CCD214" w14:textId="16F53C8E" w:rsidR="007A69B3" w:rsidRPr="00233A55" w:rsidRDefault="00CE4268" w:rsidP="00945CEA">
            <w:pPr>
              <w:rPr>
                <w:rFonts w:ascii="Times New Roman" w:hAnsi="Times New Roman" w:cs="Times New Roman"/>
                <w:b/>
              </w:rPr>
            </w:pPr>
            <w:r w:rsidRPr="00233A55">
              <w:rPr>
                <w:rFonts w:ascii="Times New Roman" w:hAnsi="Times New Roman" w:cs="Times New Roman"/>
                <w:b/>
                <w:lang w:val="lv"/>
              </w:rPr>
              <w:t>Energoefektivitātes veicināšana un siltumnīcefekta gāzu emisiju samazināšana</w:t>
            </w:r>
          </w:p>
        </w:tc>
      </w:tr>
      <w:tr w:rsidR="00945CEA" w:rsidRPr="00233A55" w14:paraId="35CFF9D9" w14:textId="77777777" w:rsidTr="00945CEA">
        <w:tc>
          <w:tcPr>
            <w:tcW w:w="1838" w:type="dxa"/>
            <w:vAlign w:val="bottom"/>
          </w:tcPr>
          <w:p w14:paraId="515E3ED2" w14:textId="77777777" w:rsidR="00945CEA" w:rsidRPr="00233A55" w:rsidRDefault="00945CEA" w:rsidP="00945CEA">
            <w:pPr>
              <w:rPr>
                <w:rFonts w:ascii="Times New Roman" w:hAnsi="Times New Roman" w:cs="Times New Roman"/>
                <w:b/>
              </w:rPr>
            </w:pPr>
          </w:p>
        </w:tc>
        <w:tc>
          <w:tcPr>
            <w:tcW w:w="856" w:type="dxa"/>
            <w:gridSpan w:val="2"/>
            <w:tcBorders>
              <w:top w:val="single" w:sz="4" w:space="0" w:color="auto"/>
              <w:bottom w:val="single" w:sz="4" w:space="0" w:color="auto"/>
            </w:tcBorders>
            <w:vAlign w:val="bottom"/>
          </w:tcPr>
          <w:p w14:paraId="279CE312" w14:textId="77777777" w:rsidR="00945CEA" w:rsidRPr="00233A55" w:rsidRDefault="00945CEA" w:rsidP="00945CEA">
            <w:pPr>
              <w:rPr>
                <w:rFonts w:ascii="Times New Roman" w:hAnsi="Times New Roman" w:cs="Times New Roman"/>
                <w:b/>
              </w:rPr>
            </w:pPr>
          </w:p>
        </w:tc>
        <w:tc>
          <w:tcPr>
            <w:tcW w:w="2551" w:type="dxa"/>
            <w:vAlign w:val="bottom"/>
          </w:tcPr>
          <w:p w14:paraId="48BFE8C7" w14:textId="77777777" w:rsidR="00945CEA" w:rsidRPr="00233A55" w:rsidRDefault="00945CEA" w:rsidP="00945CEA">
            <w:pPr>
              <w:ind w:left="185"/>
              <w:rPr>
                <w:rFonts w:ascii="Times New Roman" w:hAnsi="Times New Roman" w:cs="Times New Roman"/>
                <w:b/>
              </w:rPr>
            </w:pPr>
          </w:p>
        </w:tc>
        <w:tc>
          <w:tcPr>
            <w:tcW w:w="4258" w:type="dxa"/>
            <w:tcBorders>
              <w:top w:val="single" w:sz="4" w:space="0" w:color="auto"/>
              <w:bottom w:val="single" w:sz="4" w:space="0" w:color="auto"/>
            </w:tcBorders>
            <w:vAlign w:val="bottom"/>
          </w:tcPr>
          <w:p w14:paraId="0551FFD3" w14:textId="77777777" w:rsidR="00945CEA" w:rsidRPr="00233A55" w:rsidRDefault="00945CEA" w:rsidP="00945CEA">
            <w:pPr>
              <w:rPr>
                <w:rFonts w:ascii="Times New Roman" w:hAnsi="Times New Roman" w:cs="Times New Roman"/>
                <w:b/>
                <w:lang w:val="lv"/>
              </w:rPr>
            </w:pPr>
          </w:p>
        </w:tc>
      </w:tr>
      <w:tr w:rsidR="009D1FBF" w:rsidRPr="00233A55" w14:paraId="7DB94312"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2413D57C" w14:textId="77777777" w:rsidR="009D1FBF" w:rsidRPr="00233A55" w:rsidRDefault="009D1FBF" w:rsidP="00FF72FC">
            <w:pPr>
              <w:jc w:val="both"/>
              <w:rPr>
                <w:rFonts w:ascii="Times New Roman" w:hAnsi="Times New Roman" w:cs="Times New Roman"/>
                <w:sz w:val="20"/>
                <w:szCs w:val="20"/>
              </w:rPr>
            </w:pPr>
            <w:r w:rsidRPr="00233A55">
              <w:rPr>
                <w:rFonts w:ascii="Times New Roman" w:hAnsi="Times New Roman" w:cs="Times New Roman"/>
                <w:b/>
                <w:sz w:val="20"/>
                <w:szCs w:val="20"/>
              </w:rPr>
              <w:t>Rādītāja Nr.</w:t>
            </w:r>
            <w:r w:rsidRPr="00233A55">
              <w:rPr>
                <w:rFonts w:ascii="Times New Roman" w:hAnsi="Times New Roman" w:cs="Times New Roman"/>
                <w:sz w:val="20"/>
                <w:szCs w:val="20"/>
              </w:rPr>
              <w:t xml:space="preserve"> (ID)</w:t>
            </w:r>
          </w:p>
        </w:tc>
        <w:tc>
          <w:tcPr>
            <w:tcW w:w="7508" w:type="dxa"/>
            <w:gridSpan w:val="3"/>
            <w:tcBorders>
              <w:top w:val="single" w:sz="4" w:space="0" w:color="auto"/>
              <w:left w:val="single" w:sz="4" w:space="0" w:color="auto"/>
              <w:bottom w:val="single" w:sz="4" w:space="0" w:color="auto"/>
              <w:right w:val="single" w:sz="4" w:space="0" w:color="auto"/>
            </w:tcBorders>
          </w:tcPr>
          <w:p w14:paraId="27F1AE52" w14:textId="3605BDC9" w:rsidR="009D1FBF" w:rsidRPr="00233A55" w:rsidRDefault="00BE075D" w:rsidP="00FF72FC">
            <w:pPr>
              <w:rPr>
                <w:rFonts w:ascii="Times New Roman" w:hAnsi="Times New Roman" w:cs="Times New Roman"/>
                <w:b/>
                <w:iCs/>
                <w:sz w:val="20"/>
                <w:szCs w:val="20"/>
              </w:rPr>
            </w:pPr>
            <w:r w:rsidRPr="00233A55">
              <w:rPr>
                <w:rFonts w:ascii="Times New Roman" w:hAnsi="Times New Roman" w:cs="Times New Roman"/>
                <w:b/>
                <w:iCs/>
                <w:sz w:val="20"/>
                <w:szCs w:val="20"/>
              </w:rPr>
              <w:t>RCO 18</w:t>
            </w:r>
            <w:r w:rsidR="008C482D" w:rsidRPr="00233A55">
              <w:rPr>
                <w:rFonts w:ascii="Times New Roman" w:hAnsi="Times New Roman" w:cs="Times New Roman"/>
                <w:b/>
                <w:iCs/>
                <w:sz w:val="20"/>
                <w:szCs w:val="20"/>
              </w:rPr>
              <w:t xml:space="preserve"> (EM)</w:t>
            </w:r>
          </w:p>
        </w:tc>
      </w:tr>
      <w:tr w:rsidR="009D1FBF" w:rsidRPr="00233A55" w14:paraId="23CD5696"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474F0E16" w14:textId="1B27637E" w:rsidR="00234A73" w:rsidRPr="00233A55" w:rsidRDefault="009D1FBF" w:rsidP="00FF72FC">
            <w:pPr>
              <w:jc w:val="both"/>
              <w:rPr>
                <w:rFonts w:ascii="Times New Roman" w:hAnsi="Times New Roman" w:cs="Times New Roman"/>
                <w:b/>
                <w:sz w:val="20"/>
                <w:szCs w:val="20"/>
              </w:rPr>
            </w:pPr>
            <w:r w:rsidRPr="00233A55">
              <w:rPr>
                <w:rFonts w:ascii="Times New Roman" w:hAnsi="Times New Roman" w:cs="Times New Roman"/>
                <w:b/>
                <w:sz w:val="20"/>
                <w:szCs w:val="20"/>
              </w:rPr>
              <w:t>Rādītāja nosaukums</w:t>
            </w:r>
          </w:p>
        </w:tc>
        <w:tc>
          <w:tcPr>
            <w:tcW w:w="7508" w:type="dxa"/>
            <w:gridSpan w:val="3"/>
            <w:tcBorders>
              <w:top w:val="single" w:sz="4" w:space="0" w:color="auto"/>
              <w:left w:val="single" w:sz="4" w:space="0" w:color="auto"/>
              <w:bottom w:val="single" w:sz="4" w:space="0" w:color="auto"/>
              <w:right w:val="single" w:sz="4" w:space="0" w:color="auto"/>
            </w:tcBorders>
          </w:tcPr>
          <w:p w14:paraId="3EDC4845" w14:textId="0874441C" w:rsidR="009D1FBF" w:rsidRPr="00233A55" w:rsidRDefault="00BE075D" w:rsidP="00FF72FC">
            <w:pPr>
              <w:rPr>
                <w:rFonts w:ascii="Times New Roman" w:hAnsi="Times New Roman" w:cs="Times New Roman"/>
                <w:iCs/>
                <w:sz w:val="20"/>
                <w:szCs w:val="20"/>
              </w:rPr>
            </w:pPr>
            <w:r w:rsidRPr="00233A55">
              <w:rPr>
                <w:rFonts w:ascii="Times New Roman" w:hAnsi="Times New Roman" w:cs="Times New Roman"/>
                <w:iCs/>
                <w:sz w:val="20"/>
                <w:szCs w:val="20"/>
              </w:rPr>
              <w:t>Mājokļi ar uzlabotu energoefektivitāti</w:t>
            </w:r>
          </w:p>
        </w:tc>
      </w:tr>
      <w:tr w:rsidR="000161FD" w:rsidRPr="00233A55" w14:paraId="083FB94C"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3EA381B5" w14:textId="5D95BCB8" w:rsidR="000161FD" w:rsidRPr="00233A55" w:rsidRDefault="000161FD" w:rsidP="00FF72FC">
            <w:pPr>
              <w:jc w:val="both"/>
              <w:rPr>
                <w:rFonts w:ascii="Times New Roman" w:hAnsi="Times New Roman" w:cs="Times New Roman"/>
                <w:b/>
                <w:sz w:val="20"/>
                <w:szCs w:val="20"/>
              </w:rPr>
            </w:pPr>
            <w:r w:rsidRPr="00233A55">
              <w:rPr>
                <w:rFonts w:ascii="Times New Roman" w:hAnsi="Times New Roman" w:cs="Times New Roman"/>
                <w:b/>
                <w:sz w:val="20"/>
                <w:szCs w:val="20"/>
              </w:rPr>
              <w:t>Rādītāja definīcija</w:t>
            </w:r>
          </w:p>
        </w:tc>
        <w:tc>
          <w:tcPr>
            <w:tcW w:w="7508" w:type="dxa"/>
            <w:gridSpan w:val="3"/>
            <w:tcBorders>
              <w:top w:val="single" w:sz="4" w:space="0" w:color="auto"/>
              <w:left w:val="single" w:sz="4" w:space="0" w:color="auto"/>
              <w:bottom w:val="single" w:sz="4" w:space="0" w:color="auto"/>
              <w:right w:val="single" w:sz="4" w:space="0" w:color="auto"/>
            </w:tcBorders>
          </w:tcPr>
          <w:p w14:paraId="2C7C6490" w14:textId="77777777" w:rsidR="000161FD" w:rsidRPr="00233A55" w:rsidRDefault="000161FD" w:rsidP="00750FD2">
            <w:pPr>
              <w:jc w:val="both"/>
              <w:rPr>
                <w:rFonts w:ascii="Times New Roman" w:hAnsi="Times New Roman" w:cs="Times New Roman"/>
                <w:iCs/>
                <w:sz w:val="20"/>
                <w:szCs w:val="20"/>
              </w:rPr>
            </w:pPr>
            <w:r w:rsidRPr="00233A55">
              <w:rPr>
                <w:rFonts w:ascii="Times New Roman" w:hAnsi="Times New Roman" w:cs="Times New Roman"/>
                <w:iCs/>
                <w:sz w:val="20"/>
                <w:szCs w:val="20"/>
              </w:rPr>
              <w:t xml:space="preserve">Mājokļu skaits ar uzlabotu energoefektivitāti, pateicoties sniegtajam finansiālajam atbalstam. </w:t>
            </w:r>
          </w:p>
          <w:p w14:paraId="207F8BF7" w14:textId="77777777" w:rsidR="000161FD" w:rsidRPr="00233A55" w:rsidRDefault="000161FD" w:rsidP="00750FD2">
            <w:pPr>
              <w:jc w:val="both"/>
              <w:rPr>
                <w:rFonts w:ascii="Times New Roman" w:hAnsi="Times New Roman" w:cs="Times New Roman"/>
                <w:iCs/>
                <w:sz w:val="20"/>
                <w:szCs w:val="20"/>
              </w:rPr>
            </w:pPr>
            <w:r w:rsidRPr="00233A55">
              <w:rPr>
                <w:rFonts w:ascii="Times New Roman" w:hAnsi="Times New Roman" w:cs="Times New Roman"/>
                <w:iCs/>
                <w:sz w:val="20"/>
                <w:szCs w:val="20"/>
              </w:rPr>
              <w:t xml:space="preserve">Uzlabota energoefektivitāte jāsaprot kā mājokļa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21B3C2AA" w14:textId="19C07853" w:rsidR="000161FD" w:rsidRPr="00233A55" w:rsidRDefault="000161FD" w:rsidP="00750FD2">
            <w:pPr>
              <w:jc w:val="both"/>
              <w:rPr>
                <w:rFonts w:ascii="Times New Roman" w:hAnsi="Times New Roman" w:cs="Times New Roman"/>
                <w:iCs/>
                <w:sz w:val="20"/>
                <w:szCs w:val="20"/>
              </w:rPr>
            </w:pPr>
            <w:r w:rsidRPr="00233A55">
              <w:rPr>
                <w:rFonts w:ascii="Times New Roman" w:hAnsi="Times New Roman" w:cs="Times New Roman"/>
                <w:iCs/>
                <w:sz w:val="20"/>
                <w:szCs w:val="20"/>
              </w:rPr>
              <w:t xml:space="preserve">Mājoklis ir definēts kā “istaba vai istabu komplekts pastāvīgā ēkā vai strukturāli atdalītā ēkas daļā, kas (...) ir paredzēta vienas </w:t>
            </w:r>
            <w:proofErr w:type="spellStart"/>
            <w:r w:rsidRPr="00233A55">
              <w:rPr>
                <w:rFonts w:ascii="Times New Roman" w:hAnsi="Times New Roman" w:cs="Times New Roman"/>
                <w:iCs/>
                <w:sz w:val="20"/>
                <w:szCs w:val="20"/>
              </w:rPr>
              <w:t>privātmājsaimniecības</w:t>
            </w:r>
            <w:proofErr w:type="spellEnd"/>
            <w:r w:rsidRPr="00233A55">
              <w:rPr>
                <w:rFonts w:ascii="Times New Roman" w:hAnsi="Times New Roman" w:cs="Times New Roman"/>
                <w:iCs/>
                <w:sz w:val="20"/>
                <w:szCs w:val="20"/>
              </w:rPr>
              <w:t xml:space="preserve"> apdzīvošanai visu gadu”. Rādītājs attiecas arī uz sociālajiem mājokļiem.</w:t>
            </w:r>
            <w:r w:rsidRPr="00233A55">
              <w:rPr>
                <w:rStyle w:val="FootnoteReference"/>
                <w:rFonts w:ascii="Times New Roman" w:eastAsia="Times New Roman" w:hAnsi="Times New Roman" w:cs="Times New Roman"/>
                <w:sz w:val="20"/>
                <w:szCs w:val="20"/>
              </w:rPr>
              <w:footnoteReference w:id="2"/>
            </w:r>
          </w:p>
        </w:tc>
      </w:tr>
      <w:tr w:rsidR="009D1FBF" w:rsidRPr="00233A55" w14:paraId="379F81D9"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177F71F7" w14:textId="62156E7E" w:rsidR="00234A73" w:rsidRPr="00233A55" w:rsidRDefault="009D1FBF" w:rsidP="00FF72FC">
            <w:pPr>
              <w:jc w:val="both"/>
              <w:rPr>
                <w:rFonts w:ascii="Times New Roman" w:hAnsi="Times New Roman" w:cs="Times New Roman"/>
                <w:sz w:val="20"/>
                <w:szCs w:val="20"/>
              </w:rPr>
            </w:pPr>
            <w:r w:rsidRPr="00233A55">
              <w:rPr>
                <w:rFonts w:ascii="Times New Roman" w:hAnsi="Times New Roman" w:cs="Times New Roman"/>
                <w:b/>
                <w:sz w:val="20"/>
                <w:szCs w:val="20"/>
              </w:rPr>
              <w:t>Rādītāja veids</w:t>
            </w:r>
            <w:r w:rsidR="00FF72FC" w:rsidRPr="00233A55">
              <w:rPr>
                <w:rFonts w:ascii="Times New Roman" w:hAnsi="Times New Roman" w:cs="Times New Roman"/>
                <w:sz w:val="20"/>
                <w:szCs w:val="20"/>
              </w:rPr>
              <w:t xml:space="preserve"> </w:t>
            </w:r>
          </w:p>
        </w:tc>
        <w:tc>
          <w:tcPr>
            <w:tcW w:w="7508" w:type="dxa"/>
            <w:gridSpan w:val="3"/>
            <w:tcBorders>
              <w:top w:val="single" w:sz="4" w:space="0" w:color="auto"/>
              <w:left w:val="single" w:sz="4" w:space="0" w:color="auto"/>
              <w:bottom w:val="single" w:sz="4" w:space="0" w:color="auto"/>
              <w:right w:val="single" w:sz="4" w:space="0" w:color="auto"/>
            </w:tcBorders>
          </w:tcPr>
          <w:p w14:paraId="0F43D06C" w14:textId="3147BA38" w:rsidR="009D1FBF" w:rsidRPr="00233A55" w:rsidRDefault="007A69B3" w:rsidP="00FF72FC">
            <w:pPr>
              <w:rPr>
                <w:rFonts w:ascii="Times New Roman" w:hAnsi="Times New Roman" w:cs="Times New Roman"/>
                <w:iCs/>
                <w:sz w:val="20"/>
                <w:szCs w:val="20"/>
              </w:rPr>
            </w:pPr>
            <w:r w:rsidRPr="00233A55">
              <w:rPr>
                <w:rFonts w:ascii="Times New Roman" w:hAnsi="Times New Roman" w:cs="Times New Roman"/>
                <w:iCs/>
                <w:noProof/>
                <w:sz w:val="20"/>
                <w:szCs w:val="20"/>
              </w:rPr>
              <w:t>Iznākuma rādītājs</w:t>
            </w:r>
          </w:p>
        </w:tc>
      </w:tr>
      <w:tr w:rsidR="009D1FBF" w:rsidRPr="00233A55" w14:paraId="2C21F231"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7D4527A9" w14:textId="08E28BAC" w:rsidR="00234A73" w:rsidRPr="00233A55" w:rsidRDefault="009D1FBF" w:rsidP="00FF72FC">
            <w:pPr>
              <w:jc w:val="both"/>
              <w:rPr>
                <w:rFonts w:ascii="Times New Roman" w:hAnsi="Times New Roman" w:cs="Times New Roman"/>
                <w:b/>
                <w:sz w:val="20"/>
                <w:szCs w:val="20"/>
              </w:rPr>
            </w:pPr>
            <w:r w:rsidRPr="00233A55">
              <w:rPr>
                <w:rFonts w:ascii="Times New Roman" w:hAnsi="Times New Roman" w:cs="Times New Roman"/>
                <w:b/>
                <w:sz w:val="20"/>
                <w:szCs w:val="20"/>
              </w:rPr>
              <w:t>Rādītāja mērvienība</w:t>
            </w:r>
          </w:p>
        </w:tc>
        <w:tc>
          <w:tcPr>
            <w:tcW w:w="7508" w:type="dxa"/>
            <w:gridSpan w:val="3"/>
            <w:tcBorders>
              <w:top w:val="single" w:sz="4" w:space="0" w:color="auto"/>
              <w:left w:val="single" w:sz="4" w:space="0" w:color="auto"/>
              <w:bottom w:val="single" w:sz="4" w:space="0" w:color="auto"/>
              <w:right w:val="single" w:sz="4" w:space="0" w:color="auto"/>
            </w:tcBorders>
          </w:tcPr>
          <w:p w14:paraId="610F89AF" w14:textId="50998FAA" w:rsidR="009D1FBF" w:rsidRPr="00233A55" w:rsidRDefault="00B40C82" w:rsidP="00FF72FC">
            <w:pPr>
              <w:rPr>
                <w:rFonts w:ascii="Times New Roman" w:hAnsi="Times New Roman" w:cs="Times New Roman"/>
                <w:sz w:val="20"/>
                <w:szCs w:val="20"/>
              </w:rPr>
            </w:pPr>
            <w:r w:rsidRPr="00233A55">
              <w:rPr>
                <w:rFonts w:ascii="Times New Roman" w:hAnsi="Times New Roman" w:cs="Times New Roman"/>
                <w:sz w:val="20"/>
                <w:szCs w:val="20"/>
              </w:rPr>
              <w:t>Mājokļi</w:t>
            </w:r>
          </w:p>
        </w:tc>
      </w:tr>
      <w:tr w:rsidR="009D1FBF" w:rsidRPr="00233A55" w14:paraId="69D30B6B"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2D54FFB1" w14:textId="6C491B89" w:rsidR="00234A73" w:rsidRPr="00233A55" w:rsidRDefault="009D1FBF" w:rsidP="00FF72FC">
            <w:pPr>
              <w:jc w:val="both"/>
              <w:rPr>
                <w:rFonts w:ascii="Times New Roman" w:hAnsi="Times New Roman" w:cs="Times New Roman"/>
                <w:b/>
                <w:sz w:val="20"/>
                <w:szCs w:val="20"/>
              </w:rPr>
            </w:pPr>
            <w:r w:rsidRPr="00233A55">
              <w:rPr>
                <w:rFonts w:ascii="Times New Roman" w:hAnsi="Times New Roman" w:cs="Times New Roman"/>
                <w:b/>
                <w:sz w:val="20"/>
                <w:szCs w:val="20"/>
              </w:rPr>
              <w:t>Bāzes</w:t>
            </w:r>
            <w:r w:rsidR="002B19F1" w:rsidRPr="00233A55">
              <w:rPr>
                <w:rFonts w:ascii="Times New Roman" w:hAnsi="Times New Roman" w:cs="Times New Roman"/>
                <w:b/>
                <w:sz w:val="20"/>
                <w:szCs w:val="20"/>
              </w:rPr>
              <w:t xml:space="preserve"> (sākotnējā</w:t>
            </w:r>
            <w:r w:rsidR="001F5393" w:rsidRPr="00233A55">
              <w:rPr>
                <w:rFonts w:ascii="Times New Roman" w:hAnsi="Times New Roman" w:cs="Times New Roman"/>
                <w:b/>
                <w:sz w:val="20"/>
                <w:szCs w:val="20"/>
              </w:rPr>
              <w:t>s</w:t>
            </w:r>
            <w:r w:rsidR="002B19F1" w:rsidRPr="00233A55">
              <w:rPr>
                <w:rFonts w:ascii="Times New Roman" w:hAnsi="Times New Roman" w:cs="Times New Roman"/>
                <w:b/>
                <w:sz w:val="20"/>
                <w:szCs w:val="20"/>
              </w:rPr>
              <w:t>)</w:t>
            </w:r>
            <w:r w:rsidRPr="00233A55">
              <w:rPr>
                <w:rFonts w:ascii="Times New Roman" w:hAnsi="Times New Roman" w:cs="Times New Roman"/>
                <w:b/>
                <w:sz w:val="20"/>
                <w:szCs w:val="20"/>
              </w:rPr>
              <w:t xml:space="preserve"> vērtības gads un bāzes vērtība</w:t>
            </w:r>
          </w:p>
        </w:tc>
        <w:tc>
          <w:tcPr>
            <w:tcW w:w="7508" w:type="dxa"/>
            <w:gridSpan w:val="3"/>
            <w:tcBorders>
              <w:top w:val="single" w:sz="4" w:space="0" w:color="auto"/>
              <w:left w:val="single" w:sz="4" w:space="0" w:color="auto"/>
              <w:bottom w:val="single" w:sz="4" w:space="0" w:color="auto"/>
              <w:right w:val="single" w:sz="4" w:space="0" w:color="auto"/>
            </w:tcBorders>
          </w:tcPr>
          <w:p w14:paraId="30E2047D" w14:textId="76B416FE" w:rsidR="009D1FBF" w:rsidRPr="00233A55" w:rsidRDefault="00FF72FC" w:rsidP="00FF72FC">
            <w:pPr>
              <w:rPr>
                <w:rFonts w:ascii="Times New Roman" w:hAnsi="Times New Roman" w:cs="Times New Roman"/>
                <w:iCs/>
                <w:sz w:val="20"/>
                <w:szCs w:val="20"/>
              </w:rPr>
            </w:pPr>
            <w:r w:rsidRPr="00233A55">
              <w:rPr>
                <w:rFonts w:ascii="Times New Roman" w:hAnsi="Times New Roman" w:cs="Times New Roman"/>
                <w:iCs/>
                <w:sz w:val="20"/>
                <w:szCs w:val="20"/>
              </w:rPr>
              <w:t>N/A</w:t>
            </w:r>
          </w:p>
        </w:tc>
      </w:tr>
      <w:tr w:rsidR="009D1FBF" w:rsidRPr="00233A55" w14:paraId="45EB7FBB"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606A0A2B" w14:textId="5120A43A" w:rsidR="009D1FBF" w:rsidRPr="00233A55" w:rsidRDefault="009D1FBF" w:rsidP="00FF72FC">
            <w:pPr>
              <w:jc w:val="both"/>
              <w:rPr>
                <w:rFonts w:ascii="Times New Roman" w:hAnsi="Times New Roman" w:cs="Times New Roman"/>
                <w:sz w:val="20"/>
                <w:szCs w:val="20"/>
              </w:rPr>
            </w:pPr>
            <w:r w:rsidRPr="00233A55">
              <w:rPr>
                <w:rFonts w:ascii="Times New Roman" w:hAnsi="Times New Roman" w:cs="Times New Roman"/>
                <w:b/>
                <w:sz w:val="20"/>
                <w:szCs w:val="20"/>
              </w:rPr>
              <w:t>Starpposma vērtība</w:t>
            </w:r>
            <w:r w:rsidRPr="00233A55">
              <w:rPr>
                <w:rFonts w:ascii="Times New Roman" w:hAnsi="Times New Roman" w:cs="Times New Roman"/>
                <w:sz w:val="20"/>
                <w:szCs w:val="20"/>
              </w:rPr>
              <w:t xml:space="preserve"> uz 31.12.2024.</w:t>
            </w:r>
          </w:p>
        </w:tc>
        <w:tc>
          <w:tcPr>
            <w:tcW w:w="7508" w:type="dxa"/>
            <w:gridSpan w:val="3"/>
            <w:tcBorders>
              <w:top w:val="single" w:sz="4" w:space="0" w:color="auto"/>
              <w:left w:val="single" w:sz="4" w:space="0" w:color="auto"/>
              <w:bottom w:val="single" w:sz="4" w:space="0" w:color="auto"/>
              <w:right w:val="single" w:sz="4" w:space="0" w:color="auto"/>
            </w:tcBorders>
          </w:tcPr>
          <w:p w14:paraId="5F150EF4" w14:textId="3E9D459B" w:rsidR="009D1FBF" w:rsidRPr="00233A55" w:rsidRDefault="005F3196" w:rsidP="00FF72FC">
            <w:pPr>
              <w:rPr>
                <w:rFonts w:ascii="Times New Roman" w:hAnsi="Times New Roman" w:cs="Times New Roman"/>
                <w:sz w:val="20"/>
                <w:szCs w:val="20"/>
              </w:rPr>
            </w:pPr>
            <w:r w:rsidRPr="00233A55">
              <w:rPr>
                <w:rFonts w:ascii="Times New Roman" w:hAnsi="Times New Roman" w:cs="Times New Roman"/>
                <w:noProof/>
                <w:sz w:val="20"/>
                <w:szCs w:val="20"/>
              </w:rPr>
              <w:t xml:space="preserve">2 000 </w:t>
            </w:r>
          </w:p>
        </w:tc>
      </w:tr>
      <w:tr w:rsidR="009D1FBF" w:rsidRPr="00233A55" w14:paraId="388CB40D" w14:textId="77777777" w:rsidTr="00945C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tcBorders>
              <w:top w:val="single" w:sz="4" w:space="0" w:color="auto"/>
              <w:left w:val="single" w:sz="4" w:space="0" w:color="auto"/>
              <w:bottom w:val="single" w:sz="4" w:space="0" w:color="auto"/>
              <w:right w:val="single" w:sz="4" w:space="0" w:color="auto"/>
            </w:tcBorders>
          </w:tcPr>
          <w:p w14:paraId="769001A5" w14:textId="4BB24823" w:rsidR="00234A73" w:rsidRPr="00233A55" w:rsidRDefault="009D1FBF" w:rsidP="00FF72FC">
            <w:pPr>
              <w:jc w:val="both"/>
              <w:rPr>
                <w:rFonts w:ascii="Times New Roman" w:hAnsi="Times New Roman" w:cs="Times New Roman"/>
                <w:sz w:val="20"/>
                <w:szCs w:val="20"/>
              </w:rPr>
            </w:pPr>
            <w:r w:rsidRPr="00233A55">
              <w:rPr>
                <w:rFonts w:ascii="Times New Roman" w:hAnsi="Times New Roman" w:cs="Times New Roman"/>
                <w:b/>
                <w:sz w:val="20"/>
                <w:szCs w:val="20"/>
              </w:rPr>
              <w:t>Sasniedzamā vērtība</w:t>
            </w:r>
            <w:r w:rsidRPr="00233A55">
              <w:rPr>
                <w:rFonts w:ascii="Times New Roman" w:hAnsi="Times New Roman" w:cs="Times New Roman"/>
                <w:sz w:val="20"/>
                <w:szCs w:val="20"/>
              </w:rPr>
              <w:t xml:space="preserve"> uz 31.12.2029.</w:t>
            </w:r>
          </w:p>
        </w:tc>
        <w:tc>
          <w:tcPr>
            <w:tcW w:w="7508" w:type="dxa"/>
            <w:gridSpan w:val="3"/>
            <w:tcBorders>
              <w:top w:val="single" w:sz="4" w:space="0" w:color="auto"/>
              <w:left w:val="single" w:sz="4" w:space="0" w:color="auto"/>
              <w:bottom w:val="single" w:sz="4" w:space="0" w:color="auto"/>
              <w:right w:val="single" w:sz="4" w:space="0" w:color="auto"/>
            </w:tcBorders>
          </w:tcPr>
          <w:p w14:paraId="0D9C198B" w14:textId="425D160F" w:rsidR="00DF6E94" w:rsidRPr="00233A55" w:rsidRDefault="00830615" w:rsidP="0070301B">
            <w:pPr>
              <w:rPr>
                <w:rFonts w:ascii="Times New Roman" w:hAnsi="Times New Roman" w:cs="Times New Roman"/>
                <w:iCs/>
                <w:sz w:val="20"/>
                <w:szCs w:val="20"/>
              </w:rPr>
            </w:pPr>
            <w:r w:rsidRPr="00233A55">
              <w:rPr>
                <w:rFonts w:ascii="Times New Roman" w:hAnsi="Times New Roman" w:cs="Times New Roman"/>
                <w:noProof/>
                <w:sz w:val="20"/>
                <w:szCs w:val="20"/>
              </w:rPr>
              <w:t>13 450</w:t>
            </w:r>
          </w:p>
        </w:tc>
      </w:tr>
      <w:tr w:rsidR="00FF72FC" w:rsidRPr="00233A55" w14:paraId="58F0BCE3"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val="restart"/>
            <w:tcBorders>
              <w:top w:val="single" w:sz="4" w:space="0" w:color="auto"/>
              <w:left w:val="single" w:sz="4" w:space="0" w:color="auto"/>
              <w:right w:val="single" w:sz="4" w:space="0" w:color="auto"/>
            </w:tcBorders>
          </w:tcPr>
          <w:p w14:paraId="339E07B4" w14:textId="6D2B928C" w:rsidR="00FF72FC" w:rsidRPr="00233A55" w:rsidRDefault="00FF72FC" w:rsidP="00FF72FC">
            <w:pPr>
              <w:jc w:val="both"/>
              <w:rPr>
                <w:rFonts w:ascii="Times New Roman" w:hAnsi="Times New Roman" w:cs="Times New Roman"/>
                <w:sz w:val="20"/>
                <w:szCs w:val="20"/>
              </w:rPr>
            </w:pPr>
            <w:r w:rsidRPr="00233A55">
              <w:rPr>
                <w:rFonts w:ascii="Times New Roman" w:hAnsi="Times New Roman" w:cs="Times New Roman"/>
                <w:b/>
                <w:sz w:val="20"/>
                <w:szCs w:val="20"/>
              </w:rPr>
              <w:t>Pieņēmumi un aprēķini</w:t>
            </w:r>
            <w:r w:rsidRPr="00233A55">
              <w:rPr>
                <w:rStyle w:val="FootnoteReference"/>
                <w:rFonts w:ascii="Times New Roman" w:eastAsia="Times New Roman" w:hAnsi="Times New Roman" w:cs="Times New Roman"/>
                <w:b/>
                <w:bCs/>
                <w:sz w:val="20"/>
                <w:szCs w:val="20"/>
              </w:rPr>
              <w:footnoteReference w:id="3"/>
            </w:r>
          </w:p>
        </w:tc>
        <w:tc>
          <w:tcPr>
            <w:tcW w:w="7508" w:type="dxa"/>
            <w:gridSpan w:val="3"/>
            <w:tcBorders>
              <w:top w:val="single" w:sz="4" w:space="0" w:color="auto"/>
              <w:left w:val="single" w:sz="4" w:space="0" w:color="auto"/>
              <w:bottom w:val="single" w:sz="4" w:space="0" w:color="auto"/>
              <w:right w:val="single" w:sz="4" w:space="0" w:color="auto"/>
            </w:tcBorders>
          </w:tcPr>
          <w:p w14:paraId="02F946D4" w14:textId="77777777" w:rsidR="0008202D" w:rsidRPr="00233A55" w:rsidRDefault="00FF72FC" w:rsidP="00FF72FC">
            <w:pPr>
              <w:jc w:val="both"/>
              <w:rPr>
                <w:rFonts w:ascii="Times New Roman" w:hAnsi="Times New Roman" w:cs="Times New Roman"/>
                <w:b/>
                <w:bCs/>
                <w:sz w:val="20"/>
                <w:szCs w:val="20"/>
              </w:rPr>
            </w:pPr>
            <w:r w:rsidRPr="00233A55">
              <w:rPr>
                <w:rFonts w:ascii="Times New Roman" w:hAnsi="Times New Roman" w:cs="Times New Roman"/>
                <w:b/>
                <w:bCs/>
                <w:sz w:val="20"/>
                <w:szCs w:val="20"/>
              </w:rPr>
              <w:t>Kritēriji rādītāju izvēlei</w:t>
            </w:r>
          </w:p>
          <w:p w14:paraId="4CBEBDA5" w14:textId="36B16301" w:rsidR="00FF72FC" w:rsidRPr="00233A55" w:rsidRDefault="00FF72FC" w:rsidP="00FF72FC">
            <w:pPr>
              <w:jc w:val="both"/>
              <w:rPr>
                <w:rFonts w:ascii="Times New Roman" w:hAnsi="Times New Roman" w:cs="Times New Roman"/>
                <w:sz w:val="20"/>
                <w:szCs w:val="20"/>
              </w:rPr>
            </w:pPr>
            <w:r w:rsidRPr="00233A55">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C7E3BCE" w14:textId="77777777" w:rsidR="00FF72FC" w:rsidRPr="00233A55" w:rsidRDefault="00FF72FC" w:rsidP="00FF72FC">
            <w:pPr>
              <w:numPr>
                <w:ilvl w:val="0"/>
                <w:numId w:val="13"/>
              </w:numPr>
              <w:jc w:val="both"/>
              <w:rPr>
                <w:rFonts w:ascii="Times New Roman" w:hAnsi="Times New Roman" w:cs="Times New Roman"/>
                <w:sz w:val="20"/>
                <w:szCs w:val="20"/>
              </w:rPr>
            </w:pPr>
            <w:r w:rsidRPr="00233A55">
              <w:rPr>
                <w:rFonts w:ascii="Times New Roman" w:hAnsi="Times New Roman" w:cs="Times New Roman"/>
                <w:b/>
                <w:bCs/>
                <w:sz w:val="20"/>
                <w:szCs w:val="20"/>
              </w:rPr>
              <w:t>Sasaiste</w:t>
            </w:r>
            <w:r w:rsidRPr="00233A55">
              <w:rPr>
                <w:rFonts w:ascii="Times New Roman" w:hAnsi="Times New Roman" w:cs="Times New Roman"/>
                <w:sz w:val="20"/>
                <w:szCs w:val="20"/>
              </w:rPr>
              <w:t xml:space="preserve"> </w:t>
            </w:r>
            <w:r w:rsidRPr="00233A55">
              <w:rPr>
                <w:rFonts w:ascii="Times New Roman" w:hAnsi="Times New Roman" w:cs="Times New Roman"/>
                <w:b/>
                <w:bCs/>
                <w:sz w:val="20"/>
                <w:szCs w:val="20"/>
              </w:rPr>
              <w:t>ar plānotajiem ieguldījumiem</w:t>
            </w:r>
            <w:r w:rsidRPr="00233A55">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1C93803" w14:textId="77777777" w:rsidR="00FF72FC" w:rsidRPr="00233A55" w:rsidRDefault="00FF72FC" w:rsidP="00FF72FC">
            <w:pPr>
              <w:numPr>
                <w:ilvl w:val="0"/>
                <w:numId w:val="13"/>
              </w:numPr>
              <w:jc w:val="both"/>
              <w:rPr>
                <w:rFonts w:ascii="Times New Roman" w:hAnsi="Times New Roman" w:cs="Times New Roman"/>
                <w:sz w:val="20"/>
                <w:szCs w:val="20"/>
              </w:rPr>
            </w:pPr>
            <w:r w:rsidRPr="00233A55">
              <w:rPr>
                <w:rFonts w:ascii="Times New Roman" w:hAnsi="Times New Roman" w:cs="Times New Roman"/>
                <w:b/>
                <w:bCs/>
                <w:sz w:val="20"/>
                <w:szCs w:val="20"/>
              </w:rPr>
              <w:t>Būtiskums</w:t>
            </w:r>
            <w:r w:rsidRPr="00233A55">
              <w:rPr>
                <w:rFonts w:ascii="Times New Roman" w:hAnsi="Times New Roman" w:cs="Times New Roman"/>
                <w:sz w:val="20"/>
                <w:szCs w:val="20"/>
              </w:rPr>
              <w:t xml:space="preserve"> </w:t>
            </w:r>
            <w:r w:rsidRPr="00233A55">
              <w:rPr>
                <w:rFonts w:ascii="Times New Roman" w:hAnsi="Times New Roman" w:cs="Times New Roman"/>
                <w:b/>
                <w:bCs/>
                <w:sz w:val="20"/>
                <w:szCs w:val="20"/>
              </w:rPr>
              <w:t>attiecībā uz plānotajiem ieguldījumiem</w:t>
            </w:r>
            <w:r w:rsidRPr="00233A55">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C411C8B" w14:textId="6DC43086" w:rsidR="00FF72FC" w:rsidRPr="00233A55" w:rsidRDefault="00FF72FC" w:rsidP="00FF72FC">
            <w:pPr>
              <w:numPr>
                <w:ilvl w:val="0"/>
                <w:numId w:val="13"/>
              </w:numPr>
              <w:jc w:val="both"/>
              <w:rPr>
                <w:rFonts w:ascii="Times New Roman" w:eastAsia="Times New Roman" w:hAnsi="Times New Roman" w:cs="Times New Roman"/>
                <w:sz w:val="20"/>
                <w:szCs w:val="20"/>
                <w:lang w:eastAsia="lv-LV"/>
              </w:rPr>
            </w:pPr>
            <w:r w:rsidRPr="00233A55">
              <w:rPr>
                <w:rFonts w:ascii="Times New Roman" w:hAnsi="Times New Roman" w:cs="Times New Roman"/>
                <w:b/>
                <w:bCs/>
                <w:sz w:val="20"/>
                <w:szCs w:val="20"/>
              </w:rPr>
              <w:t>Datu pieejamība</w:t>
            </w:r>
            <w:r w:rsidRPr="00233A55">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72FC" w:rsidRPr="00233A55" w14:paraId="3F077876"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0C07A816" w14:textId="77777777" w:rsidR="00FF72FC" w:rsidRPr="00233A55"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67C86970" w14:textId="77777777" w:rsidR="00FF72FC" w:rsidRPr="00233A55" w:rsidRDefault="00FF72FC" w:rsidP="00FF72FC">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Informācijas avots</w:t>
            </w:r>
            <w:r w:rsidRPr="00233A55">
              <w:rPr>
                <w:rStyle w:val="FootnoteReference"/>
                <w:rFonts w:ascii="Times New Roman" w:hAnsi="Times New Roman" w:cs="Times New Roman"/>
                <w:b/>
                <w:bCs/>
                <w:iCs/>
                <w:sz w:val="20"/>
                <w:szCs w:val="20"/>
              </w:rPr>
              <w:footnoteReference w:id="4"/>
            </w:r>
          </w:p>
          <w:p w14:paraId="1B25D95E" w14:textId="77777777" w:rsidR="00FF72FC" w:rsidRDefault="00FF72FC" w:rsidP="00FF72FC">
            <w:pPr>
              <w:jc w:val="both"/>
              <w:rPr>
                <w:rFonts w:ascii="Times New Roman" w:hAnsi="Times New Roman" w:cs="Times New Roman"/>
                <w:sz w:val="20"/>
                <w:szCs w:val="20"/>
              </w:rPr>
            </w:pPr>
            <w:r w:rsidRPr="00233A55">
              <w:rPr>
                <w:rFonts w:ascii="Times New Roman" w:hAnsi="Times New Roman" w:cs="Times New Roman"/>
                <w:sz w:val="20"/>
                <w:szCs w:val="20"/>
              </w:rPr>
              <w:t>Projektu dati</w:t>
            </w:r>
            <w:r w:rsidR="004E6644">
              <w:rPr>
                <w:rFonts w:ascii="Times New Roman" w:hAnsi="Times New Roman" w:cs="Times New Roman"/>
                <w:sz w:val="20"/>
                <w:szCs w:val="20"/>
              </w:rPr>
              <w:t>.</w:t>
            </w:r>
          </w:p>
          <w:p w14:paraId="1CC7FB7C" w14:textId="61D9688E" w:rsidR="004E6644" w:rsidRPr="00233A55" w:rsidRDefault="004E6644" w:rsidP="00FF72FC">
            <w:pPr>
              <w:jc w:val="both"/>
              <w:rPr>
                <w:rFonts w:ascii="Times New Roman" w:hAnsi="Times New Roman" w:cs="Times New Roman"/>
                <w:iCs/>
                <w:sz w:val="20"/>
                <w:szCs w:val="20"/>
              </w:rPr>
            </w:pPr>
            <w:r w:rsidRPr="004E6644">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72FC" w:rsidRPr="00233A55" w14:paraId="1B609BB1"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1CA50FBD" w14:textId="77777777" w:rsidR="00FF72FC" w:rsidRPr="00233A55"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10391524" w14:textId="4423C4F7" w:rsidR="0070301B" w:rsidRPr="00233A55" w:rsidRDefault="0070301B" w:rsidP="00FF72FC">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 xml:space="preserve">Aprēķins un pieņēmumi </w:t>
            </w:r>
          </w:p>
          <w:p w14:paraId="46B108E6" w14:textId="77777777" w:rsidR="0070301B" w:rsidRPr="00233A55" w:rsidRDefault="0070301B" w:rsidP="0070301B">
            <w:pPr>
              <w:jc w:val="both"/>
              <w:rPr>
                <w:rFonts w:ascii="Times New Roman" w:hAnsi="Times New Roman" w:cs="Times New Roman"/>
                <w:sz w:val="20"/>
                <w:szCs w:val="20"/>
              </w:rPr>
            </w:pPr>
            <w:r w:rsidRPr="00233A55">
              <w:rPr>
                <w:rFonts w:ascii="Times New Roman" w:hAnsi="Times New Roman" w:cs="Times New Roman"/>
                <w:sz w:val="20"/>
                <w:szCs w:val="20"/>
              </w:rPr>
              <w:t>Rādītājs summējas no divu veidu aktivitātēm:</w:t>
            </w:r>
          </w:p>
          <w:p w14:paraId="10AF48E8" w14:textId="77777777" w:rsidR="0070301B" w:rsidRPr="00233A55" w:rsidRDefault="0070301B" w:rsidP="0070301B">
            <w:pPr>
              <w:pStyle w:val="ListParagraph"/>
              <w:numPr>
                <w:ilvl w:val="0"/>
                <w:numId w:val="11"/>
              </w:numPr>
              <w:ind w:left="448"/>
              <w:jc w:val="both"/>
              <w:rPr>
                <w:rFonts w:ascii="Times New Roman" w:hAnsi="Times New Roman" w:cs="Times New Roman"/>
                <w:sz w:val="20"/>
                <w:szCs w:val="20"/>
              </w:rPr>
            </w:pPr>
            <w:r w:rsidRPr="00233A55">
              <w:rPr>
                <w:rFonts w:ascii="Times New Roman" w:hAnsi="Times New Roman" w:cs="Times New Roman"/>
                <w:sz w:val="20"/>
                <w:szCs w:val="20"/>
              </w:rPr>
              <w:t>Atbalstam daudzīvokļu mājām aprēķins tiek veikts sekojoši:</w:t>
            </w:r>
          </w:p>
          <w:p w14:paraId="2F8CAE98" w14:textId="7B07EB41" w:rsidR="0070301B" w:rsidRPr="00233A55" w:rsidRDefault="0070301B" w:rsidP="0070301B">
            <w:pPr>
              <w:rPr>
                <w:rFonts w:ascii="Times New Roman" w:hAnsi="Times New Roman" w:cs="Times New Roman"/>
                <w:sz w:val="20"/>
                <w:szCs w:val="20"/>
              </w:rPr>
            </w:pPr>
            <w:r w:rsidRPr="00233A55">
              <w:rPr>
                <w:rFonts w:ascii="Times New Roman" w:hAnsi="Times New Roman" w:cs="Times New Roman"/>
                <w:sz w:val="20"/>
                <w:szCs w:val="20"/>
              </w:rPr>
              <w:lastRenderedPageBreak/>
              <w:t xml:space="preserve">Pieņemot kopējo finansējumu  </w:t>
            </w:r>
            <w:r w:rsidR="009C6A03" w:rsidRPr="00233A55">
              <w:rPr>
                <w:rFonts w:ascii="Times New Roman" w:hAnsi="Times New Roman" w:cs="Times New Roman"/>
                <w:sz w:val="20"/>
                <w:szCs w:val="20"/>
              </w:rPr>
              <w:t>163 125 000</w:t>
            </w:r>
            <w:r w:rsidR="00F7042C" w:rsidRPr="00233A55">
              <w:rPr>
                <w:rFonts w:ascii="Times New Roman" w:hAnsi="Times New Roman" w:cs="Times New Roman"/>
                <w:sz w:val="20"/>
                <w:szCs w:val="20"/>
              </w:rPr>
              <w:t xml:space="preserve"> </w:t>
            </w:r>
            <w:r w:rsidRPr="00233A55">
              <w:rPr>
                <w:rFonts w:ascii="Times New Roman" w:hAnsi="Times New Roman" w:cs="Times New Roman"/>
                <w:sz w:val="20"/>
                <w:szCs w:val="20"/>
              </w:rPr>
              <w:t> EUR, no kuriem 70% ir paredzēti daudzīvokļu māju energoefektivitātes veicināšanai, savukārt 20% no tās summas tiek paredzēti programmas administrēšanai, tāpēc</w:t>
            </w:r>
          </w:p>
          <w:p w14:paraId="4312CD8B" w14:textId="18C61497" w:rsidR="0070301B" w:rsidRPr="00233A55" w:rsidRDefault="006B2B24" w:rsidP="0070301B">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163 125 000</w:t>
            </w:r>
            <w:r w:rsidR="00A40144" w:rsidRPr="00233A55">
              <w:rPr>
                <w:rFonts w:ascii="Times New Roman" w:hAnsi="Times New Roman" w:cs="Times New Roman"/>
                <w:sz w:val="20"/>
                <w:szCs w:val="20"/>
              </w:rPr>
              <w:t xml:space="preserve"> EUR x 70% =   </w:t>
            </w:r>
            <w:r w:rsidRPr="00233A55">
              <w:rPr>
                <w:rFonts w:ascii="Times New Roman" w:hAnsi="Times New Roman" w:cs="Times New Roman"/>
                <w:sz w:val="20"/>
                <w:szCs w:val="20"/>
              </w:rPr>
              <w:t>114 187 500</w:t>
            </w:r>
            <w:r w:rsidR="00531D76"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EUR</w:t>
            </w:r>
          </w:p>
          <w:p w14:paraId="43641C8C" w14:textId="532675BD" w:rsidR="0070301B" w:rsidRPr="00233A55" w:rsidRDefault="006B2B24" w:rsidP="0070301B">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114 187 500</w:t>
            </w:r>
            <w:r w:rsidR="00531D76"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x 20% = </w:t>
            </w:r>
            <w:r w:rsidRPr="00233A55">
              <w:rPr>
                <w:rFonts w:ascii="Times New Roman" w:hAnsi="Times New Roman" w:cs="Times New Roman"/>
                <w:sz w:val="20"/>
                <w:szCs w:val="20"/>
              </w:rPr>
              <w:t>22 837 500</w:t>
            </w:r>
            <w:r w:rsidR="00531D76"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 xml:space="preserve"> EUR</w:t>
            </w:r>
          </w:p>
          <w:p w14:paraId="72A7F289" w14:textId="3EB47EBF" w:rsidR="0070301B" w:rsidRPr="00233A55" w:rsidRDefault="0070301B" w:rsidP="0070301B">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Nepieciešams ņemt vērā, ka atbalsts plānots kombinētā finanšu instrumentu formā</w:t>
            </w:r>
            <w:r w:rsidR="00531D76" w:rsidRPr="00233A55">
              <w:rPr>
                <w:rFonts w:ascii="Times New Roman" w:hAnsi="Times New Roman" w:cs="Times New Roman"/>
                <w:sz w:val="20"/>
                <w:szCs w:val="20"/>
              </w:rPr>
              <w:t xml:space="preserve"> </w:t>
            </w:r>
            <w:r w:rsidR="00D043EA" w:rsidRPr="00233A55">
              <w:rPr>
                <w:rFonts w:ascii="Times New Roman" w:hAnsi="Times New Roman" w:cs="Times New Roman"/>
                <w:sz w:val="20"/>
                <w:szCs w:val="20"/>
              </w:rPr>
              <w:t xml:space="preserve">- </w:t>
            </w:r>
            <w:r w:rsidR="00531D76" w:rsidRPr="00233A55">
              <w:rPr>
                <w:rFonts w:ascii="Times New Roman" w:hAnsi="Times New Roman" w:cs="Times New Roman"/>
                <w:sz w:val="20"/>
                <w:szCs w:val="20"/>
              </w:rPr>
              <w:t>aizdevums</w:t>
            </w:r>
            <w:r w:rsidRPr="00233A55">
              <w:rPr>
                <w:rFonts w:ascii="Times New Roman" w:hAnsi="Times New Roman" w:cs="Times New Roman"/>
                <w:sz w:val="20"/>
                <w:szCs w:val="20"/>
              </w:rPr>
              <w:t xml:space="preserve"> ar</w:t>
            </w:r>
            <w:r w:rsidR="00531D76" w:rsidRPr="00233A55">
              <w:rPr>
                <w:rFonts w:ascii="Times New Roman" w:hAnsi="Times New Roman" w:cs="Times New Roman"/>
                <w:sz w:val="20"/>
                <w:szCs w:val="20"/>
              </w:rPr>
              <w:t xml:space="preserve"> kapitāla atlaidi</w:t>
            </w:r>
            <w:r w:rsidRPr="00233A55">
              <w:rPr>
                <w:rFonts w:ascii="Times New Roman" w:hAnsi="Times New Roman" w:cs="Times New Roman"/>
                <w:sz w:val="20"/>
                <w:szCs w:val="20"/>
              </w:rPr>
              <w:t xml:space="preserve"> </w:t>
            </w:r>
            <w:r w:rsidR="00531D76" w:rsidRPr="00233A55">
              <w:rPr>
                <w:rFonts w:ascii="Times New Roman" w:hAnsi="Times New Roman" w:cs="Times New Roman"/>
                <w:sz w:val="20"/>
                <w:szCs w:val="20"/>
              </w:rPr>
              <w:t>(</w:t>
            </w:r>
            <w:proofErr w:type="spellStart"/>
            <w:r w:rsidRPr="00233A55">
              <w:rPr>
                <w:rFonts w:ascii="Times New Roman" w:hAnsi="Times New Roman" w:cs="Times New Roman"/>
                <w:sz w:val="20"/>
                <w:szCs w:val="20"/>
              </w:rPr>
              <w:t>granta</w:t>
            </w:r>
            <w:proofErr w:type="spellEnd"/>
            <w:r w:rsidRPr="00233A55">
              <w:rPr>
                <w:rFonts w:ascii="Times New Roman" w:hAnsi="Times New Roman" w:cs="Times New Roman"/>
                <w:sz w:val="20"/>
                <w:szCs w:val="20"/>
              </w:rPr>
              <w:t xml:space="preserve"> </w:t>
            </w:r>
            <w:r w:rsidR="00531D76" w:rsidRPr="00233A55">
              <w:rPr>
                <w:rFonts w:ascii="Times New Roman" w:hAnsi="Times New Roman" w:cs="Times New Roman"/>
                <w:sz w:val="20"/>
                <w:szCs w:val="20"/>
              </w:rPr>
              <w:t>veidā)</w:t>
            </w:r>
            <w:r w:rsidR="00D043EA" w:rsidRPr="00233A55">
              <w:rPr>
                <w:rFonts w:ascii="Times New Roman" w:hAnsi="Times New Roman" w:cs="Times New Roman"/>
                <w:sz w:val="20"/>
                <w:szCs w:val="20"/>
              </w:rPr>
              <w:t xml:space="preserve">, </w:t>
            </w:r>
            <w:r w:rsidRPr="00233A55">
              <w:rPr>
                <w:rFonts w:ascii="Times New Roman" w:hAnsi="Times New Roman" w:cs="Times New Roman"/>
                <w:sz w:val="20"/>
                <w:szCs w:val="20"/>
              </w:rPr>
              <w:t xml:space="preserve">līdz ar to  finansējuma aprēķins sekojošs: </w:t>
            </w:r>
          </w:p>
          <w:p w14:paraId="30105D25" w14:textId="0B6AB55D" w:rsidR="0070301B" w:rsidRPr="00233A55" w:rsidRDefault="006B2B24" w:rsidP="0070301B">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114 187 500</w:t>
            </w:r>
            <w:r w:rsidR="00531D76"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 xml:space="preserve">EUR – </w:t>
            </w:r>
            <w:r w:rsidRPr="00233A55">
              <w:rPr>
                <w:rFonts w:ascii="Times New Roman" w:hAnsi="Times New Roman" w:cs="Times New Roman"/>
                <w:sz w:val="20"/>
                <w:szCs w:val="20"/>
              </w:rPr>
              <w:t>22 837 500</w:t>
            </w:r>
            <w:r w:rsidR="00531D76"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 xml:space="preserve">EUR (administrēšanas izmaksas) = </w:t>
            </w:r>
            <w:r w:rsidRPr="00233A55">
              <w:rPr>
                <w:rFonts w:ascii="Times New Roman" w:hAnsi="Times New Roman" w:cs="Times New Roman"/>
                <w:sz w:val="20"/>
                <w:szCs w:val="20"/>
              </w:rPr>
              <w:t>91 350 000</w:t>
            </w:r>
            <w:r w:rsidR="00531D76"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EUR;</w:t>
            </w:r>
          </w:p>
          <w:p w14:paraId="7ED21327" w14:textId="7CA6FDA9" w:rsidR="0070301B" w:rsidRPr="00233A55" w:rsidRDefault="0070301B" w:rsidP="0070301B">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Ņemot vērā līdzšinējo pieredzi aptuveni 20% gadījumu aizdevumu sniedz </w:t>
            </w:r>
            <w:proofErr w:type="spellStart"/>
            <w:r w:rsidRPr="00233A55">
              <w:rPr>
                <w:rFonts w:ascii="Times New Roman" w:hAnsi="Times New Roman" w:cs="Times New Roman"/>
                <w:sz w:val="20"/>
                <w:szCs w:val="20"/>
              </w:rPr>
              <w:t>Altum</w:t>
            </w:r>
            <w:proofErr w:type="spellEnd"/>
            <w:r w:rsidRPr="00233A55">
              <w:rPr>
                <w:rFonts w:ascii="Times New Roman" w:hAnsi="Times New Roman" w:cs="Times New Roman"/>
                <w:sz w:val="20"/>
                <w:szCs w:val="20"/>
              </w:rPr>
              <w:t xml:space="preserve"> no publiskā finansējuma: 20% no </w:t>
            </w:r>
            <w:r w:rsidR="006B2B24" w:rsidRPr="00233A55">
              <w:rPr>
                <w:rFonts w:ascii="Times New Roman" w:hAnsi="Times New Roman" w:cs="Times New Roman"/>
                <w:sz w:val="20"/>
                <w:szCs w:val="20"/>
              </w:rPr>
              <w:t xml:space="preserve">91 350 000  </w:t>
            </w:r>
            <w:r w:rsidRPr="00233A55">
              <w:rPr>
                <w:rFonts w:ascii="Times New Roman" w:hAnsi="Times New Roman" w:cs="Times New Roman"/>
                <w:sz w:val="20"/>
                <w:szCs w:val="20"/>
              </w:rPr>
              <w:t xml:space="preserve">EUR = </w:t>
            </w:r>
            <w:r w:rsidR="00A40144" w:rsidRPr="00233A55">
              <w:rPr>
                <w:rFonts w:ascii="Times New Roman" w:hAnsi="Times New Roman" w:cs="Times New Roman"/>
                <w:sz w:val="20"/>
                <w:szCs w:val="20"/>
              </w:rPr>
              <w:t xml:space="preserve">  </w:t>
            </w:r>
            <w:r w:rsidR="006B2B24" w:rsidRPr="00233A55">
              <w:rPr>
                <w:rFonts w:ascii="Times New Roman" w:hAnsi="Times New Roman" w:cs="Times New Roman"/>
                <w:sz w:val="20"/>
                <w:szCs w:val="20"/>
              </w:rPr>
              <w:t>18 270 000</w:t>
            </w:r>
            <w:r w:rsidR="00B13726"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w:t>
            </w:r>
            <w:r w:rsidRPr="00233A55">
              <w:rPr>
                <w:rFonts w:ascii="Times New Roman" w:hAnsi="Times New Roman" w:cs="Times New Roman"/>
                <w:sz w:val="20"/>
                <w:szCs w:val="20"/>
              </w:rPr>
              <w:t>EUR;</w:t>
            </w:r>
          </w:p>
          <w:p w14:paraId="5C35C0A5" w14:textId="26AF35D1" w:rsidR="0070301B" w:rsidRPr="00233A55" w:rsidRDefault="0070301B" w:rsidP="0070301B">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Līdz ar to </w:t>
            </w:r>
            <w:proofErr w:type="spellStart"/>
            <w:r w:rsidRPr="00233A55">
              <w:rPr>
                <w:rFonts w:ascii="Times New Roman" w:hAnsi="Times New Roman" w:cs="Times New Roman"/>
                <w:sz w:val="20"/>
                <w:szCs w:val="20"/>
              </w:rPr>
              <w:t>grantiem</w:t>
            </w:r>
            <w:proofErr w:type="spellEnd"/>
            <w:r w:rsidRPr="00233A55">
              <w:rPr>
                <w:rFonts w:ascii="Times New Roman" w:hAnsi="Times New Roman" w:cs="Times New Roman"/>
                <w:sz w:val="20"/>
                <w:szCs w:val="20"/>
              </w:rPr>
              <w:t xml:space="preserve"> paredzēti 80% no publiskā finansējuma: 80% no </w:t>
            </w:r>
            <w:r w:rsidR="006B2B24" w:rsidRPr="00233A55">
              <w:rPr>
                <w:rFonts w:ascii="Times New Roman" w:hAnsi="Times New Roman" w:cs="Times New Roman"/>
                <w:sz w:val="20"/>
                <w:szCs w:val="20"/>
              </w:rPr>
              <w:t>91 350 000</w:t>
            </w:r>
            <w:r w:rsidR="00B13726"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w:t>
            </w:r>
            <w:r w:rsidRPr="00233A55">
              <w:rPr>
                <w:rFonts w:ascii="Times New Roman" w:hAnsi="Times New Roman" w:cs="Times New Roman"/>
                <w:sz w:val="20"/>
                <w:szCs w:val="20"/>
              </w:rPr>
              <w:t xml:space="preserve">EUR = </w:t>
            </w:r>
            <w:r w:rsidR="006B2B24" w:rsidRPr="00233A55">
              <w:rPr>
                <w:rFonts w:ascii="Times New Roman" w:hAnsi="Times New Roman" w:cs="Times New Roman"/>
                <w:sz w:val="20"/>
                <w:szCs w:val="20"/>
              </w:rPr>
              <w:t>73 080 000</w:t>
            </w:r>
            <w:r w:rsidR="00B13726"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w:t>
            </w:r>
            <w:r w:rsidRPr="00233A55">
              <w:rPr>
                <w:rFonts w:ascii="Times New Roman" w:hAnsi="Times New Roman" w:cs="Times New Roman"/>
                <w:sz w:val="20"/>
                <w:szCs w:val="20"/>
              </w:rPr>
              <w:t>EUR;</w:t>
            </w:r>
          </w:p>
          <w:p w14:paraId="152C4EFD" w14:textId="7C02CECC" w:rsidR="0070301B" w:rsidRPr="00233A55" w:rsidRDefault="0070301B" w:rsidP="0070301B">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Pieņemot, ka </w:t>
            </w:r>
            <w:proofErr w:type="spellStart"/>
            <w:r w:rsidRPr="00233A55">
              <w:rPr>
                <w:rFonts w:ascii="Times New Roman" w:hAnsi="Times New Roman" w:cs="Times New Roman"/>
                <w:sz w:val="20"/>
                <w:szCs w:val="20"/>
              </w:rPr>
              <w:t>granta</w:t>
            </w:r>
            <w:proofErr w:type="spellEnd"/>
            <w:r w:rsidRPr="00233A55">
              <w:rPr>
                <w:rFonts w:ascii="Times New Roman" w:hAnsi="Times New Roman" w:cs="Times New Roman"/>
                <w:sz w:val="20"/>
                <w:szCs w:val="20"/>
              </w:rPr>
              <w:t xml:space="preserve"> intensitāte sastādīs </w:t>
            </w:r>
            <w:r w:rsidR="00B76569" w:rsidRPr="00233A55">
              <w:rPr>
                <w:rFonts w:ascii="Times New Roman" w:hAnsi="Times New Roman" w:cs="Times New Roman"/>
                <w:sz w:val="20"/>
                <w:szCs w:val="20"/>
              </w:rPr>
              <w:t>49</w:t>
            </w:r>
            <w:r w:rsidRPr="00233A55">
              <w:rPr>
                <w:rFonts w:ascii="Times New Roman" w:hAnsi="Times New Roman" w:cs="Times New Roman"/>
                <w:sz w:val="20"/>
                <w:szCs w:val="20"/>
              </w:rPr>
              <w:t>% no projektu attiecināmajām izmaksām, līdz ar to</w:t>
            </w:r>
            <w:r w:rsidR="006A7A5E" w:rsidRPr="00233A55">
              <w:rPr>
                <w:rFonts w:ascii="Times New Roman" w:hAnsi="Times New Roman" w:cs="Times New Roman"/>
                <w:sz w:val="20"/>
                <w:szCs w:val="20"/>
              </w:rPr>
              <w:t xml:space="preserve"> aizdevuma daļa sastādīs </w:t>
            </w:r>
            <w:r w:rsidR="006B2B24" w:rsidRPr="00233A55">
              <w:rPr>
                <w:rFonts w:ascii="Times New Roman" w:hAnsi="Times New Roman" w:cs="Times New Roman"/>
                <w:sz w:val="20"/>
                <w:szCs w:val="20"/>
              </w:rPr>
              <w:t>73 080 000</w:t>
            </w:r>
            <w:r w:rsidR="006A7A5E" w:rsidRPr="00233A55">
              <w:rPr>
                <w:rFonts w:ascii="Times New Roman" w:hAnsi="Times New Roman" w:cs="Times New Roman"/>
                <w:sz w:val="20"/>
                <w:szCs w:val="20"/>
              </w:rPr>
              <w:t xml:space="preserve"> / 49 x 51 = </w:t>
            </w:r>
            <w:r w:rsidR="00B67B20" w:rsidRPr="00233A55">
              <w:rPr>
                <w:rFonts w:ascii="Times New Roman" w:hAnsi="Times New Roman" w:cs="Times New Roman"/>
                <w:sz w:val="20"/>
                <w:szCs w:val="20"/>
              </w:rPr>
              <w:t>76 062 857.14</w:t>
            </w:r>
            <w:r w:rsidR="006A7A5E" w:rsidRPr="00233A55">
              <w:rPr>
                <w:rFonts w:ascii="Times New Roman" w:hAnsi="Times New Roman" w:cs="Times New Roman"/>
                <w:sz w:val="20"/>
                <w:szCs w:val="20"/>
              </w:rPr>
              <w:t xml:space="preserve"> EUR. No kā </w:t>
            </w:r>
            <w:proofErr w:type="spellStart"/>
            <w:r w:rsidR="006A7A5E" w:rsidRPr="00233A55">
              <w:rPr>
                <w:rFonts w:ascii="Times New Roman" w:hAnsi="Times New Roman" w:cs="Times New Roman"/>
                <w:sz w:val="20"/>
                <w:szCs w:val="20"/>
              </w:rPr>
              <w:t>Altum</w:t>
            </w:r>
            <w:proofErr w:type="spellEnd"/>
            <w:r w:rsidR="006A7A5E" w:rsidRPr="00233A55">
              <w:rPr>
                <w:rFonts w:ascii="Times New Roman" w:hAnsi="Times New Roman" w:cs="Times New Roman"/>
                <w:sz w:val="20"/>
                <w:szCs w:val="20"/>
              </w:rPr>
              <w:t xml:space="preserve"> aizdevumi sastādīs </w:t>
            </w:r>
            <w:r w:rsidR="00B67B20" w:rsidRPr="00233A55">
              <w:rPr>
                <w:rFonts w:ascii="Times New Roman" w:hAnsi="Times New Roman" w:cs="Times New Roman"/>
                <w:sz w:val="20"/>
                <w:szCs w:val="20"/>
              </w:rPr>
              <w:t>18 270 000.00</w:t>
            </w:r>
            <w:r w:rsidR="006A7A5E" w:rsidRPr="00233A55">
              <w:rPr>
                <w:rFonts w:ascii="Times New Roman" w:hAnsi="Times New Roman" w:cs="Times New Roman"/>
                <w:sz w:val="20"/>
                <w:szCs w:val="20"/>
              </w:rPr>
              <w:t xml:space="preserve"> EUR, bet </w:t>
            </w:r>
            <w:proofErr w:type="spellStart"/>
            <w:r w:rsidR="006A7A5E" w:rsidRPr="00233A55">
              <w:rPr>
                <w:rFonts w:ascii="Times New Roman" w:hAnsi="Times New Roman" w:cs="Times New Roman"/>
                <w:sz w:val="20"/>
                <w:szCs w:val="20"/>
              </w:rPr>
              <w:t>komerciestāžu</w:t>
            </w:r>
            <w:proofErr w:type="spellEnd"/>
            <w:r w:rsidR="006A7A5E" w:rsidRPr="00233A55">
              <w:rPr>
                <w:rFonts w:ascii="Times New Roman" w:hAnsi="Times New Roman" w:cs="Times New Roman"/>
                <w:sz w:val="20"/>
                <w:szCs w:val="20"/>
              </w:rPr>
              <w:t xml:space="preserve"> aizdevumi sastādīs </w:t>
            </w:r>
            <w:r w:rsidR="00B67B20" w:rsidRPr="00233A55">
              <w:rPr>
                <w:rFonts w:ascii="Times New Roman" w:hAnsi="Times New Roman" w:cs="Times New Roman"/>
                <w:sz w:val="20"/>
                <w:szCs w:val="20"/>
              </w:rPr>
              <w:t>57 792 857.14</w:t>
            </w:r>
            <w:r w:rsidR="006A7A5E" w:rsidRPr="00233A55">
              <w:rPr>
                <w:rFonts w:ascii="Times New Roman" w:hAnsi="Times New Roman" w:cs="Times New Roman"/>
                <w:sz w:val="20"/>
                <w:szCs w:val="20"/>
              </w:rPr>
              <w:t xml:space="preserve"> EUR. </w:t>
            </w:r>
          </w:p>
          <w:p w14:paraId="5FDEF99A" w14:textId="20047935" w:rsidR="0070301B" w:rsidRPr="00233A55" w:rsidRDefault="0070301B" w:rsidP="0070301B">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Ņemot vērā iepriekš minēto, kopējais </w:t>
            </w:r>
            <w:r w:rsidR="004546CD" w:rsidRPr="00233A55">
              <w:rPr>
                <w:rFonts w:ascii="Times New Roman" w:hAnsi="Times New Roman" w:cs="Times New Roman"/>
                <w:sz w:val="20"/>
                <w:szCs w:val="20"/>
              </w:rPr>
              <w:t xml:space="preserve">atbalstīto projektu apjoms </w:t>
            </w:r>
            <w:r w:rsidRPr="00233A55">
              <w:rPr>
                <w:rFonts w:ascii="Times New Roman" w:hAnsi="Times New Roman" w:cs="Times New Roman"/>
                <w:sz w:val="20"/>
                <w:szCs w:val="20"/>
              </w:rPr>
              <w:t xml:space="preserve">aprēķināms sekojoši: </w:t>
            </w:r>
            <w:r w:rsidR="00B67B20" w:rsidRPr="00233A55">
              <w:rPr>
                <w:rFonts w:ascii="Times New Roman" w:hAnsi="Times New Roman" w:cs="Times New Roman"/>
                <w:sz w:val="20"/>
                <w:szCs w:val="20"/>
              </w:rPr>
              <w:t>73 080 000.00</w:t>
            </w:r>
            <w:r w:rsidR="004546CD" w:rsidRPr="00233A55">
              <w:rPr>
                <w:rFonts w:ascii="Times New Roman" w:hAnsi="Times New Roman" w:cs="Times New Roman"/>
                <w:sz w:val="20"/>
                <w:szCs w:val="20"/>
              </w:rPr>
              <w:t xml:space="preserve"> </w:t>
            </w:r>
            <w:r w:rsidRPr="00233A55">
              <w:rPr>
                <w:rFonts w:ascii="Times New Roman" w:hAnsi="Times New Roman" w:cs="Times New Roman"/>
                <w:sz w:val="20"/>
                <w:szCs w:val="20"/>
              </w:rPr>
              <w:t xml:space="preserve">EUR + </w:t>
            </w:r>
            <w:r w:rsidR="00B67B20" w:rsidRPr="00233A55">
              <w:rPr>
                <w:rFonts w:ascii="Times New Roman" w:hAnsi="Times New Roman" w:cs="Times New Roman"/>
                <w:sz w:val="20"/>
                <w:szCs w:val="20"/>
              </w:rPr>
              <w:t>76 062 857.14</w:t>
            </w:r>
            <w:r w:rsidR="004546CD"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w:t>
            </w:r>
            <w:r w:rsidRPr="00233A55">
              <w:rPr>
                <w:rFonts w:ascii="Times New Roman" w:hAnsi="Times New Roman" w:cs="Times New Roman"/>
                <w:sz w:val="20"/>
                <w:szCs w:val="20"/>
              </w:rPr>
              <w:t xml:space="preserve">EUR = </w:t>
            </w:r>
            <w:r w:rsidR="00B67B20" w:rsidRPr="00233A55">
              <w:rPr>
                <w:rFonts w:ascii="Times New Roman" w:hAnsi="Times New Roman" w:cs="Times New Roman"/>
                <w:sz w:val="20"/>
                <w:szCs w:val="20"/>
              </w:rPr>
              <w:t>149 142 857.14</w:t>
            </w:r>
            <w:r w:rsidR="004546CD" w:rsidRPr="00233A55">
              <w:rPr>
                <w:rFonts w:ascii="Times New Roman" w:hAnsi="Times New Roman" w:cs="Times New Roman"/>
                <w:sz w:val="20"/>
                <w:szCs w:val="20"/>
              </w:rPr>
              <w:t xml:space="preserve"> </w:t>
            </w:r>
            <w:r w:rsidRPr="00233A55">
              <w:rPr>
                <w:rFonts w:ascii="Times New Roman" w:hAnsi="Times New Roman" w:cs="Times New Roman"/>
                <w:sz w:val="20"/>
                <w:szCs w:val="20"/>
              </w:rPr>
              <w:t xml:space="preserve">EUR. </w:t>
            </w:r>
          </w:p>
          <w:p w14:paraId="081A83E8" w14:textId="3DA4FE64" w:rsidR="0070301B" w:rsidRPr="00233A55" w:rsidRDefault="0070301B">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 xml:space="preserve">Atjaunojamo mājokļu skaits nosakāms sekojoši </w:t>
            </w:r>
            <w:r w:rsidR="00B67B20" w:rsidRPr="00233A55">
              <w:rPr>
                <w:rFonts w:ascii="Times New Roman" w:hAnsi="Times New Roman" w:cs="Times New Roman"/>
                <w:sz w:val="20"/>
                <w:szCs w:val="20"/>
              </w:rPr>
              <w:t>149 142 857.14</w:t>
            </w:r>
            <w:r w:rsidR="00033B8D" w:rsidRPr="00233A55">
              <w:rPr>
                <w:rFonts w:ascii="Times New Roman" w:hAnsi="Times New Roman" w:cs="Times New Roman"/>
                <w:sz w:val="20"/>
                <w:szCs w:val="20"/>
              </w:rPr>
              <w:t xml:space="preserve"> </w:t>
            </w:r>
            <w:r w:rsidRPr="00233A55">
              <w:rPr>
                <w:rFonts w:ascii="Times New Roman" w:hAnsi="Times New Roman" w:cs="Times New Roman"/>
                <w:sz w:val="20"/>
                <w:szCs w:val="20"/>
              </w:rPr>
              <w:t xml:space="preserve">EUR / </w:t>
            </w:r>
            <w:r w:rsidR="00033B8D" w:rsidRPr="00233A55">
              <w:rPr>
                <w:rFonts w:ascii="Times New Roman" w:hAnsi="Times New Roman" w:cs="Times New Roman"/>
                <w:sz w:val="20"/>
                <w:szCs w:val="20"/>
              </w:rPr>
              <w:t xml:space="preserve">526 000 </w:t>
            </w:r>
            <w:r w:rsidRPr="00233A55">
              <w:rPr>
                <w:rFonts w:ascii="Times New Roman" w:hAnsi="Times New Roman" w:cs="Times New Roman"/>
                <w:sz w:val="20"/>
                <w:szCs w:val="20"/>
              </w:rPr>
              <w:t>EUR (</w:t>
            </w:r>
            <w:r w:rsidR="00033B8D" w:rsidRPr="00233A55">
              <w:rPr>
                <w:rFonts w:ascii="Times New Roman" w:hAnsi="Times New Roman" w:cs="Times New Roman"/>
                <w:sz w:val="20"/>
                <w:szCs w:val="20"/>
              </w:rPr>
              <w:t xml:space="preserve">500 000 EUR ir </w:t>
            </w:r>
            <w:r w:rsidRPr="00233A55">
              <w:rPr>
                <w:rFonts w:ascii="Times New Roman" w:hAnsi="Times New Roman" w:cs="Times New Roman"/>
                <w:sz w:val="20"/>
                <w:szCs w:val="20"/>
              </w:rPr>
              <w:t>vidējās izmaksas vienas daudzīvokļu mājas renovācijai balstoties uz 2014. – 2020. gada plānošana</w:t>
            </w:r>
            <w:r w:rsidR="00A40144" w:rsidRPr="00233A55">
              <w:rPr>
                <w:rFonts w:ascii="Times New Roman" w:hAnsi="Times New Roman" w:cs="Times New Roman"/>
                <w:sz w:val="20"/>
                <w:szCs w:val="20"/>
              </w:rPr>
              <w:t>s perioda projektu datiem</w:t>
            </w:r>
            <w:r w:rsidR="00033B8D" w:rsidRPr="00233A55">
              <w:rPr>
                <w:rFonts w:ascii="Times New Roman" w:hAnsi="Times New Roman" w:cs="Times New Roman"/>
                <w:sz w:val="20"/>
                <w:szCs w:val="20"/>
              </w:rPr>
              <w:t xml:space="preserve">, kam jāpieskaita 5.2% inflācija, jo 2023.gadā, kad faktiski tiks uzsākta projektu īstenošana cenas salīdzinājumā ar 2020.gadu būs cēlušās (izmantot FM tautsaimniecības attīstības prognozes https://www.fm.gov.lv/lv/tautsaimniecibas-un-budzeta-izpildes-analize) </w:t>
            </w:r>
            <w:r w:rsidR="00A40144" w:rsidRPr="00233A55">
              <w:rPr>
                <w:rFonts w:ascii="Times New Roman" w:hAnsi="Times New Roman" w:cs="Times New Roman"/>
                <w:sz w:val="20"/>
                <w:szCs w:val="20"/>
              </w:rPr>
              <w:t xml:space="preserve"> = </w:t>
            </w:r>
            <w:r w:rsidR="00B67B20" w:rsidRPr="00233A55">
              <w:rPr>
                <w:rFonts w:ascii="Times New Roman" w:hAnsi="Times New Roman" w:cs="Times New Roman"/>
                <w:sz w:val="20"/>
                <w:szCs w:val="20"/>
              </w:rPr>
              <w:t xml:space="preserve">283  </w:t>
            </w:r>
            <w:r w:rsidRPr="00233A55">
              <w:rPr>
                <w:rFonts w:ascii="Times New Roman" w:hAnsi="Times New Roman" w:cs="Times New Roman"/>
                <w:sz w:val="20"/>
                <w:szCs w:val="20"/>
              </w:rPr>
              <w:t xml:space="preserve">daudzīvokļu mājas x 40 (tiek pieņemts, ka vienā daudzīvokļu mājā ir 40 dzīvokļi) = </w:t>
            </w:r>
            <w:r w:rsidR="00B67B20" w:rsidRPr="00233A55">
              <w:rPr>
                <w:rFonts w:ascii="Times New Roman" w:hAnsi="Times New Roman" w:cs="Times New Roman"/>
                <w:sz w:val="20"/>
                <w:szCs w:val="20"/>
              </w:rPr>
              <w:t>11 320</w:t>
            </w:r>
            <w:r w:rsidR="00033B8D"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xml:space="preserve"> </w:t>
            </w:r>
            <w:r w:rsidRPr="00233A55">
              <w:rPr>
                <w:rFonts w:ascii="Times New Roman" w:hAnsi="Times New Roman" w:cs="Times New Roman"/>
                <w:sz w:val="20"/>
                <w:szCs w:val="20"/>
              </w:rPr>
              <w:t xml:space="preserve"> mājokļiem tiks sniegts atbalsts.</w:t>
            </w:r>
          </w:p>
          <w:p w14:paraId="56DE7FC7" w14:textId="4E44AC72" w:rsidR="00033B8D" w:rsidRPr="00233A55" w:rsidRDefault="00033B8D">
            <w:pPr>
              <w:pStyle w:val="ListParagraph"/>
              <w:numPr>
                <w:ilvl w:val="0"/>
                <w:numId w:val="6"/>
              </w:numPr>
              <w:rPr>
                <w:rFonts w:ascii="Times New Roman" w:eastAsiaTheme="minorEastAsia" w:hAnsi="Times New Roman" w:cs="Times New Roman"/>
                <w:sz w:val="20"/>
                <w:szCs w:val="20"/>
              </w:rPr>
            </w:pPr>
            <w:r w:rsidRPr="00233A55">
              <w:rPr>
                <w:rFonts w:ascii="Times New Roman" w:eastAsiaTheme="minorEastAsia" w:hAnsi="Times New Roman" w:cs="Times New Roman"/>
                <w:sz w:val="20"/>
                <w:szCs w:val="20"/>
              </w:rPr>
              <w:t xml:space="preserve">Papildus piezīmējam, ka kopējais renovēto daudzdzīvokļu māju apjoms m2 nosakāms sekojoši: </w:t>
            </w:r>
            <w:r w:rsidR="00B67B20" w:rsidRPr="00233A55">
              <w:rPr>
                <w:rFonts w:ascii="Times New Roman" w:hAnsi="Times New Roman" w:cs="Times New Roman"/>
                <w:sz w:val="20"/>
                <w:szCs w:val="20"/>
              </w:rPr>
              <w:t>149 142 857.14</w:t>
            </w:r>
            <w:r w:rsidRPr="00233A55">
              <w:rPr>
                <w:rFonts w:ascii="Times New Roman" w:hAnsi="Times New Roman" w:cs="Times New Roman"/>
                <w:sz w:val="20"/>
                <w:szCs w:val="20"/>
              </w:rPr>
              <w:t xml:space="preserve"> / </w:t>
            </w:r>
            <w:r w:rsidRPr="00233A55">
              <w:rPr>
                <w:rFonts w:ascii="Times New Roman" w:eastAsia="Times New Roman" w:hAnsi="Times New Roman" w:cs="Times New Roman"/>
                <w:sz w:val="20"/>
                <w:szCs w:val="20"/>
              </w:rPr>
              <w:t>199.88 EUR/m</w:t>
            </w:r>
            <w:r w:rsidRPr="00233A55">
              <w:rPr>
                <w:rFonts w:ascii="Times New Roman" w:eastAsia="Times New Roman" w:hAnsi="Times New Roman" w:cs="Times New Roman"/>
                <w:sz w:val="20"/>
                <w:szCs w:val="20"/>
                <w:vertAlign w:val="superscript"/>
              </w:rPr>
              <w:t>2</w:t>
            </w:r>
            <w:r w:rsidRPr="00233A55">
              <w:rPr>
                <w:rFonts w:ascii="Times New Roman" w:hAnsi="Times New Roman" w:cs="Times New Roman"/>
                <w:sz w:val="20"/>
                <w:szCs w:val="20"/>
              </w:rPr>
              <w:t xml:space="preserve"> = </w:t>
            </w:r>
            <w:r w:rsidR="00B67B20" w:rsidRPr="00233A55">
              <w:rPr>
                <w:rFonts w:ascii="Times New Roman" w:hAnsi="Times New Roman" w:cs="Times New Roman"/>
                <w:sz w:val="20"/>
                <w:szCs w:val="20"/>
              </w:rPr>
              <w:t>746 161</w:t>
            </w:r>
            <w:r w:rsidRPr="00233A55">
              <w:rPr>
                <w:rFonts w:ascii="Times New Roman" w:hAnsi="Times New Roman" w:cs="Times New Roman"/>
                <w:sz w:val="20"/>
                <w:szCs w:val="20"/>
              </w:rPr>
              <w:t xml:space="preserve"> </w:t>
            </w:r>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hAnsi="Times New Roman" w:cs="Times New Roman"/>
                <w:sz w:val="20"/>
                <w:szCs w:val="20"/>
              </w:rPr>
              <w:t xml:space="preserve"> (skat. zemāk </w:t>
            </w:r>
            <w:r w:rsidRPr="00233A55">
              <w:rPr>
                <w:rFonts w:ascii="Times New Roman" w:eastAsia="Times New Roman" w:hAnsi="Times New Roman" w:cs="Times New Roman"/>
                <w:sz w:val="20"/>
                <w:szCs w:val="20"/>
              </w:rPr>
              <w:t>RCO 19 vidējās izmaksas viena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atjaunošanai).</w:t>
            </w:r>
            <w:r w:rsidRPr="00233A55">
              <w:rPr>
                <w:rFonts w:ascii="Times New Roman" w:eastAsia="Times New Roman" w:hAnsi="Times New Roman" w:cs="Times New Roman"/>
                <w:sz w:val="20"/>
                <w:szCs w:val="20"/>
                <w:vertAlign w:val="superscript"/>
              </w:rPr>
              <w:t xml:space="preserve"> </w:t>
            </w:r>
          </w:p>
          <w:p w14:paraId="01CD8356" w14:textId="77777777" w:rsidR="00D043EA" w:rsidRPr="00233A55" w:rsidRDefault="00D043EA" w:rsidP="00541875">
            <w:pPr>
              <w:ind w:left="720"/>
              <w:rPr>
                <w:rFonts w:ascii="Times New Roman" w:eastAsiaTheme="minorEastAsia" w:hAnsi="Times New Roman" w:cs="Times New Roman"/>
                <w:sz w:val="20"/>
                <w:szCs w:val="20"/>
              </w:rPr>
            </w:pPr>
          </w:p>
          <w:p w14:paraId="7C431187" w14:textId="77777777" w:rsidR="0070301B" w:rsidRPr="00233A55" w:rsidRDefault="0070301B" w:rsidP="0070301B">
            <w:pPr>
              <w:pStyle w:val="ListParagraph"/>
              <w:numPr>
                <w:ilvl w:val="0"/>
                <w:numId w:val="11"/>
              </w:numPr>
              <w:ind w:left="448"/>
              <w:rPr>
                <w:rFonts w:ascii="Times New Roman" w:hAnsi="Times New Roman" w:cs="Times New Roman"/>
                <w:sz w:val="20"/>
                <w:szCs w:val="20"/>
              </w:rPr>
            </w:pPr>
            <w:r w:rsidRPr="00233A55">
              <w:rPr>
                <w:rFonts w:ascii="Times New Roman" w:hAnsi="Times New Roman" w:cs="Times New Roman"/>
                <w:sz w:val="20"/>
                <w:szCs w:val="20"/>
              </w:rPr>
              <w:t>Atbalstam privātmājām aprēķins tiek veikts sekojoši:</w:t>
            </w:r>
          </w:p>
          <w:p w14:paraId="3404555D" w14:textId="64EF44E6" w:rsidR="0070301B" w:rsidRPr="00233A55" w:rsidRDefault="0070301B" w:rsidP="0070301B">
            <w:pPr>
              <w:rPr>
                <w:rFonts w:ascii="Times New Roman" w:hAnsi="Times New Roman" w:cs="Times New Roman"/>
                <w:sz w:val="20"/>
                <w:szCs w:val="20"/>
              </w:rPr>
            </w:pPr>
            <w:r w:rsidRPr="00233A55">
              <w:rPr>
                <w:rFonts w:ascii="Times New Roman" w:hAnsi="Times New Roman" w:cs="Times New Roman"/>
                <w:sz w:val="20"/>
                <w:szCs w:val="20"/>
              </w:rPr>
              <w:t>Pieņemot kopējo finansējumu  </w:t>
            </w:r>
            <w:r w:rsidR="0078327E" w:rsidRPr="00233A55">
              <w:rPr>
                <w:rFonts w:ascii="Times New Roman" w:hAnsi="Times New Roman" w:cs="Times New Roman"/>
                <w:sz w:val="20"/>
                <w:szCs w:val="20"/>
              </w:rPr>
              <w:t>163 125 000</w:t>
            </w:r>
            <w:r w:rsidR="001D59EC" w:rsidRPr="00233A55">
              <w:rPr>
                <w:rFonts w:ascii="Times New Roman" w:hAnsi="Times New Roman" w:cs="Times New Roman"/>
                <w:sz w:val="20"/>
                <w:szCs w:val="20"/>
              </w:rPr>
              <w:t xml:space="preserve"> </w:t>
            </w:r>
            <w:r w:rsidR="00A40144" w:rsidRPr="00233A55">
              <w:rPr>
                <w:rFonts w:ascii="Times New Roman" w:hAnsi="Times New Roman" w:cs="Times New Roman"/>
                <w:sz w:val="20"/>
                <w:szCs w:val="20"/>
              </w:rPr>
              <w:t> </w:t>
            </w:r>
            <w:r w:rsidRPr="00233A55">
              <w:rPr>
                <w:rFonts w:ascii="Times New Roman" w:hAnsi="Times New Roman" w:cs="Times New Roman"/>
                <w:sz w:val="20"/>
                <w:szCs w:val="20"/>
              </w:rPr>
              <w:t>EUR, no kuriem 30% ir paredzēti privātmāju energoefektivitātes veicināšanai, savukārt 20% no tās summas tiek paredzēti programmas administrēšanai, tāpēc:</w:t>
            </w:r>
          </w:p>
          <w:p w14:paraId="254BAB3A" w14:textId="25E95CC2" w:rsidR="0070301B" w:rsidRPr="00233A55" w:rsidRDefault="004B7A33" w:rsidP="0070301B">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163 125 000</w:t>
            </w:r>
            <w:r w:rsidR="00F42505"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 xml:space="preserve">EUR x30% = </w:t>
            </w:r>
            <w:r w:rsidRPr="00233A55">
              <w:rPr>
                <w:rFonts w:ascii="Times New Roman" w:hAnsi="Times New Roman" w:cs="Times New Roman"/>
                <w:sz w:val="20"/>
                <w:szCs w:val="20"/>
              </w:rPr>
              <w:t>48 937 500</w:t>
            </w:r>
            <w:r w:rsidR="00F42505"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EUR</w:t>
            </w:r>
          </w:p>
          <w:p w14:paraId="62F48CC3" w14:textId="5F3C9E3D" w:rsidR="0070301B" w:rsidRPr="00233A55" w:rsidRDefault="004B7A33" w:rsidP="0070301B">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48 937 500</w:t>
            </w:r>
            <w:r w:rsidR="00F42505"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 xml:space="preserve">X20% = </w:t>
            </w:r>
            <w:r w:rsidRPr="00233A55">
              <w:rPr>
                <w:rFonts w:ascii="Times New Roman" w:hAnsi="Times New Roman" w:cs="Times New Roman"/>
                <w:sz w:val="20"/>
                <w:szCs w:val="20"/>
              </w:rPr>
              <w:t>9 787 500</w:t>
            </w:r>
            <w:r w:rsidR="00F42505"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EUR</w:t>
            </w:r>
          </w:p>
          <w:p w14:paraId="5AC8F39F" w14:textId="28DAE58E" w:rsidR="0070301B" w:rsidRPr="00233A55" w:rsidRDefault="0070301B" w:rsidP="0070301B">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Nepieciešams ņemt vērā, ka atbalsts plānots kombinētā finanšu instrumentu formā</w:t>
            </w:r>
            <w:r w:rsidR="00D043EA" w:rsidRPr="00233A55">
              <w:rPr>
                <w:rFonts w:ascii="Times New Roman" w:hAnsi="Times New Roman" w:cs="Times New Roman"/>
                <w:sz w:val="20"/>
                <w:szCs w:val="20"/>
              </w:rPr>
              <w:t xml:space="preserve"> - </w:t>
            </w:r>
            <w:r w:rsidRPr="00233A55">
              <w:rPr>
                <w:rFonts w:ascii="Times New Roman" w:hAnsi="Times New Roman" w:cs="Times New Roman"/>
                <w:sz w:val="20"/>
                <w:szCs w:val="20"/>
              </w:rPr>
              <w:t xml:space="preserve"> </w:t>
            </w:r>
            <w:r w:rsidR="00F42505" w:rsidRPr="00233A55">
              <w:rPr>
                <w:rFonts w:ascii="Times New Roman" w:hAnsi="Times New Roman" w:cs="Times New Roman"/>
                <w:sz w:val="20"/>
                <w:szCs w:val="20"/>
              </w:rPr>
              <w:t xml:space="preserve"> aizdevums </w:t>
            </w:r>
            <w:r w:rsidRPr="00233A55">
              <w:rPr>
                <w:rFonts w:ascii="Times New Roman" w:hAnsi="Times New Roman" w:cs="Times New Roman"/>
                <w:sz w:val="20"/>
                <w:szCs w:val="20"/>
              </w:rPr>
              <w:t xml:space="preserve">ar </w:t>
            </w:r>
            <w:r w:rsidR="00F42505" w:rsidRPr="00233A55">
              <w:rPr>
                <w:rFonts w:ascii="Times New Roman" w:hAnsi="Times New Roman" w:cs="Times New Roman"/>
                <w:sz w:val="20"/>
                <w:szCs w:val="20"/>
              </w:rPr>
              <w:t>kapitāla atlaidi (</w:t>
            </w:r>
            <w:proofErr w:type="spellStart"/>
            <w:r w:rsidRPr="00233A55">
              <w:rPr>
                <w:rFonts w:ascii="Times New Roman" w:hAnsi="Times New Roman" w:cs="Times New Roman"/>
                <w:sz w:val="20"/>
                <w:szCs w:val="20"/>
              </w:rPr>
              <w:t>granta</w:t>
            </w:r>
            <w:proofErr w:type="spellEnd"/>
            <w:r w:rsidRPr="00233A55">
              <w:rPr>
                <w:rFonts w:ascii="Times New Roman" w:hAnsi="Times New Roman" w:cs="Times New Roman"/>
                <w:sz w:val="20"/>
                <w:szCs w:val="20"/>
              </w:rPr>
              <w:t xml:space="preserve"> </w:t>
            </w:r>
            <w:r w:rsidR="00F42505" w:rsidRPr="00233A55">
              <w:rPr>
                <w:rFonts w:ascii="Times New Roman" w:hAnsi="Times New Roman" w:cs="Times New Roman"/>
                <w:sz w:val="20"/>
                <w:szCs w:val="20"/>
              </w:rPr>
              <w:t>veidā)</w:t>
            </w:r>
            <w:r w:rsidRPr="00233A55">
              <w:rPr>
                <w:rFonts w:ascii="Times New Roman" w:hAnsi="Times New Roman" w:cs="Times New Roman"/>
                <w:sz w:val="20"/>
                <w:szCs w:val="20"/>
              </w:rPr>
              <w:t xml:space="preserve">, līdz ar to  finansējuma aprēķins sekojošs: </w:t>
            </w:r>
          </w:p>
          <w:p w14:paraId="5D400943" w14:textId="201D4F9C" w:rsidR="00F42505" w:rsidRPr="00233A55" w:rsidRDefault="00917A39" w:rsidP="0070301B">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48 937 500</w:t>
            </w:r>
            <w:r w:rsidR="00F42505"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EUR –</w:t>
            </w:r>
            <w:r w:rsidRPr="00233A55">
              <w:rPr>
                <w:rFonts w:ascii="Times New Roman" w:hAnsi="Times New Roman" w:cs="Times New Roman"/>
                <w:sz w:val="20"/>
                <w:szCs w:val="20"/>
              </w:rPr>
              <w:t xml:space="preserve"> 9 787 500</w:t>
            </w:r>
            <w:r w:rsidR="00F42505"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 xml:space="preserve">EUR (administrēšanas izmaksas) = </w:t>
            </w:r>
            <w:r w:rsidRPr="00233A55">
              <w:rPr>
                <w:rFonts w:ascii="Times New Roman" w:hAnsi="Times New Roman" w:cs="Times New Roman"/>
                <w:sz w:val="20"/>
                <w:szCs w:val="20"/>
              </w:rPr>
              <w:t>39 150 000</w:t>
            </w:r>
            <w:r w:rsidR="00F42505" w:rsidRPr="00233A55">
              <w:rPr>
                <w:rFonts w:ascii="Times New Roman" w:hAnsi="Times New Roman" w:cs="Times New Roman"/>
                <w:sz w:val="20"/>
                <w:szCs w:val="20"/>
              </w:rPr>
              <w:t xml:space="preserve"> </w:t>
            </w:r>
            <w:r w:rsidR="0070301B" w:rsidRPr="00233A55">
              <w:rPr>
                <w:rFonts w:ascii="Times New Roman" w:hAnsi="Times New Roman" w:cs="Times New Roman"/>
                <w:sz w:val="20"/>
                <w:szCs w:val="20"/>
              </w:rPr>
              <w:t>EUR</w:t>
            </w:r>
          </w:p>
          <w:p w14:paraId="476452EB" w14:textId="21BD3D77" w:rsidR="00F42505" w:rsidRPr="00233A55" w:rsidRDefault="00F42505" w:rsidP="00F42505">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Ņemot vērā līdzšinējo pieredzi aptuveni 20% gadījumu aizdevumu sniedz </w:t>
            </w:r>
            <w:proofErr w:type="spellStart"/>
            <w:r w:rsidRPr="00233A55">
              <w:rPr>
                <w:rFonts w:ascii="Times New Roman" w:hAnsi="Times New Roman" w:cs="Times New Roman"/>
                <w:sz w:val="20"/>
                <w:szCs w:val="20"/>
              </w:rPr>
              <w:t>Altum</w:t>
            </w:r>
            <w:proofErr w:type="spellEnd"/>
            <w:r w:rsidRPr="00233A55">
              <w:rPr>
                <w:rFonts w:ascii="Times New Roman" w:hAnsi="Times New Roman" w:cs="Times New Roman"/>
                <w:sz w:val="20"/>
                <w:szCs w:val="20"/>
              </w:rPr>
              <w:t xml:space="preserve">: 20% no </w:t>
            </w:r>
            <w:r w:rsidR="00917A39" w:rsidRPr="00233A55">
              <w:rPr>
                <w:rFonts w:ascii="Times New Roman" w:hAnsi="Times New Roman" w:cs="Times New Roman"/>
                <w:sz w:val="20"/>
                <w:szCs w:val="20"/>
              </w:rPr>
              <w:t>39 150 000</w:t>
            </w:r>
            <w:r w:rsidRPr="00233A55">
              <w:rPr>
                <w:rFonts w:ascii="Times New Roman" w:hAnsi="Times New Roman" w:cs="Times New Roman"/>
                <w:sz w:val="20"/>
                <w:szCs w:val="20"/>
              </w:rPr>
              <w:t xml:space="preserve"> EUR =   </w:t>
            </w:r>
            <w:r w:rsidR="00917A39" w:rsidRPr="00233A55">
              <w:rPr>
                <w:rFonts w:ascii="Times New Roman" w:hAnsi="Times New Roman" w:cs="Times New Roman"/>
                <w:sz w:val="20"/>
                <w:szCs w:val="20"/>
              </w:rPr>
              <w:t>7 830 000</w:t>
            </w:r>
            <w:r w:rsidRPr="00233A55">
              <w:rPr>
                <w:rFonts w:ascii="Times New Roman" w:hAnsi="Times New Roman" w:cs="Times New Roman"/>
                <w:sz w:val="20"/>
                <w:szCs w:val="20"/>
              </w:rPr>
              <w:t xml:space="preserve"> EUR;</w:t>
            </w:r>
          </w:p>
          <w:p w14:paraId="6A371258" w14:textId="35A28C31" w:rsidR="0070301B" w:rsidRPr="00233A55" w:rsidRDefault="00F42505" w:rsidP="00F42505">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Līdz ar to </w:t>
            </w:r>
            <w:proofErr w:type="spellStart"/>
            <w:r w:rsidRPr="00233A55">
              <w:rPr>
                <w:rFonts w:ascii="Times New Roman" w:hAnsi="Times New Roman" w:cs="Times New Roman"/>
                <w:sz w:val="20"/>
                <w:szCs w:val="20"/>
              </w:rPr>
              <w:t>grantiem</w:t>
            </w:r>
            <w:proofErr w:type="spellEnd"/>
            <w:r w:rsidRPr="00233A55">
              <w:rPr>
                <w:rFonts w:ascii="Times New Roman" w:hAnsi="Times New Roman" w:cs="Times New Roman"/>
                <w:sz w:val="20"/>
                <w:szCs w:val="20"/>
              </w:rPr>
              <w:t xml:space="preserve"> paredzēti 80% no publiskā finansējuma: 80% no </w:t>
            </w:r>
            <w:r w:rsidR="00917A39" w:rsidRPr="00233A55">
              <w:rPr>
                <w:rFonts w:ascii="Times New Roman" w:hAnsi="Times New Roman" w:cs="Times New Roman"/>
                <w:sz w:val="20"/>
                <w:szCs w:val="20"/>
              </w:rPr>
              <w:t>39 150 000</w:t>
            </w:r>
            <w:r w:rsidRPr="00233A55">
              <w:rPr>
                <w:rFonts w:ascii="Times New Roman" w:hAnsi="Times New Roman" w:cs="Times New Roman"/>
                <w:sz w:val="20"/>
                <w:szCs w:val="20"/>
              </w:rPr>
              <w:t xml:space="preserve"> EUR = </w:t>
            </w:r>
            <w:r w:rsidR="00917A39" w:rsidRPr="00233A55">
              <w:rPr>
                <w:rFonts w:ascii="Times New Roman" w:hAnsi="Times New Roman" w:cs="Times New Roman"/>
                <w:sz w:val="20"/>
                <w:szCs w:val="20"/>
              </w:rPr>
              <w:t>31 320 000</w:t>
            </w:r>
            <w:r w:rsidRPr="00233A55">
              <w:rPr>
                <w:rFonts w:ascii="Times New Roman" w:hAnsi="Times New Roman" w:cs="Times New Roman"/>
                <w:sz w:val="20"/>
                <w:szCs w:val="20"/>
              </w:rPr>
              <w:t> EUR;</w:t>
            </w:r>
            <w:r w:rsidR="0070301B" w:rsidRPr="00233A55">
              <w:rPr>
                <w:rFonts w:ascii="Times New Roman" w:hAnsi="Times New Roman" w:cs="Times New Roman"/>
                <w:sz w:val="20"/>
                <w:szCs w:val="20"/>
              </w:rPr>
              <w:t xml:space="preserve"> </w:t>
            </w:r>
          </w:p>
          <w:p w14:paraId="5DC7B646" w14:textId="66B58F95" w:rsidR="0070301B" w:rsidRPr="00233A55" w:rsidRDefault="0070301B" w:rsidP="0070301B">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Pieņemot, ka </w:t>
            </w:r>
            <w:proofErr w:type="spellStart"/>
            <w:r w:rsidRPr="00233A55">
              <w:rPr>
                <w:rFonts w:ascii="Times New Roman" w:hAnsi="Times New Roman" w:cs="Times New Roman"/>
                <w:sz w:val="20"/>
                <w:szCs w:val="20"/>
              </w:rPr>
              <w:t>granta</w:t>
            </w:r>
            <w:proofErr w:type="spellEnd"/>
            <w:r w:rsidRPr="00233A55">
              <w:rPr>
                <w:rFonts w:ascii="Times New Roman" w:hAnsi="Times New Roman" w:cs="Times New Roman"/>
                <w:sz w:val="20"/>
                <w:szCs w:val="20"/>
              </w:rPr>
              <w:t xml:space="preserve"> intensitāte sastādīs </w:t>
            </w:r>
            <w:r w:rsidR="007E291C" w:rsidRPr="00233A55">
              <w:rPr>
                <w:rFonts w:ascii="Times New Roman" w:hAnsi="Times New Roman" w:cs="Times New Roman"/>
                <w:sz w:val="20"/>
                <w:szCs w:val="20"/>
              </w:rPr>
              <w:t>49</w:t>
            </w:r>
            <w:r w:rsidRPr="00233A55">
              <w:rPr>
                <w:rFonts w:ascii="Times New Roman" w:hAnsi="Times New Roman" w:cs="Times New Roman"/>
                <w:sz w:val="20"/>
                <w:szCs w:val="20"/>
              </w:rPr>
              <w:t>% no projektu attiecināmajām izmaksām,</w:t>
            </w:r>
            <w:r w:rsidR="007E291C" w:rsidRPr="00233A55">
              <w:rPr>
                <w:rFonts w:ascii="Times New Roman" w:hAnsi="Times New Roman" w:cs="Times New Roman"/>
                <w:sz w:val="20"/>
                <w:szCs w:val="20"/>
              </w:rPr>
              <w:t xml:space="preserve"> līdz ar to aizdevuma daļa sastādīs </w:t>
            </w:r>
            <w:r w:rsidR="00917A39" w:rsidRPr="00233A55">
              <w:rPr>
                <w:rFonts w:ascii="Times New Roman" w:hAnsi="Times New Roman" w:cs="Times New Roman"/>
                <w:sz w:val="20"/>
                <w:szCs w:val="20"/>
              </w:rPr>
              <w:t>31 320 000</w:t>
            </w:r>
            <w:r w:rsidR="007E291C" w:rsidRPr="00233A55">
              <w:rPr>
                <w:rFonts w:ascii="Times New Roman" w:hAnsi="Times New Roman" w:cs="Times New Roman"/>
                <w:sz w:val="20"/>
                <w:szCs w:val="20"/>
              </w:rPr>
              <w:t xml:space="preserve"> / 49 x 51 =  </w:t>
            </w:r>
            <w:r w:rsidR="00917A39" w:rsidRPr="00233A55">
              <w:rPr>
                <w:rFonts w:ascii="Times New Roman" w:hAnsi="Times New Roman" w:cs="Times New Roman"/>
                <w:sz w:val="20"/>
                <w:szCs w:val="20"/>
              </w:rPr>
              <w:t>32 598 367.34</w:t>
            </w:r>
            <w:r w:rsidR="007E291C" w:rsidRPr="00233A55">
              <w:rPr>
                <w:rFonts w:ascii="Times New Roman" w:hAnsi="Times New Roman" w:cs="Times New Roman"/>
                <w:sz w:val="20"/>
                <w:szCs w:val="20"/>
              </w:rPr>
              <w:t xml:space="preserve"> EUR. No kā </w:t>
            </w:r>
            <w:proofErr w:type="spellStart"/>
            <w:r w:rsidR="007E291C" w:rsidRPr="00233A55">
              <w:rPr>
                <w:rFonts w:ascii="Times New Roman" w:hAnsi="Times New Roman" w:cs="Times New Roman"/>
                <w:sz w:val="20"/>
                <w:szCs w:val="20"/>
              </w:rPr>
              <w:t>Altuma</w:t>
            </w:r>
            <w:proofErr w:type="spellEnd"/>
            <w:r w:rsidR="007E291C" w:rsidRPr="00233A55">
              <w:rPr>
                <w:rFonts w:ascii="Times New Roman" w:hAnsi="Times New Roman" w:cs="Times New Roman"/>
                <w:sz w:val="20"/>
                <w:szCs w:val="20"/>
              </w:rPr>
              <w:t xml:space="preserve"> aizdevumi sastādīs </w:t>
            </w:r>
            <w:r w:rsidR="00917A39" w:rsidRPr="00233A55">
              <w:rPr>
                <w:rFonts w:ascii="Times New Roman" w:hAnsi="Times New Roman" w:cs="Times New Roman"/>
                <w:sz w:val="20"/>
                <w:szCs w:val="20"/>
              </w:rPr>
              <w:t>7 830 000.00</w:t>
            </w:r>
            <w:r w:rsidR="007E291C" w:rsidRPr="00233A55">
              <w:rPr>
                <w:rFonts w:ascii="Times New Roman" w:hAnsi="Times New Roman" w:cs="Times New Roman"/>
                <w:sz w:val="20"/>
                <w:szCs w:val="20"/>
              </w:rPr>
              <w:t xml:space="preserve"> EUR, savukārt</w:t>
            </w:r>
            <w:r w:rsidRPr="00233A55">
              <w:rPr>
                <w:rFonts w:ascii="Times New Roman" w:hAnsi="Times New Roman" w:cs="Times New Roman"/>
                <w:sz w:val="20"/>
                <w:szCs w:val="20"/>
              </w:rPr>
              <w:t xml:space="preserve"> </w:t>
            </w:r>
            <w:r w:rsidR="007E291C" w:rsidRPr="00233A55">
              <w:rPr>
                <w:rFonts w:ascii="Times New Roman" w:hAnsi="Times New Roman" w:cs="Times New Roman"/>
                <w:sz w:val="20"/>
                <w:szCs w:val="20"/>
              </w:rPr>
              <w:t xml:space="preserve"> aizdevumi </w:t>
            </w:r>
            <w:r w:rsidRPr="00233A55">
              <w:rPr>
                <w:rFonts w:ascii="Times New Roman" w:hAnsi="Times New Roman" w:cs="Times New Roman"/>
                <w:sz w:val="20"/>
                <w:szCs w:val="20"/>
              </w:rPr>
              <w:t xml:space="preserve">sastādīs </w:t>
            </w:r>
            <w:r w:rsidR="00917A39" w:rsidRPr="00233A55">
              <w:rPr>
                <w:rFonts w:ascii="Times New Roman" w:hAnsi="Times New Roman" w:cs="Times New Roman"/>
                <w:sz w:val="20"/>
                <w:szCs w:val="20"/>
              </w:rPr>
              <w:t>24 768 367.34</w:t>
            </w:r>
            <w:r w:rsidR="007E291C" w:rsidRPr="00233A55">
              <w:rPr>
                <w:rFonts w:ascii="Times New Roman" w:hAnsi="Times New Roman" w:cs="Times New Roman"/>
                <w:sz w:val="20"/>
                <w:szCs w:val="20"/>
              </w:rPr>
              <w:t xml:space="preserve"> </w:t>
            </w:r>
            <w:r w:rsidRPr="00233A55">
              <w:rPr>
                <w:rFonts w:ascii="Times New Roman" w:hAnsi="Times New Roman" w:cs="Times New Roman"/>
                <w:sz w:val="20"/>
                <w:szCs w:val="20"/>
              </w:rPr>
              <w:t>EUR.</w:t>
            </w:r>
          </w:p>
          <w:p w14:paraId="284B21B9" w14:textId="0AD38D57" w:rsidR="007E291C" w:rsidRPr="00233A55" w:rsidRDefault="007E291C" w:rsidP="007E291C">
            <w:pPr>
              <w:pStyle w:val="ListParagraph"/>
              <w:numPr>
                <w:ilvl w:val="0"/>
                <w:numId w:val="6"/>
              </w:numPr>
              <w:ind w:left="1582"/>
              <w:rPr>
                <w:rFonts w:ascii="Times New Roman" w:hAnsi="Times New Roman" w:cs="Times New Roman"/>
                <w:sz w:val="20"/>
                <w:szCs w:val="20"/>
              </w:rPr>
            </w:pPr>
            <w:r w:rsidRPr="00233A55">
              <w:rPr>
                <w:rFonts w:ascii="Times New Roman" w:hAnsi="Times New Roman" w:cs="Times New Roman"/>
                <w:sz w:val="20"/>
                <w:szCs w:val="20"/>
              </w:rPr>
              <w:t xml:space="preserve">Ņemot vērā augstāk minēto, kopējais atbalstīto projektu apjoms sastādīs: </w:t>
            </w:r>
            <w:r w:rsidR="00917A39" w:rsidRPr="00233A55">
              <w:rPr>
                <w:rFonts w:ascii="Times New Roman" w:hAnsi="Times New Roman" w:cs="Times New Roman"/>
                <w:sz w:val="20"/>
                <w:szCs w:val="20"/>
              </w:rPr>
              <w:t>31 320 000.00</w:t>
            </w:r>
            <w:r w:rsidRPr="00233A55">
              <w:rPr>
                <w:rFonts w:ascii="Times New Roman" w:hAnsi="Times New Roman" w:cs="Times New Roman"/>
                <w:sz w:val="20"/>
                <w:szCs w:val="20"/>
              </w:rPr>
              <w:t xml:space="preserve"> + </w:t>
            </w:r>
            <w:r w:rsidR="00917A39" w:rsidRPr="00233A55">
              <w:rPr>
                <w:rFonts w:ascii="Times New Roman" w:hAnsi="Times New Roman" w:cs="Times New Roman"/>
                <w:sz w:val="20"/>
                <w:szCs w:val="20"/>
              </w:rPr>
              <w:t>32 598 367.34</w:t>
            </w:r>
            <w:r w:rsidRPr="00233A55">
              <w:rPr>
                <w:rFonts w:ascii="Times New Roman" w:hAnsi="Times New Roman" w:cs="Times New Roman"/>
                <w:sz w:val="20"/>
                <w:szCs w:val="20"/>
              </w:rPr>
              <w:t xml:space="preserve"> = </w:t>
            </w:r>
            <w:r w:rsidR="00917A39" w:rsidRPr="00233A55">
              <w:rPr>
                <w:rFonts w:ascii="Times New Roman" w:hAnsi="Times New Roman" w:cs="Times New Roman"/>
                <w:sz w:val="20"/>
                <w:szCs w:val="20"/>
              </w:rPr>
              <w:t>63 918 367.34</w:t>
            </w:r>
            <w:r w:rsidRPr="00233A55">
              <w:rPr>
                <w:rFonts w:ascii="Times New Roman" w:hAnsi="Times New Roman" w:cs="Times New Roman"/>
                <w:sz w:val="20"/>
                <w:szCs w:val="20"/>
              </w:rPr>
              <w:t xml:space="preserve"> EUR.</w:t>
            </w:r>
          </w:p>
          <w:p w14:paraId="046398B1" w14:textId="77777777" w:rsidR="00D043EA" w:rsidRPr="00233A55" w:rsidRDefault="00D043EA" w:rsidP="00541875">
            <w:pPr>
              <w:ind w:left="1222"/>
              <w:rPr>
                <w:rFonts w:ascii="Times New Roman" w:hAnsi="Times New Roman" w:cs="Times New Roman"/>
                <w:sz w:val="20"/>
                <w:szCs w:val="20"/>
              </w:rPr>
            </w:pPr>
          </w:p>
          <w:p w14:paraId="489EB31B" w14:textId="4E01B426" w:rsidR="0070301B" w:rsidRPr="00233A55" w:rsidRDefault="0070301B" w:rsidP="00541875">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 xml:space="preserve">Atjaunojamo mājokļu skaits nosakāms sekojoši:  </w:t>
            </w:r>
            <w:r w:rsidR="00917A39" w:rsidRPr="00233A55">
              <w:rPr>
                <w:rFonts w:ascii="Times New Roman" w:hAnsi="Times New Roman" w:cs="Times New Roman"/>
                <w:sz w:val="20"/>
                <w:szCs w:val="20"/>
              </w:rPr>
              <w:t>63 918 367.34</w:t>
            </w:r>
            <w:r w:rsidR="00076ED1" w:rsidRPr="00233A55">
              <w:rPr>
                <w:rFonts w:ascii="Times New Roman" w:hAnsi="Times New Roman" w:cs="Times New Roman"/>
                <w:sz w:val="20"/>
                <w:szCs w:val="20"/>
              </w:rPr>
              <w:t xml:space="preserve"> </w:t>
            </w:r>
            <w:r w:rsidRPr="00233A55">
              <w:rPr>
                <w:rFonts w:ascii="Times New Roman" w:hAnsi="Times New Roman" w:cs="Times New Roman"/>
                <w:sz w:val="20"/>
                <w:szCs w:val="20"/>
              </w:rPr>
              <w:t>EUR/ 30 000 EUR (vidējās izmaksas vienas privātmājas renovācijai, pieņēmums balstīts uz aprēķiniem par vidējām izmaksām nepieciešamo energoefektivitāti uzlabojo</w:t>
            </w:r>
            <w:r w:rsidR="00A40144" w:rsidRPr="00233A55">
              <w:rPr>
                <w:rFonts w:ascii="Times New Roman" w:hAnsi="Times New Roman" w:cs="Times New Roman"/>
                <w:sz w:val="20"/>
                <w:szCs w:val="20"/>
              </w:rPr>
              <w:t xml:space="preserve">šu pasākumu veikšanai) = </w:t>
            </w:r>
            <w:r w:rsidR="00917A39" w:rsidRPr="00233A55">
              <w:rPr>
                <w:rFonts w:ascii="Times New Roman" w:hAnsi="Times New Roman" w:cs="Times New Roman"/>
                <w:sz w:val="20"/>
                <w:szCs w:val="20"/>
              </w:rPr>
              <w:t>2 130</w:t>
            </w:r>
            <w:r w:rsidRPr="00233A55">
              <w:rPr>
                <w:rFonts w:ascii="Times New Roman" w:hAnsi="Times New Roman" w:cs="Times New Roman"/>
                <w:sz w:val="20"/>
                <w:szCs w:val="20"/>
              </w:rPr>
              <w:t>mājokļu energoefektivitātes uzl</w:t>
            </w:r>
            <w:r w:rsidR="00076ED1" w:rsidRPr="00233A55">
              <w:rPr>
                <w:rFonts w:ascii="Times New Roman" w:hAnsi="Times New Roman" w:cs="Times New Roman"/>
                <w:sz w:val="20"/>
                <w:szCs w:val="20"/>
              </w:rPr>
              <w:t>abošanai tiks sniegts atbalsts.</w:t>
            </w:r>
          </w:p>
          <w:p w14:paraId="593B345D" w14:textId="1BB3F028" w:rsidR="00076ED1" w:rsidRPr="00233A55" w:rsidRDefault="00076ED1" w:rsidP="0070301B">
            <w:pPr>
              <w:rPr>
                <w:rFonts w:ascii="Times New Roman" w:hAnsi="Times New Roman" w:cs="Times New Roman"/>
                <w:sz w:val="20"/>
                <w:szCs w:val="20"/>
              </w:rPr>
            </w:pPr>
          </w:p>
          <w:p w14:paraId="0F1A771D" w14:textId="7E7681D8" w:rsidR="00076ED1" w:rsidRPr="00233A55" w:rsidRDefault="00076ED1" w:rsidP="00541875">
            <w:pPr>
              <w:pStyle w:val="ListParagraph"/>
              <w:numPr>
                <w:ilvl w:val="0"/>
                <w:numId w:val="6"/>
              </w:numPr>
              <w:rPr>
                <w:rFonts w:ascii="Times New Roman" w:hAnsi="Times New Roman" w:cs="Times New Roman"/>
                <w:sz w:val="20"/>
                <w:szCs w:val="20"/>
              </w:rPr>
            </w:pPr>
            <w:r w:rsidRPr="00233A55">
              <w:rPr>
                <w:rFonts w:ascii="Times New Roman" w:hAnsi="Times New Roman" w:cs="Times New Roman"/>
                <w:sz w:val="20"/>
                <w:szCs w:val="20"/>
              </w:rPr>
              <w:t xml:space="preserve">Papildus piezīmējam, ka kopējais renovēto privātmāju apjoms m2 nosakāms sekojoši: </w:t>
            </w:r>
            <w:r w:rsidR="00917A39" w:rsidRPr="00233A55">
              <w:rPr>
                <w:rFonts w:ascii="Times New Roman" w:hAnsi="Times New Roman" w:cs="Times New Roman"/>
                <w:sz w:val="20"/>
                <w:szCs w:val="20"/>
              </w:rPr>
              <w:t>63 918 367.34</w:t>
            </w:r>
            <w:r w:rsidRPr="00233A55">
              <w:rPr>
                <w:rFonts w:ascii="Times New Roman" w:hAnsi="Times New Roman" w:cs="Times New Roman"/>
                <w:sz w:val="20"/>
                <w:szCs w:val="20"/>
              </w:rPr>
              <w:t xml:space="preserve"> / 199.88 EUR/m2 = </w:t>
            </w:r>
            <w:r w:rsidR="00917A39" w:rsidRPr="00233A55">
              <w:rPr>
                <w:rFonts w:ascii="Times New Roman" w:hAnsi="Times New Roman" w:cs="Times New Roman"/>
                <w:sz w:val="20"/>
                <w:szCs w:val="20"/>
              </w:rPr>
              <w:t>319 783</w:t>
            </w:r>
            <w:r w:rsidRPr="00233A55">
              <w:rPr>
                <w:rFonts w:ascii="Times New Roman" w:hAnsi="Times New Roman" w:cs="Times New Roman"/>
                <w:sz w:val="20"/>
                <w:szCs w:val="20"/>
              </w:rPr>
              <w:t xml:space="preserve"> m2 (skat. zemāk RCO 19 vidējās izmaksas viena m2 atjaunošanai).</w:t>
            </w:r>
          </w:p>
          <w:p w14:paraId="6110EFB8" w14:textId="77777777" w:rsidR="00076ED1" w:rsidRPr="00233A55" w:rsidRDefault="00076ED1" w:rsidP="0070301B">
            <w:pPr>
              <w:rPr>
                <w:rFonts w:ascii="Times New Roman" w:hAnsi="Times New Roman" w:cs="Times New Roman"/>
                <w:sz w:val="20"/>
                <w:szCs w:val="20"/>
              </w:rPr>
            </w:pPr>
          </w:p>
          <w:p w14:paraId="03597EC2" w14:textId="73F3FF33" w:rsidR="00FF72FC" w:rsidRPr="00233A55" w:rsidRDefault="0070301B" w:rsidP="0008202D">
            <w:pPr>
              <w:jc w:val="both"/>
              <w:rPr>
                <w:rFonts w:ascii="Times New Roman" w:hAnsi="Times New Roman" w:cs="Times New Roman"/>
                <w:iCs/>
                <w:sz w:val="20"/>
                <w:szCs w:val="20"/>
              </w:rPr>
            </w:pPr>
            <w:r w:rsidRPr="00233A55">
              <w:rPr>
                <w:rFonts w:ascii="Times New Roman" w:hAnsi="Times New Roman" w:cs="Times New Roman"/>
                <w:sz w:val="20"/>
                <w:szCs w:val="20"/>
              </w:rPr>
              <w:t>Piezīme: Svarīgi ņemt vērā, ka izvēlētā atbalsta forma ietekmēs kopējo nacionālo finansējumu, no kā</w:t>
            </w:r>
            <w:r w:rsidR="00370F6C" w:rsidRPr="00233A55">
              <w:rPr>
                <w:rFonts w:ascii="Times New Roman" w:hAnsi="Times New Roman" w:cs="Times New Roman"/>
                <w:sz w:val="20"/>
                <w:szCs w:val="20"/>
              </w:rPr>
              <w:t xml:space="preserve"> atkarīgs atjaunojamo mājokļu skaits.</w:t>
            </w:r>
            <w:r w:rsidRPr="00233A55">
              <w:rPr>
                <w:rFonts w:ascii="Times New Roman" w:hAnsi="Times New Roman" w:cs="Times New Roman"/>
                <w:sz w:val="20"/>
                <w:szCs w:val="20"/>
              </w:rPr>
              <w:t xml:space="preserve"> Atbilstoši izvēlētajai atbalsta intensitātei </w:t>
            </w:r>
            <w:r w:rsidR="0008202D" w:rsidRPr="00233A55">
              <w:rPr>
                <w:rFonts w:ascii="Times New Roman" w:hAnsi="Times New Roman" w:cs="Times New Roman"/>
                <w:sz w:val="20"/>
                <w:szCs w:val="20"/>
              </w:rPr>
              <w:t xml:space="preserve">var būt </w:t>
            </w:r>
            <w:r w:rsidRPr="00233A55">
              <w:rPr>
                <w:rFonts w:ascii="Times New Roman" w:hAnsi="Times New Roman" w:cs="Times New Roman"/>
                <w:sz w:val="20"/>
                <w:szCs w:val="20"/>
              </w:rPr>
              <w:t>nepieciešams veikt pārrēķinu.</w:t>
            </w:r>
          </w:p>
        </w:tc>
      </w:tr>
      <w:tr w:rsidR="00FF72FC" w:rsidRPr="00233A55" w14:paraId="6C4C1AD0"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right w:val="single" w:sz="4" w:space="0" w:color="auto"/>
            </w:tcBorders>
          </w:tcPr>
          <w:p w14:paraId="090FBE8A" w14:textId="77777777" w:rsidR="00FF72FC" w:rsidRPr="00233A55"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34A40BFB" w14:textId="7031C80A" w:rsidR="00FF72FC" w:rsidRPr="00233A55" w:rsidRDefault="00FF72FC" w:rsidP="00FF72FC">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Intervences loģika</w:t>
            </w:r>
          </w:p>
          <w:p w14:paraId="3C0D7B9D" w14:textId="4C82D05C" w:rsidR="00FF72FC" w:rsidRPr="00233A55" w:rsidRDefault="00C432C7" w:rsidP="0008202D">
            <w:pPr>
              <w:jc w:val="both"/>
              <w:rPr>
                <w:rFonts w:ascii="Times New Roman" w:hAnsi="Times New Roman" w:cs="Times New Roman"/>
                <w:iCs/>
                <w:sz w:val="20"/>
                <w:szCs w:val="20"/>
              </w:rPr>
            </w:pPr>
            <w:r w:rsidRPr="00233A55">
              <w:rPr>
                <w:rFonts w:ascii="Times New Roman" w:hAnsi="Times New Roman" w:cs="Times New Roman"/>
                <w:iCs/>
                <w:sz w:val="20"/>
                <w:szCs w:val="20"/>
              </w:rPr>
              <w:t>Ar plānotajiem ieguldījumiem paredzēts uzlabot dzīvojamā fonda stāvokli, vienlaikus mazinot enerģētisko nabadzību Latvijā, kā arī nodrošinot tuvošanos Nacionālā enerģētikas un klimata plānā noteikto mērķu sasniegšanai.</w:t>
            </w:r>
          </w:p>
        </w:tc>
      </w:tr>
      <w:tr w:rsidR="00FF72FC" w:rsidRPr="00233A55" w14:paraId="75AB3496" w14:textId="77777777" w:rsidTr="000C4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95" w:type="dxa"/>
            <w:gridSpan w:val="2"/>
            <w:vMerge/>
            <w:tcBorders>
              <w:left w:val="single" w:sz="4" w:space="0" w:color="auto"/>
              <w:bottom w:val="single" w:sz="4" w:space="0" w:color="auto"/>
              <w:right w:val="single" w:sz="4" w:space="0" w:color="auto"/>
            </w:tcBorders>
          </w:tcPr>
          <w:p w14:paraId="1F9A013D" w14:textId="77777777" w:rsidR="00FF72FC" w:rsidRPr="00233A55" w:rsidRDefault="00FF72FC" w:rsidP="00FF72FC">
            <w:pPr>
              <w:jc w:val="both"/>
              <w:rPr>
                <w:rFonts w:ascii="Times New Roman" w:hAnsi="Times New Roman" w:cs="Times New Roman"/>
                <w:b/>
                <w:sz w:val="20"/>
                <w:szCs w:val="20"/>
              </w:rPr>
            </w:pPr>
          </w:p>
        </w:tc>
        <w:tc>
          <w:tcPr>
            <w:tcW w:w="7508" w:type="dxa"/>
            <w:gridSpan w:val="3"/>
            <w:tcBorders>
              <w:top w:val="single" w:sz="4" w:space="0" w:color="auto"/>
              <w:left w:val="single" w:sz="4" w:space="0" w:color="auto"/>
              <w:bottom w:val="single" w:sz="4" w:space="0" w:color="auto"/>
              <w:right w:val="single" w:sz="4" w:space="0" w:color="auto"/>
            </w:tcBorders>
          </w:tcPr>
          <w:p w14:paraId="506182E6" w14:textId="77777777" w:rsidR="00FF72FC" w:rsidRPr="00233A55" w:rsidRDefault="00FF72FC" w:rsidP="00FF72FC">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Iespējamie riski</w:t>
            </w:r>
          </w:p>
          <w:p w14:paraId="722E4F75" w14:textId="7A04CD99" w:rsidR="00FF72FC" w:rsidRPr="00233A55" w:rsidRDefault="00C432C7" w:rsidP="0008202D">
            <w:pPr>
              <w:jc w:val="both"/>
              <w:rPr>
                <w:rFonts w:ascii="Times New Roman" w:hAnsi="Times New Roman" w:cs="Times New Roman"/>
                <w:iCs/>
                <w:sz w:val="20"/>
                <w:szCs w:val="20"/>
              </w:rPr>
            </w:pPr>
            <w:r w:rsidRPr="00233A55">
              <w:rPr>
                <w:rFonts w:ascii="Times New Roman" w:hAnsi="Times New Roman" w:cs="Times New Roman"/>
                <w:iCs/>
                <w:sz w:val="20"/>
                <w:szCs w:val="20"/>
              </w:rPr>
              <w:t xml:space="preserve">Pastāv būvniecības izmaksu palielināšanās risks, kas par noteikto summu ļautu atjaunot mazāku ēku skaitu. </w:t>
            </w:r>
          </w:p>
        </w:tc>
      </w:tr>
      <w:tr w:rsidR="00234A73" w:rsidRPr="00233A55" w14:paraId="183D71F9" w14:textId="77777777" w:rsidTr="006751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9"/>
        </w:trPr>
        <w:tc>
          <w:tcPr>
            <w:tcW w:w="1995" w:type="dxa"/>
            <w:gridSpan w:val="2"/>
            <w:tcBorders>
              <w:top w:val="single" w:sz="4" w:space="0" w:color="auto"/>
              <w:left w:val="single" w:sz="4" w:space="0" w:color="auto"/>
              <w:bottom w:val="single" w:sz="4" w:space="0" w:color="auto"/>
              <w:right w:val="single" w:sz="4" w:space="0" w:color="auto"/>
            </w:tcBorders>
          </w:tcPr>
          <w:p w14:paraId="19DF6F4B" w14:textId="078BF409" w:rsidR="00234A73" w:rsidRPr="00233A55" w:rsidRDefault="00234A73" w:rsidP="0008202D">
            <w:pPr>
              <w:jc w:val="both"/>
              <w:rPr>
                <w:rFonts w:ascii="Times New Roman" w:hAnsi="Times New Roman" w:cs="Times New Roman"/>
                <w:b/>
                <w:sz w:val="20"/>
                <w:szCs w:val="20"/>
              </w:rPr>
            </w:pPr>
            <w:r w:rsidRPr="00233A55">
              <w:rPr>
                <w:rFonts w:ascii="Times New Roman" w:hAnsi="Times New Roman" w:cs="Times New Roman"/>
                <w:b/>
                <w:sz w:val="20"/>
                <w:szCs w:val="20"/>
              </w:rPr>
              <w:t xml:space="preserve">Rādītāja sasniegšana </w:t>
            </w:r>
          </w:p>
        </w:tc>
        <w:tc>
          <w:tcPr>
            <w:tcW w:w="7508" w:type="dxa"/>
            <w:gridSpan w:val="3"/>
            <w:tcBorders>
              <w:top w:val="single" w:sz="4" w:space="0" w:color="auto"/>
              <w:left w:val="single" w:sz="4" w:space="0" w:color="auto"/>
              <w:bottom w:val="single" w:sz="4" w:space="0" w:color="auto"/>
              <w:right w:val="single" w:sz="4" w:space="0" w:color="auto"/>
            </w:tcBorders>
          </w:tcPr>
          <w:p w14:paraId="2BBD4CF1" w14:textId="535A4BDD" w:rsidR="00234A73" w:rsidRPr="00233A55" w:rsidRDefault="007A69B3" w:rsidP="00FF72FC">
            <w:pPr>
              <w:jc w:val="both"/>
              <w:rPr>
                <w:rFonts w:ascii="Times New Roman" w:hAnsi="Times New Roman" w:cs="Times New Roman"/>
                <w:iCs/>
                <w:color w:val="2F5496" w:themeColor="accent5" w:themeShade="BF"/>
                <w:sz w:val="20"/>
                <w:szCs w:val="20"/>
              </w:rPr>
            </w:pPr>
            <w:r w:rsidRPr="00233A55">
              <w:rPr>
                <w:rFonts w:ascii="Times New Roman" w:hAnsi="Times New Roman" w:cs="Times New Roman"/>
                <w:iCs/>
                <w:sz w:val="20"/>
                <w:szCs w:val="20"/>
              </w:rPr>
              <w:t xml:space="preserve">Maksājumu pieprasījumu informācija, kur redzams, ka līgums ar </w:t>
            </w:r>
            <w:proofErr w:type="spellStart"/>
            <w:r w:rsidRPr="00233A55">
              <w:rPr>
                <w:rFonts w:ascii="Times New Roman" w:hAnsi="Times New Roman" w:cs="Times New Roman"/>
                <w:iCs/>
                <w:sz w:val="20"/>
                <w:szCs w:val="20"/>
              </w:rPr>
              <w:t>galasaņēmēju</w:t>
            </w:r>
            <w:proofErr w:type="spellEnd"/>
            <w:r w:rsidRPr="00233A55">
              <w:rPr>
                <w:rFonts w:ascii="Times New Roman" w:hAnsi="Times New Roman" w:cs="Times New Roman"/>
                <w:iCs/>
                <w:sz w:val="20"/>
                <w:szCs w:val="20"/>
              </w:rPr>
              <w:t xml:space="preserve"> ir izpildīts - </w:t>
            </w:r>
            <w:proofErr w:type="spellStart"/>
            <w:r w:rsidRPr="00233A55">
              <w:rPr>
                <w:rFonts w:ascii="Times New Roman" w:hAnsi="Times New Roman" w:cs="Times New Roman"/>
                <w:iCs/>
                <w:sz w:val="20"/>
                <w:szCs w:val="20"/>
              </w:rPr>
              <w:t>Altum</w:t>
            </w:r>
            <w:proofErr w:type="spellEnd"/>
            <w:r w:rsidRPr="00233A55">
              <w:rPr>
                <w:rFonts w:ascii="Times New Roman" w:hAnsi="Times New Roman" w:cs="Times New Roman"/>
                <w:iCs/>
                <w:sz w:val="20"/>
                <w:szCs w:val="20"/>
              </w:rPr>
              <w:t xml:space="preserve"> ievadītā informācija pie rādītājiem.</w:t>
            </w:r>
          </w:p>
        </w:tc>
      </w:tr>
    </w:tbl>
    <w:p w14:paraId="4854AECC" w14:textId="5CF588A2" w:rsidR="00FF72FC" w:rsidRPr="00233A55" w:rsidRDefault="00FF72FC" w:rsidP="00B32D6C">
      <w:pPr>
        <w:rPr>
          <w:rFonts w:ascii="Times New Roman" w:eastAsia="Times New Roman" w:hAnsi="Times New Roman" w:cs="Times New Roman"/>
          <w:b/>
          <w:bCs/>
        </w:rPr>
      </w:pPr>
    </w:p>
    <w:p w14:paraId="2CACE54E" w14:textId="77777777" w:rsidR="000D3E57" w:rsidRPr="00233A55" w:rsidRDefault="000D3E57" w:rsidP="000D3E57">
      <w:pPr>
        <w:rPr>
          <w:rFonts w:ascii="Times New Roman" w:eastAsia="Times New Roman" w:hAnsi="Times New Roman" w:cs="Times New Roman"/>
          <w:b/>
          <w:bCs/>
        </w:rPr>
      </w:pPr>
    </w:p>
    <w:tbl>
      <w:tblPr>
        <w:tblStyle w:val="TableGrid"/>
        <w:tblW w:w="9503" w:type="dxa"/>
        <w:tblInd w:w="-709" w:type="dxa"/>
        <w:tblLook w:val="04A0" w:firstRow="1" w:lastRow="0" w:firstColumn="1" w:lastColumn="0" w:noHBand="0" w:noVBand="1"/>
      </w:tblPr>
      <w:tblGrid>
        <w:gridCol w:w="1995"/>
        <w:gridCol w:w="7508"/>
      </w:tblGrid>
      <w:tr w:rsidR="000D3E57" w:rsidRPr="00233A55" w14:paraId="523E262C" w14:textId="77777777" w:rsidTr="00C441BB">
        <w:tc>
          <w:tcPr>
            <w:tcW w:w="1995" w:type="dxa"/>
            <w:tcBorders>
              <w:top w:val="single" w:sz="4" w:space="0" w:color="auto"/>
              <w:left w:val="single" w:sz="4" w:space="0" w:color="auto"/>
              <w:bottom w:val="single" w:sz="4" w:space="0" w:color="auto"/>
              <w:right w:val="single" w:sz="4" w:space="0" w:color="auto"/>
            </w:tcBorders>
          </w:tcPr>
          <w:p w14:paraId="7FE5BB3F" w14:textId="77777777" w:rsidR="000D3E57" w:rsidRPr="00650F14" w:rsidRDefault="000D3E57" w:rsidP="00C441BB">
            <w:pPr>
              <w:jc w:val="both"/>
              <w:rPr>
                <w:rFonts w:ascii="Times New Roman" w:hAnsi="Times New Roman" w:cs="Times New Roman"/>
                <w:sz w:val="20"/>
                <w:szCs w:val="20"/>
              </w:rPr>
            </w:pPr>
            <w:r w:rsidRPr="00650F14">
              <w:rPr>
                <w:rFonts w:ascii="Times New Roman" w:hAnsi="Times New Roman" w:cs="Times New Roman"/>
                <w:b/>
                <w:sz w:val="20"/>
                <w:szCs w:val="20"/>
              </w:rPr>
              <w:t>Rādītāja Nr.</w:t>
            </w:r>
            <w:r w:rsidRPr="00650F14">
              <w:rPr>
                <w:rFonts w:ascii="Times New Roman" w:hAnsi="Times New Roman" w:cs="Times New Roman"/>
                <w:sz w:val="20"/>
                <w:szCs w:val="20"/>
              </w:rPr>
              <w:t xml:space="preserve"> (ID)</w:t>
            </w:r>
          </w:p>
        </w:tc>
        <w:tc>
          <w:tcPr>
            <w:tcW w:w="7508" w:type="dxa"/>
            <w:tcBorders>
              <w:top w:val="single" w:sz="4" w:space="0" w:color="auto"/>
              <w:left w:val="single" w:sz="4" w:space="0" w:color="auto"/>
              <w:bottom w:val="single" w:sz="4" w:space="0" w:color="auto"/>
              <w:right w:val="single" w:sz="4" w:space="0" w:color="auto"/>
            </w:tcBorders>
          </w:tcPr>
          <w:p w14:paraId="2B4D5EE4" w14:textId="6C2743CB" w:rsidR="000D3E57" w:rsidRPr="00650F14" w:rsidRDefault="000D3E57" w:rsidP="00C441BB">
            <w:pPr>
              <w:rPr>
                <w:rFonts w:ascii="Times New Roman" w:hAnsi="Times New Roman" w:cs="Times New Roman"/>
                <w:b/>
                <w:iCs/>
                <w:sz w:val="20"/>
                <w:szCs w:val="20"/>
              </w:rPr>
            </w:pPr>
            <w:r w:rsidRPr="00233A55">
              <w:rPr>
                <w:rFonts w:ascii="Times New Roman" w:hAnsi="Times New Roman" w:cs="Times New Roman"/>
                <w:b/>
                <w:iCs/>
                <w:sz w:val="20"/>
                <w:szCs w:val="20"/>
              </w:rPr>
              <w:t>i.2.1.1.a</w:t>
            </w:r>
            <w:r w:rsidRPr="00650F14">
              <w:rPr>
                <w:rFonts w:ascii="Times New Roman" w:hAnsi="Times New Roman" w:cs="Times New Roman"/>
                <w:b/>
                <w:iCs/>
                <w:sz w:val="20"/>
                <w:szCs w:val="20"/>
              </w:rPr>
              <w:t xml:space="preserve"> (EM)</w:t>
            </w:r>
          </w:p>
        </w:tc>
      </w:tr>
      <w:tr w:rsidR="000D3E57" w:rsidRPr="00233A55" w14:paraId="6BC7DCC6" w14:textId="77777777" w:rsidTr="00C441BB">
        <w:tc>
          <w:tcPr>
            <w:tcW w:w="1995" w:type="dxa"/>
            <w:tcBorders>
              <w:top w:val="single" w:sz="4" w:space="0" w:color="auto"/>
              <w:left w:val="single" w:sz="4" w:space="0" w:color="auto"/>
              <w:bottom w:val="single" w:sz="4" w:space="0" w:color="auto"/>
              <w:right w:val="single" w:sz="4" w:space="0" w:color="auto"/>
            </w:tcBorders>
          </w:tcPr>
          <w:p w14:paraId="354B3B8E" w14:textId="77777777" w:rsidR="000D3E57" w:rsidRPr="00650F14" w:rsidRDefault="000D3E57" w:rsidP="00C441BB">
            <w:pPr>
              <w:jc w:val="both"/>
              <w:rPr>
                <w:rFonts w:ascii="Times New Roman" w:hAnsi="Times New Roman" w:cs="Times New Roman"/>
                <w:b/>
                <w:sz w:val="20"/>
                <w:szCs w:val="20"/>
              </w:rPr>
            </w:pPr>
            <w:r w:rsidRPr="00650F14">
              <w:rPr>
                <w:rFonts w:ascii="Times New Roman" w:hAnsi="Times New Roman" w:cs="Times New Roman"/>
                <w:b/>
                <w:sz w:val="20"/>
                <w:szCs w:val="20"/>
              </w:rPr>
              <w:t>Rādītāja nosaukums</w:t>
            </w:r>
          </w:p>
        </w:tc>
        <w:tc>
          <w:tcPr>
            <w:tcW w:w="7508" w:type="dxa"/>
            <w:tcBorders>
              <w:top w:val="single" w:sz="4" w:space="0" w:color="auto"/>
              <w:left w:val="single" w:sz="4" w:space="0" w:color="auto"/>
              <w:bottom w:val="single" w:sz="4" w:space="0" w:color="auto"/>
              <w:right w:val="single" w:sz="4" w:space="0" w:color="auto"/>
            </w:tcBorders>
          </w:tcPr>
          <w:p w14:paraId="22387AB3" w14:textId="77777777" w:rsidR="000D3E57" w:rsidRPr="00650F14" w:rsidRDefault="000D3E57" w:rsidP="00C441BB">
            <w:pPr>
              <w:jc w:val="both"/>
              <w:rPr>
                <w:rFonts w:ascii="Times New Roman" w:hAnsi="Times New Roman" w:cs="Times New Roman"/>
                <w:iCs/>
                <w:sz w:val="20"/>
                <w:szCs w:val="20"/>
              </w:rPr>
            </w:pPr>
            <w:r w:rsidRPr="00650F14">
              <w:rPr>
                <w:rFonts w:ascii="Times New Roman" w:hAnsi="Times New Roman" w:cs="Times New Roman"/>
                <w:iCs/>
                <w:sz w:val="20"/>
                <w:szCs w:val="20"/>
              </w:rPr>
              <w:t>Mājokļi ar uzlabotu energoefektivitāti, kuros dzīvo enerģētikas nabadzības riskam pakļautas personas</w:t>
            </w:r>
          </w:p>
        </w:tc>
      </w:tr>
      <w:tr w:rsidR="000D3E57" w:rsidRPr="00233A55" w14:paraId="6163C030" w14:textId="77777777" w:rsidTr="00C441BB">
        <w:tc>
          <w:tcPr>
            <w:tcW w:w="1995" w:type="dxa"/>
            <w:tcBorders>
              <w:top w:val="single" w:sz="4" w:space="0" w:color="auto"/>
              <w:left w:val="single" w:sz="4" w:space="0" w:color="auto"/>
              <w:bottom w:val="single" w:sz="4" w:space="0" w:color="auto"/>
              <w:right w:val="single" w:sz="4" w:space="0" w:color="auto"/>
            </w:tcBorders>
          </w:tcPr>
          <w:p w14:paraId="6D6D7729" w14:textId="77777777" w:rsidR="000D3E57" w:rsidRPr="00650F14" w:rsidRDefault="000D3E57" w:rsidP="00C441BB">
            <w:pPr>
              <w:jc w:val="both"/>
              <w:rPr>
                <w:rFonts w:ascii="Times New Roman" w:hAnsi="Times New Roman" w:cs="Times New Roman"/>
                <w:b/>
                <w:sz w:val="20"/>
                <w:szCs w:val="20"/>
              </w:rPr>
            </w:pPr>
            <w:r w:rsidRPr="00650F14">
              <w:rPr>
                <w:rFonts w:ascii="Times New Roman" w:hAnsi="Times New Roman" w:cs="Times New Roman"/>
                <w:b/>
                <w:sz w:val="20"/>
                <w:szCs w:val="20"/>
              </w:rPr>
              <w:t>Rādītāja definīcija</w:t>
            </w:r>
          </w:p>
        </w:tc>
        <w:tc>
          <w:tcPr>
            <w:tcW w:w="7508" w:type="dxa"/>
            <w:tcBorders>
              <w:top w:val="single" w:sz="4" w:space="0" w:color="auto"/>
              <w:left w:val="single" w:sz="4" w:space="0" w:color="auto"/>
              <w:bottom w:val="single" w:sz="4" w:space="0" w:color="auto"/>
              <w:right w:val="single" w:sz="4" w:space="0" w:color="auto"/>
            </w:tcBorders>
          </w:tcPr>
          <w:p w14:paraId="1B815B01" w14:textId="77777777" w:rsidR="000D3E57" w:rsidRPr="00650F14" w:rsidRDefault="000D3E57" w:rsidP="00C441BB">
            <w:pPr>
              <w:jc w:val="both"/>
              <w:rPr>
                <w:rFonts w:ascii="Times New Roman" w:hAnsi="Times New Roman" w:cs="Times New Roman"/>
                <w:iCs/>
                <w:sz w:val="20"/>
                <w:szCs w:val="20"/>
              </w:rPr>
            </w:pPr>
            <w:r w:rsidRPr="00650F14">
              <w:rPr>
                <w:rFonts w:ascii="Times New Roman" w:hAnsi="Times New Roman" w:cs="Times New Roman"/>
                <w:iCs/>
                <w:sz w:val="20"/>
                <w:szCs w:val="20"/>
              </w:rPr>
              <w:t xml:space="preserve">Mājokļu skaits ar uzlabotu energoefektivitāti (kuros dzīvo enerģētikas nabadzības riskam pakļautas personas), pateicoties sniegtajam finansiālajam atbalstam. </w:t>
            </w:r>
          </w:p>
          <w:p w14:paraId="4C8CF99F" w14:textId="77777777" w:rsidR="000D3E57" w:rsidRPr="00650F14" w:rsidRDefault="000D3E57" w:rsidP="00C441BB">
            <w:pPr>
              <w:jc w:val="both"/>
              <w:rPr>
                <w:rFonts w:ascii="Times New Roman" w:hAnsi="Times New Roman" w:cs="Times New Roman"/>
                <w:iCs/>
                <w:sz w:val="20"/>
                <w:szCs w:val="20"/>
              </w:rPr>
            </w:pPr>
            <w:r w:rsidRPr="00650F14">
              <w:rPr>
                <w:rFonts w:ascii="Times New Roman" w:hAnsi="Times New Roman" w:cs="Times New Roman"/>
                <w:iCs/>
                <w:sz w:val="20"/>
                <w:szCs w:val="20"/>
              </w:rPr>
              <w:t xml:space="preserve">Uzlabota energoefektivitāte jāsaprot kā mājokļa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575134CF" w14:textId="77777777" w:rsidR="000D3E57" w:rsidRPr="00650F14" w:rsidRDefault="000D3E57" w:rsidP="00C441BB">
            <w:pPr>
              <w:jc w:val="both"/>
              <w:rPr>
                <w:rFonts w:ascii="Times New Roman" w:hAnsi="Times New Roman" w:cs="Times New Roman"/>
                <w:iCs/>
                <w:sz w:val="20"/>
                <w:szCs w:val="20"/>
              </w:rPr>
            </w:pPr>
            <w:r w:rsidRPr="00650F14">
              <w:rPr>
                <w:rFonts w:ascii="Times New Roman" w:hAnsi="Times New Roman" w:cs="Times New Roman"/>
                <w:iCs/>
                <w:sz w:val="20"/>
                <w:szCs w:val="20"/>
              </w:rPr>
              <w:t xml:space="preserve">Mājoklis ir definēts kā “istaba vai istabu komplekts pastāvīgā ēkā vai strukturāli atdalītā ēkas daļā, kas (...) ir paredzēta vienas </w:t>
            </w:r>
            <w:proofErr w:type="spellStart"/>
            <w:r w:rsidRPr="00650F14">
              <w:rPr>
                <w:rFonts w:ascii="Times New Roman" w:hAnsi="Times New Roman" w:cs="Times New Roman"/>
                <w:iCs/>
                <w:sz w:val="20"/>
                <w:szCs w:val="20"/>
              </w:rPr>
              <w:t>privātmājsaimniecības</w:t>
            </w:r>
            <w:proofErr w:type="spellEnd"/>
            <w:r w:rsidRPr="00650F14">
              <w:rPr>
                <w:rFonts w:ascii="Times New Roman" w:hAnsi="Times New Roman" w:cs="Times New Roman"/>
                <w:iCs/>
                <w:sz w:val="20"/>
                <w:szCs w:val="20"/>
              </w:rPr>
              <w:t xml:space="preserve"> apdzīvošanai visu gadu”. Rādītājs attiecas arī uz sociālajiem mājokļiem.</w:t>
            </w:r>
            <w:r w:rsidRPr="00650F14">
              <w:rPr>
                <w:rStyle w:val="FootnoteReference"/>
                <w:rFonts w:ascii="Times New Roman" w:eastAsia="Times New Roman" w:hAnsi="Times New Roman" w:cs="Times New Roman"/>
                <w:sz w:val="20"/>
                <w:szCs w:val="20"/>
              </w:rPr>
              <w:footnoteReference w:id="5"/>
            </w:r>
          </w:p>
        </w:tc>
      </w:tr>
      <w:tr w:rsidR="000D3E57" w:rsidRPr="00233A55" w14:paraId="6969F317" w14:textId="77777777" w:rsidTr="00C441BB">
        <w:tc>
          <w:tcPr>
            <w:tcW w:w="1995" w:type="dxa"/>
            <w:tcBorders>
              <w:top w:val="single" w:sz="4" w:space="0" w:color="auto"/>
              <w:left w:val="single" w:sz="4" w:space="0" w:color="auto"/>
              <w:bottom w:val="single" w:sz="4" w:space="0" w:color="auto"/>
              <w:right w:val="single" w:sz="4" w:space="0" w:color="auto"/>
            </w:tcBorders>
          </w:tcPr>
          <w:p w14:paraId="4AD0ED38" w14:textId="77777777" w:rsidR="000D3E57" w:rsidRPr="00650F14" w:rsidRDefault="000D3E57" w:rsidP="00C441BB">
            <w:pPr>
              <w:jc w:val="both"/>
              <w:rPr>
                <w:rFonts w:ascii="Times New Roman" w:hAnsi="Times New Roman" w:cs="Times New Roman"/>
                <w:sz w:val="20"/>
                <w:szCs w:val="20"/>
              </w:rPr>
            </w:pPr>
            <w:r w:rsidRPr="00650F14">
              <w:rPr>
                <w:rFonts w:ascii="Times New Roman" w:hAnsi="Times New Roman" w:cs="Times New Roman"/>
                <w:b/>
                <w:sz w:val="20"/>
                <w:szCs w:val="20"/>
              </w:rPr>
              <w:t>Rādītāja veids</w:t>
            </w:r>
            <w:r w:rsidRPr="00650F14">
              <w:rPr>
                <w:rFonts w:ascii="Times New Roman" w:hAnsi="Times New Roman" w:cs="Times New Roman"/>
                <w:sz w:val="20"/>
                <w:szCs w:val="20"/>
              </w:rPr>
              <w:t xml:space="preserve"> </w:t>
            </w:r>
          </w:p>
        </w:tc>
        <w:tc>
          <w:tcPr>
            <w:tcW w:w="7508" w:type="dxa"/>
            <w:tcBorders>
              <w:top w:val="single" w:sz="4" w:space="0" w:color="auto"/>
              <w:left w:val="single" w:sz="4" w:space="0" w:color="auto"/>
              <w:bottom w:val="single" w:sz="4" w:space="0" w:color="auto"/>
              <w:right w:val="single" w:sz="4" w:space="0" w:color="auto"/>
            </w:tcBorders>
          </w:tcPr>
          <w:p w14:paraId="4C2959E1" w14:textId="242C1A4B" w:rsidR="000D3E57" w:rsidRPr="00650F14" w:rsidRDefault="004E6644" w:rsidP="00C441BB">
            <w:pPr>
              <w:rPr>
                <w:rFonts w:ascii="Times New Roman" w:hAnsi="Times New Roman" w:cs="Times New Roman"/>
                <w:iCs/>
                <w:sz w:val="20"/>
                <w:szCs w:val="20"/>
              </w:rPr>
            </w:pPr>
            <w:r>
              <w:rPr>
                <w:rFonts w:ascii="Times New Roman" w:hAnsi="Times New Roman" w:cs="Times New Roman"/>
                <w:iCs/>
                <w:noProof/>
                <w:sz w:val="20"/>
                <w:szCs w:val="20"/>
              </w:rPr>
              <w:t>Programmas specifiskais i</w:t>
            </w:r>
            <w:r w:rsidR="000D3E57" w:rsidRPr="00650F14">
              <w:rPr>
                <w:rFonts w:ascii="Times New Roman" w:hAnsi="Times New Roman" w:cs="Times New Roman"/>
                <w:iCs/>
                <w:noProof/>
                <w:sz w:val="20"/>
                <w:szCs w:val="20"/>
              </w:rPr>
              <w:t>znākuma rādītājs</w:t>
            </w:r>
          </w:p>
        </w:tc>
      </w:tr>
      <w:tr w:rsidR="000D3E57" w:rsidRPr="00233A55" w14:paraId="4426AE5A" w14:textId="77777777" w:rsidTr="00C441BB">
        <w:tc>
          <w:tcPr>
            <w:tcW w:w="1995" w:type="dxa"/>
            <w:tcBorders>
              <w:top w:val="single" w:sz="4" w:space="0" w:color="auto"/>
              <w:left w:val="single" w:sz="4" w:space="0" w:color="auto"/>
              <w:bottom w:val="single" w:sz="4" w:space="0" w:color="auto"/>
              <w:right w:val="single" w:sz="4" w:space="0" w:color="auto"/>
            </w:tcBorders>
          </w:tcPr>
          <w:p w14:paraId="209F97D8" w14:textId="77777777" w:rsidR="000D3E57" w:rsidRPr="00650F14" w:rsidRDefault="000D3E57" w:rsidP="00C441BB">
            <w:pPr>
              <w:jc w:val="both"/>
              <w:rPr>
                <w:rFonts w:ascii="Times New Roman" w:hAnsi="Times New Roman" w:cs="Times New Roman"/>
                <w:b/>
                <w:sz w:val="20"/>
                <w:szCs w:val="20"/>
              </w:rPr>
            </w:pPr>
            <w:r w:rsidRPr="00650F14">
              <w:rPr>
                <w:rFonts w:ascii="Times New Roman" w:hAnsi="Times New Roman" w:cs="Times New Roman"/>
                <w:b/>
                <w:sz w:val="20"/>
                <w:szCs w:val="20"/>
              </w:rPr>
              <w:t>Rādītāja mērvienība</w:t>
            </w:r>
          </w:p>
        </w:tc>
        <w:tc>
          <w:tcPr>
            <w:tcW w:w="7508" w:type="dxa"/>
            <w:tcBorders>
              <w:top w:val="single" w:sz="4" w:space="0" w:color="auto"/>
              <w:left w:val="single" w:sz="4" w:space="0" w:color="auto"/>
              <w:bottom w:val="single" w:sz="4" w:space="0" w:color="auto"/>
              <w:right w:val="single" w:sz="4" w:space="0" w:color="auto"/>
            </w:tcBorders>
          </w:tcPr>
          <w:p w14:paraId="2590EED2" w14:textId="77777777" w:rsidR="000D3E57" w:rsidRPr="00650F14" w:rsidRDefault="000D3E57" w:rsidP="00C441BB">
            <w:pPr>
              <w:rPr>
                <w:rFonts w:ascii="Times New Roman" w:hAnsi="Times New Roman" w:cs="Times New Roman"/>
                <w:sz w:val="20"/>
                <w:szCs w:val="20"/>
              </w:rPr>
            </w:pPr>
            <w:r w:rsidRPr="00650F14">
              <w:rPr>
                <w:rFonts w:ascii="Times New Roman" w:hAnsi="Times New Roman" w:cs="Times New Roman"/>
                <w:sz w:val="20"/>
                <w:szCs w:val="20"/>
              </w:rPr>
              <w:t xml:space="preserve">Mājokļi, </w:t>
            </w:r>
            <w:r w:rsidRPr="00650F14">
              <w:rPr>
                <w:rFonts w:ascii="Times New Roman" w:hAnsi="Times New Roman" w:cs="Times New Roman"/>
                <w:iCs/>
                <w:sz w:val="20"/>
                <w:szCs w:val="20"/>
              </w:rPr>
              <w:t>kuros dzīvo enerģētikas nabadzības riskam pakļautas personas</w:t>
            </w:r>
          </w:p>
        </w:tc>
      </w:tr>
      <w:tr w:rsidR="000D3E57" w:rsidRPr="00233A55" w14:paraId="07F0267F" w14:textId="77777777" w:rsidTr="00C441BB">
        <w:tc>
          <w:tcPr>
            <w:tcW w:w="1995" w:type="dxa"/>
            <w:tcBorders>
              <w:top w:val="single" w:sz="4" w:space="0" w:color="auto"/>
              <w:left w:val="single" w:sz="4" w:space="0" w:color="auto"/>
              <w:bottom w:val="single" w:sz="4" w:space="0" w:color="auto"/>
              <w:right w:val="single" w:sz="4" w:space="0" w:color="auto"/>
            </w:tcBorders>
          </w:tcPr>
          <w:p w14:paraId="1AFB9827" w14:textId="77777777" w:rsidR="000D3E57" w:rsidRPr="00650F14" w:rsidRDefault="000D3E57" w:rsidP="00C441BB">
            <w:pPr>
              <w:jc w:val="both"/>
              <w:rPr>
                <w:rFonts w:ascii="Times New Roman" w:hAnsi="Times New Roman" w:cs="Times New Roman"/>
                <w:b/>
                <w:sz w:val="20"/>
                <w:szCs w:val="20"/>
              </w:rPr>
            </w:pPr>
            <w:r w:rsidRPr="00650F14">
              <w:rPr>
                <w:rFonts w:ascii="Times New Roman" w:hAnsi="Times New Roman" w:cs="Times New Roman"/>
                <w:b/>
                <w:sz w:val="20"/>
                <w:szCs w:val="20"/>
              </w:rPr>
              <w:t>Bāzes (sākotnējās) vērtības gads un bāzes vērtība</w:t>
            </w:r>
          </w:p>
        </w:tc>
        <w:tc>
          <w:tcPr>
            <w:tcW w:w="7508" w:type="dxa"/>
            <w:tcBorders>
              <w:top w:val="single" w:sz="4" w:space="0" w:color="auto"/>
              <w:left w:val="single" w:sz="4" w:space="0" w:color="auto"/>
              <w:bottom w:val="single" w:sz="4" w:space="0" w:color="auto"/>
              <w:right w:val="single" w:sz="4" w:space="0" w:color="auto"/>
            </w:tcBorders>
          </w:tcPr>
          <w:p w14:paraId="4108C165" w14:textId="77777777" w:rsidR="000D3E57" w:rsidRPr="00650F14" w:rsidRDefault="000D3E57" w:rsidP="00C441BB">
            <w:pPr>
              <w:rPr>
                <w:rFonts w:ascii="Times New Roman" w:hAnsi="Times New Roman" w:cs="Times New Roman"/>
                <w:iCs/>
                <w:sz w:val="20"/>
                <w:szCs w:val="20"/>
              </w:rPr>
            </w:pPr>
            <w:r w:rsidRPr="00650F14">
              <w:rPr>
                <w:rFonts w:ascii="Times New Roman" w:hAnsi="Times New Roman" w:cs="Times New Roman"/>
                <w:iCs/>
                <w:sz w:val="20"/>
                <w:szCs w:val="20"/>
              </w:rPr>
              <w:t>N/A</w:t>
            </w:r>
          </w:p>
        </w:tc>
      </w:tr>
      <w:tr w:rsidR="000D3E57" w:rsidRPr="00233A55" w14:paraId="377A2E56" w14:textId="77777777" w:rsidTr="00C441BB">
        <w:tc>
          <w:tcPr>
            <w:tcW w:w="1995" w:type="dxa"/>
            <w:tcBorders>
              <w:top w:val="single" w:sz="4" w:space="0" w:color="auto"/>
              <w:left w:val="single" w:sz="4" w:space="0" w:color="auto"/>
              <w:bottom w:val="single" w:sz="4" w:space="0" w:color="auto"/>
              <w:right w:val="single" w:sz="4" w:space="0" w:color="auto"/>
            </w:tcBorders>
          </w:tcPr>
          <w:p w14:paraId="230191B5" w14:textId="77777777" w:rsidR="000D3E57" w:rsidRPr="00650F14" w:rsidRDefault="000D3E57" w:rsidP="00C441BB">
            <w:pPr>
              <w:jc w:val="both"/>
              <w:rPr>
                <w:rFonts w:ascii="Times New Roman" w:hAnsi="Times New Roman" w:cs="Times New Roman"/>
                <w:sz w:val="20"/>
                <w:szCs w:val="20"/>
              </w:rPr>
            </w:pPr>
            <w:r w:rsidRPr="00650F14">
              <w:rPr>
                <w:rFonts w:ascii="Times New Roman" w:hAnsi="Times New Roman" w:cs="Times New Roman"/>
                <w:b/>
                <w:sz w:val="20"/>
                <w:szCs w:val="20"/>
              </w:rPr>
              <w:t>Starpposma vērtība</w:t>
            </w:r>
            <w:r w:rsidRPr="00650F14">
              <w:rPr>
                <w:rFonts w:ascii="Times New Roman" w:hAnsi="Times New Roman" w:cs="Times New Roman"/>
                <w:sz w:val="20"/>
                <w:szCs w:val="20"/>
              </w:rPr>
              <w:t xml:space="preserve"> uz 31.12.2024.</w:t>
            </w:r>
          </w:p>
        </w:tc>
        <w:tc>
          <w:tcPr>
            <w:tcW w:w="7508" w:type="dxa"/>
            <w:tcBorders>
              <w:top w:val="single" w:sz="4" w:space="0" w:color="auto"/>
              <w:left w:val="single" w:sz="4" w:space="0" w:color="auto"/>
              <w:bottom w:val="single" w:sz="4" w:space="0" w:color="auto"/>
              <w:right w:val="single" w:sz="4" w:space="0" w:color="auto"/>
            </w:tcBorders>
          </w:tcPr>
          <w:p w14:paraId="0E3F8FBE" w14:textId="77777777" w:rsidR="000D3E57" w:rsidRPr="00650F14" w:rsidRDefault="000D3E57" w:rsidP="00C441BB">
            <w:pPr>
              <w:rPr>
                <w:rFonts w:ascii="Times New Roman" w:hAnsi="Times New Roman" w:cs="Times New Roman"/>
                <w:sz w:val="20"/>
                <w:szCs w:val="20"/>
              </w:rPr>
            </w:pPr>
            <w:r w:rsidRPr="00650F14">
              <w:rPr>
                <w:rFonts w:ascii="Times New Roman" w:hAnsi="Times New Roman" w:cs="Times New Roman"/>
                <w:noProof/>
                <w:sz w:val="20"/>
                <w:szCs w:val="20"/>
              </w:rPr>
              <w:t xml:space="preserve">100 </w:t>
            </w:r>
          </w:p>
        </w:tc>
      </w:tr>
      <w:tr w:rsidR="000D3E57" w:rsidRPr="00233A55" w14:paraId="57B1E13F" w14:textId="77777777" w:rsidTr="00C441BB">
        <w:tc>
          <w:tcPr>
            <w:tcW w:w="1995" w:type="dxa"/>
            <w:tcBorders>
              <w:top w:val="single" w:sz="4" w:space="0" w:color="auto"/>
              <w:left w:val="single" w:sz="4" w:space="0" w:color="auto"/>
              <w:bottom w:val="single" w:sz="4" w:space="0" w:color="auto"/>
              <w:right w:val="single" w:sz="4" w:space="0" w:color="auto"/>
            </w:tcBorders>
          </w:tcPr>
          <w:p w14:paraId="65506990" w14:textId="77777777" w:rsidR="000D3E57" w:rsidRPr="00650F14" w:rsidRDefault="000D3E57" w:rsidP="00C441BB">
            <w:pPr>
              <w:jc w:val="both"/>
              <w:rPr>
                <w:rFonts w:ascii="Times New Roman" w:hAnsi="Times New Roman" w:cs="Times New Roman"/>
                <w:sz w:val="20"/>
                <w:szCs w:val="20"/>
              </w:rPr>
            </w:pPr>
            <w:r w:rsidRPr="00650F14">
              <w:rPr>
                <w:rFonts w:ascii="Times New Roman" w:hAnsi="Times New Roman" w:cs="Times New Roman"/>
                <w:b/>
                <w:sz w:val="20"/>
                <w:szCs w:val="20"/>
              </w:rPr>
              <w:t>Sasniedzamā vērtība</w:t>
            </w:r>
            <w:r w:rsidRPr="00650F14">
              <w:rPr>
                <w:rFonts w:ascii="Times New Roman" w:hAnsi="Times New Roman" w:cs="Times New Roman"/>
                <w:sz w:val="20"/>
                <w:szCs w:val="20"/>
              </w:rPr>
              <w:t xml:space="preserve"> uz 31.12.2029.</w:t>
            </w:r>
          </w:p>
        </w:tc>
        <w:tc>
          <w:tcPr>
            <w:tcW w:w="7508" w:type="dxa"/>
            <w:tcBorders>
              <w:top w:val="single" w:sz="4" w:space="0" w:color="auto"/>
              <w:left w:val="single" w:sz="4" w:space="0" w:color="auto"/>
              <w:bottom w:val="single" w:sz="4" w:space="0" w:color="auto"/>
              <w:right w:val="single" w:sz="4" w:space="0" w:color="auto"/>
            </w:tcBorders>
          </w:tcPr>
          <w:p w14:paraId="58EEAEB9" w14:textId="0356F4AF" w:rsidR="000D3E57" w:rsidRPr="00650F14" w:rsidRDefault="001307A1" w:rsidP="00C441BB">
            <w:pPr>
              <w:rPr>
                <w:rFonts w:ascii="Times New Roman" w:hAnsi="Times New Roman" w:cs="Times New Roman"/>
                <w:iCs/>
                <w:sz w:val="20"/>
                <w:szCs w:val="20"/>
              </w:rPr>
            </w:pPr>
            <w:r>
              <w:rPr>
                <w:rFonts w:ascii="Times New Roman" w:hAnsi="Times New Roman" w:cs="Times New Roman"/>
                <w:sz w:val="20"/>
                <w:szCs w:val="20"/>
              </w:rPr>
              <w:t xml:space="preserve">2017 </w:t>
            </w:r>
          </w:p>
        </w:tc>
      </w:tr>
      <w:tr w:rsidR="000D3E57" w:rsidRPr="00233A55" w14:paraId="0F578D8E" w14:textId="77777777" w:rsidTr="00C441BB">
        <w:tc>
          <w:tcPr>
            <w:tcW w:w="1995" w:type="dxa"/>
            <w:vMerge w:val="restart"/>
            <w:tcBorders>
              <w:top w:val="single" w:sz="4" w:space="0" w:color="auto"/>
              <w:left w:val="single" w:sz="4" w:space="0" w:color="auto"/>
              <w:right w:val="single" w:sz="4" w:space="0" w:color="auto"/>
            </w:tcBorders>
          </w:tcPr>
          <w:p w14:paraId="5E1B1942" w14:textId="77777777" w:rsidR="000D3E57" w:rsidRPr="00650F14" w:rsidRDefault="000D3E57" w:rsidP="00C441BB">
            <w:pPr>
              <w:jc w:val="both"/>
              <w:rPr>
                <w:rFonts w:ascii="Times New Roman" w:hAnsi="Times New Roman" w:cs="Times New Roman"/>
                <w:sz w:val="20"/>
                <w:szCs w:val="20"/>
              </w:rPr>
            </w:pPr>
            <w:r w:rsidRPr="00650F14">
              <w:rPr>
                <w:rFonts w:ascii="Times New Roman" w:hAnsi="Times New Roman" w:cs="Times New Roman"/>
                <w:b/>
                <w:sz w:val="20"/>
                <w:szCs w:val="20"/>
              </w:rPr>
              <w:t>Pieņēmumi un aprēķini</w:t>
            </w:r>
            <w:r w:rsidRPr="00650F14">
              <w:rPr>
                <w:rStyle w:val="FootnoteReference"/>
                <w:rFonts w:ascii="Times New Roman" w:eastAsia="Times New Roman" w:hAnsi="Times New Roman" w:cs="Times New Roman"/>
                <w:b/>
                <w:bCs/>
                <w:sz w:val="20"/>
                <w:szCs w:val="20"/>
              </w:rPr>
              <w:footnoteReference w:id="6"/>
            </w:r>
          </w:p>
        </w:tc>
        <w:tc>
          <w:tcPr>
            <w:tcW w:w="7508" w:type="dxa"/>
            <w:tcBorders>
              <w:top w:val="single" w:sz="4" w:space="0" w:color="auto"/>
              <w:left w:val="single" w:sz="4" w:space="0" w:color="auto"/>
              <w:bottom w:val="single" w:sz="4" w:space="0" w:color="auto"/>
              <w:right w:val="single" w:sz="4" w:space="0" w:color="auto"/>
            </w:tcBorders>
          </w:tcPr>
          <w:p w14:paraId="50A4DDFB" w14:textId="77777777" w:rsidR="000D3E57" w:rsidRPr="00650F14" w:rsidRDefault="000D3E57" w:rsidP="00C441BB">
            <w:pPr>
              <w:jc w:val="both"/>
              <w:rPr>
                <w:rFonts w:ascii="Times New Roman" w:hAnsi="Times New Roman" w:cs="Times New Roman"/>
                <w:b/>
                <w:bCs/>
                <w:sz w:val="20"/>
                <w:szCs w:val="20"/>
              </w:rPr>
            </w:pPr>
            <w:r w:rsidRPr="00650F14">
              <w:rPr>
                <w:rFonts w:ascii="Times New Roman" w:hAnsi="Times New Roman" w:cs="Times New Roman"/>
                <w:b/>
                <w:bCs/>
                <w:sz w:val="20"/>
                <w:szCs w:val="20"/>
              </w:rPr>
              <w:t>Kritēriji rādītāju izvēlei</w:t>
            </w:r>
          </w:p>
          <w:p w14:paraId="5FE4BA54" w14:textId="77777777" w:rsidR="000D3E57" w:rsidRPr="00650F14" w:rsidRDefault="000D3E57" w:rsidP="00C441BB">
            <w:pPr>
              <w:jc w:val="both"/>
              <w:rPr>
                <w:rFonts w:ascii="Times New Roman" w:hAnsi="Times New Roman" w:cs="Times New Roman"/>
                <w:sz w:val="20"/>
                <w:szCs w:val="20"/>
              </w:rPr>
            </w:pPr>
            <w:r w:rsidRPr="00650F1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4CD01AE" w14:textId="77777777" w:rsidR="000D3E57" w:rsidRPr="00650F14" w:rsidRDefault="000D3E57" w:rsidP="00C441BB">
            <w:pPr>
              <w:numPr>
                <w:ilvl w:val="0"/>
                <w:numId w:val="13"/>
              </w:numPr>
              <w:jc w:val="both"/>
              <w:rPr>
                <w:rFonts w:ascii="Times New Roman" w:hAnsi="Times New Roman" w:cs="Times New Roman"/>
                <w:sz w:val="20"/>
                <w:szCs w:val="20"/>
              </w:rPr>
            </w:pPr>
            <w:r w:rsidRPr="00650F14">
              <w:rPr>
                <w:rFonts w:ascii="Times New Roman" w:hAnsi="Times New Roman" w:cs="Times New Roman"/>
                <w:b/>
                <w:bCs/>
                <w:sz w:val="20"/>
                <w:szCs w:val="20"/>
              </w:rPr>
              <w:t>Sasaiste</w:t>
            </w:r>
            <w:r w:rsidRPr="00650F14">
              <w:rPr>
                <w:rFonts w:ascii="Times New Roman" w:hAnsi="Times New Roman" w:cs="Times New Roman"/>
                <w:sz w:val="20"/>
                <w:szCs w:val="20"/>
              </w:rPr>
              <w:t xml:space="preserve"> </w:t>
            </w:r>
            <w:r w:rsidRPr="00650F14">
              <w:rPr>
                <w:rFonts w:ascii="Times New Roman" w:hAnsi="Times New Roman" w:cs="Times New Roman"/>
                <w:b/>
                <w:bCs/>
                <w:sz w:val="20"/>
                <w:szCs w:val="20"/>
              </w:rPr>
              <w:t>ar plānotajiem ieguldījumiem</w:t>
            </w:r>
            <w:r w:rsidRPr="00650F1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C64FE5" w14:textId="77777777" w:rsidR="000D3E57" w:rsidRPr="00650F14" w:rsidRDefault="000D3E57" w:rsidP="00C441BB">
            <w:pPr>
              <w:numPr>
                <w:ilvl w:val="0"/>
                <w:numId w:val="13"/>
              </w:numPr>
              <w:jc w:val="both"/>
              <w:rPr>
                <w:rFonts w:ascii="Times New Roman" w:hAnsi="Times New Roman" w:cs="Times New Roman"/>
                <w:sz w:val="20"/>
                <w:szCs w:val="20"/>
              </w:rPr>
            </w:pPr>
            <w:r w:rsidRPr="00650F14">
              <w:rPr>
                <w:rFonts w:ascii="Times New Roman" w:hAnsi="Times New Roman" w:cs="Times New Roman"/>
                <w:b/>
                <w:bCs/>
                <w:sz w:val="20"/>
                <w:szCs w:val="20"/>
              </w:rPr>
              <w:t>Būtiskums</w:t>
            </w:r>
            <w:r w:rsidRPr="00650F14">
              <w:rPr>
                <w:rFonts w:ascii="Times New Roman" w:hAnsi="Times New Roman" w:cs="Times New Roman"/>
                <w:sz w:val="20"/>
                <w:szCs w:val="20"/>
              </w:rPr>
              <w:t xml:space="preserve"> </w:t>
            </w:r>
            <w:r w:rsidRPr="00650F14">
              <w:rPr>
                <w:rFonts w:ascii="Times New Roman" w:hAnsi="Times New Roman" w:cs="Times New Roman"/>
                <w:b/>
                <w:bCs/>
                <w:sz w:val="20"/>
                <w:szCs w:val="20"/>
              </w:rPr>
              <w:t>attiecībā uz plānotajiem ieguldījumiem</w:t>
            </w:r>
            <w:r w:rsidRPr="00650F1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DF3DC4E" w14:textId="77777777" w:rsidR="000D3E57" w:rsidRPr="00650F14" w:rsidRDefault="000D3E57" w:rsidP="00C441BB">
            <w:pPr>
              <w:numPr>
                <w:ilvl w:val="0"/>
                <w:numId w:val="13"/>
              </w:numPr>
              <w:jc w:val="both"/>
              <w:rPr>
                <w:rFonts w:ascii="Times New Roman" w:eastAsia="Times New Roman" w:hAnsi="Times New Roman" w:cs="Times New Roman"/>
                <w:sz w:val="20"/>
                <w:szCs w:val="20"/>
                <w:lang w:eastAsia="lv-LV"/>
              </w:rPr>
            </w:pPr>
            <w:r w:rsidRPr="00650F14">
              <w:rPr>
                <w:rFonts w:ascii="Times New Roman" w:hAnsi="Times New Roman" w:cs="Times New Roman"/>
                <w:b/>
                <w:bCs/>
                <w:sz w:val="20"/>
                <w:szCs w:val="20"/>
              </w:rPr>
              <w:t>Datu pieejamība</w:t>
            </w:r>
            <w:r w:rsidRPr="00650F1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D3E57" w:rsidRPr="00233A55" w14:paraId="02BAAFC5" w14:textId="77777777" w:rsidTr="00C441BB">
        <w:tc>
          <w:tcPr>
            <w:tcW w:w="1995" w:type="dxa"/>
            <w:vMerge/>
            <w:tcBorders>
              <w:left w:val="single" w:sz="4" w:space="0" w:color="auto"/>
              <w:right w:val="single" w:sz="4" w:space="0" w:color="auto"/>
            </w:tcBorders>
          </w:tcPr>
          <w:p w14:paraId="2CDE45BF" w14:textId="77777777" w:rsidR="000D3E57" w:rsidRPr="00650F14"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66267CF6" w14:textId="77777777" w:rsidR="000D3E57" w:rsidRPr="00650F14" w:rsidRDefault="000D3E57" w:rsidP="00C441BB">
            <w:pPr>
              <w:jc w:val="both"/>
              <w:rPr>
                <w:rFonts w:ascii="Times New Roman" w:hAnsi="Times New Roman" w:cs="Times New Roman"/>
                <w:b/>
                <w:bCs/>
                <w:iCs/>
                <w:sz w:val="20"/>
                <w:szCs w:val="20"/>
              </w:rPr>
            </w:pPr>
            <w:r w:rsidRPr="00650F14">
              <w:rPr>
                <w:rFonts w:ascii="Times New Roman" w:hAnsi="Times New Roman" w:cs="Times New Roman"/>
                <w:b/>
                <w:bCs/>
                <w:iCs/>
                <w:sz w:val="20"/>
                <w:szCs w:val="20"/>
              </w:rPr>
              <w:t>Informācijas avots</w:t>
            </w:r>
            <w:r w:rsidRPr="00650F14">
              <w:rPr>
                <w:rStyle w:val="FootnoteReference"/>
                <w:rFonts w:ascii="Times New Roman" w:hAnsi="Times New Roman" w:cs="Times New Roman"/>
                <w:b/>
                <w:bCs/>
                <w:iCs/>
                <w:sz w:val="20"/>
                <w:szCs w:val="20"/>
              </w:rPr>
              <w:footnoteReference w:id="7"/>
            </w:r>
          </w:p>
          <w:p w14:paraId="4B9A4A59" w14:textId="77777777" w:rsidR="000D3E57" w:rsidRDefault="000D3E57" w:rsidP="00C441BB">
            <w:pPr>
              <w:jc w:val="both"/>
              <w:rPr>
                <w:rFonts w:ascii="Times New Roman" w:hAnsi="Times New Roman" w:cs="Times New Roman"/>
                <w:sz w:val="20"/>
                <w:szCs w:val="20"/>
              </w:rPr>
            </w:pPr>
            <w:r w:rsidRPr="00650F14">
              <w:rPr>
                <w:rFonts w:ascii="Times New Roman" w:hAnsi="Times New Roman" w:cs="Times New Roman"/>
                <w:sz w:val="20"/>
                <w:szCs w:val="20"/>
              </w:rPr>
              <w:lastRenderedPageBreak/>
              <w:t>Projektu dati</w:t>
            </w:r>
            <w:r w:rsidR="004E6644">
              <w:rPr>
                <w:rFonts w:ascii="Times New Roman" w:hAnsi="Times New Roman" w:cs="Times New Roman"/>
                <w:sz w:val="20"/>
                <w:szCs w:val="20"/>
              </w:rPr>
              <w:t>.</w:t>
            </w:r>
          </w:p>
          <w:p w14:paraId="6D94DBA1" w14:textId="150E34EB" w:rsidR="004E6644" w:rsidRPr="00650F14" w:rsidRDefault="004E6644" w:rsidP="00C441BB">
            <w:pPr>
              <w:jc w:val="both"/>
              <w:rPr>
                <w:rFonts w:ascii="Times New Roman" w:hAnsi="Times New Roman" w:cs="Times New Roman"/>
                <w:iCs/>
                <w:sz w:val="20"/>
                <w:szCs w:val="20"/>
              </w:rPr>
            </w:pPr>
            <w:r w:rsidRPr="004E6644">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0D3E57" w:rsidRPr="00233A55" w14:paraId="53B071FF" w14:textId="77777777" w:rsidTr="00C441BB">
        <w:tc>
          <w:tcPr>
            <w:tcW w:w="1995" w:type="dxa"/>
            <w:vMerge/>
            <w:tcBorders>
              <w:left w:val="single" w:sz="4" w:space="0" w:color="auto"/>
              <w:right w:val="single" w:sz="4" w:space="0" w:color="auto"/>
            </w:tcBorders>
          </w:tcPr>
          <w:p w14:paraId="4EF5CAD8" w14:textId="77777777" w:rsidR="000D3E57" w:rsidRPr="00650F14"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467395BD" w14:textId="77777777" w:rsidR="000D3E57" w:rsidRPr="00650F14" w:rsidRDefault="000D3E57" w:rsidP="00C441BB">
            <w:pPr>
              <w:jc w:val="both"/>
              <w:rPr>
                <w:rFonts w:ascii="Times New Roman" w:hAnsi="Times New Roman" w:cs="Times New Roman"/>
                <w:b/>
                <w:bCs/>
                <w:iCs/>
                <w:sz w:val="20"/>
                <w:szCs w:val="20"/>
              </w:rPr>
            </w:pPr>
            <w:r w:rsidRPr="00650F14">
              <w:rPr>
                <w:rFonts w:ascii="Times New Roman" w:hAnsi="Times New Roman" w:cs="Times New Roman"/>
                <w:b/>
                <w:bCs/>
                <w:iCs/>
                <w:sz w:val="20"/>
                <w:szCs w:val="20"/>
              </w:rPr>
              <w:t xml:space="preserve">Aprēķins un pieņēmumi </w:t>
            </w:r>
          </w:p>
          <w:p w14:paraId="5B445943" w14:textId="77777777" w:rsidR="000D3E57" w:rsidRPr="00650F14" w:rsidRDefault="000D3E57" w:rsidP="00C441BB">
            <w:pPr>
              <w:jc w:val="both"/>
              <w:rPr>
                <w:rFonts w:ascii="Times New Roman" w:hAnsi="Times New Roman" w:cs="Times New Roman"/>
                <w:sz w:val="20"/>
                <w:szCs w:val="20"/>
              </w:rPr>
            </w:pPr>
          </w:p>
          <w:p w14:paraId="5F5BD735" w14:textId="273D87D8" w:rsidR="000D3E57" w:rsidRPr="00650F14" w:rsidRDefault="001307A1" w:rsidP="00C441BB">
            <w:pPr>
              <w:jc w:val="both"/>
              <w:rPr>
                <w:rFonts w:ascii="Times New Roman" w:hAnsi="Times New Roman" w:cs="Times New Roman"/>
                <w:sz w:val="20"/>
                <w:szCs w:val="20"/>
              </w:rPr>
            </w:pPr>
            <w:r w:rsidRPr="0052792E">
              <w:rPr>
                <w:rFonts w:ascii="Times New Roman" w:hAnsi="Times New Roman" w:cs="Times New Roman"/>
                <w:sz w:val="20"/>
                <w:szCs w:val="20"/>
              </w:rPr>
              <w:t>Ēku atjaunošanas ilgtermiņa stratēģijā (pieņemta 10.11.2020 MK sēdē (MK sēdes protokols Nr.70 25.§) un iesniegta EK) ir norādīts, ka 15% Latvijas iedzīvotāju cieš no ļoti sliktiem dzīves</w:t>
            </w:r>
            <w:r>
              <w:rPr>
                <w:rFonts w:ascii="Times New Roman" w:hAnsi="Times New Roman" w:cs="Times New Roman"/>
                <w:sz w:val="20"/>
                <w:szCs w:val="20"/>
              </w:rPr>
              <w:t xml:space="preserve"> apstākļiem. </w:t>
            </w:r>
            <w:r w:rsidR="000D3E57" w:rsidRPr="00650F14">
              <w:rPr>
                <w:rFonts w:ascii="Times New Roman" w:hAnsi="Times New Roman" w:cs="Times New Roman"/>
                <w:sz w:val="20"/>
                <w:szCs w:val="20"/>
              </w:rPr>
              <w:t>Līdz ar to šī rādītāja sasniedzamā vērtība tiek noteikta kā 7,5% no kopējā rādītāja RCO 18 (EM) “Mājokļi ar uzlabotu energoefektivitāti” (skat. augstāk).</w:t>
            </w:r>
          </w:p>
          <w:p w14:paraId="615BEEEF" w14:textId="244910F6" w:rsidR="000D3E57" w:rsidRPr="00650F14" w:rsidRDefault="000D3E57" w:rsidP="00C441BB">
            <w:pPr>
              <w:jc w:val="both"/>
              <w:rPr>
                <w:rFonts w:ascii="Times New Roman" w:hAnsi="Times New Roman" w:cs="Times New Roman"/>
                <w:sz w:val="20"/>
                <w:szCs w:val="20"/>
              </w:rPr>
            </w:pPr>
            <w:r w:rsidRPr="00650F14">
              <w:rPr>
                <w:rFonts w:ascii="Times New Roman" w:hAnsi="Times New Roman" w:cs="Times New Roman"/>
                <w:sz w:val="20"/>
                <w:szCs w:val="20"/>
              </w:rPr>
              <w:t xml:space="preserve">Attiecīgi šī rādītāja mērķis ir 13 450 * </w:t>
            </w:r>
            <w:r w:rsidR="001307A1">
              <w:rPr>
                <w:rFonts w:ascii="Times New Roman" w:hAnsi="Times New Roman" w:cs="Times New Roman"/>
                <w:sz w:val="20"/>
                <w:szCs w:val="20"/>
              </w:rPr>
              <w:t>15</w:t>
            </w:r>
            <w:r w:rsidRPr="00650F14">
              <w:rPr>
                <w:rFonts w:ascii="Times New Roman" w:hAnsi="Times New Roman" w:cs="Times New Roman"/>
                <w:sz w:val="20"/>
                <w:szCs w:val="20"/>
              </w:rPr>
              <w:t xml:space="preserve">% = </w:t>
            </w:r>
            <w:r w:rsidR="001307A1">
              <w:rPr>
                <w:rFonts w:ascii="Times New Roman" w:hAnsi="Times New Roman" w:cs="Times New Roman"/>
                <w:sz w:val="20"/>
                <w:szCs w:val="20"/>
              </w:rPr>
              <w:t xml:space="preserve">2071 </w:t>
            </w:r>
          </w:p>
          <w:p w14:paraId="1EEA2922" w14:textId="77777777" w:rsidR="000D3E57" w:rsidRPr="00650F14" w:rsidRDefault="000D3E57" w:rsidP="00C441BB">
            <w:pPr>
              <w:rPr>
                <w:rFonts w:ascii="Times New Roman" w:hAnsi="Times New Roman" w:cs="Times New Roman"/>
                <w:sz w:val="20"/>
                <w:szCs w:val="20"/>
              </w:rPr>
            </w:pPr>
            <w:r w:rsidRPr="00650F14">
              <w:rPr>
                <w:rFonts w:ascii="Times New Roman" w:hAnsi="Times New Roman" w:cs="Times New Roman"/>
                <w:sz w:val="20"/>
                <w:szCs w:val="20"/>
              </w:rPr>
              <w:t xml:space="preserve"> </w:t>
            </w:r>
          </w:p>
          <w:p w14:paraId="1838BCD2" w14:textId="77777777" w:rsidR="000D3E57" w:rsidRPr="00650F14" w:rsidRDefault="000D3E57" w:rsidP="00C441BB">
            <w:pPr>
              <w:jc w:val="both"/>
              <w:rPr>
                <w:rFonts w:ascii="Times New Roman" w:hAnsi="Times New Roman" w:cs="Times New Roman"/>
                <w:iCs/>
                <w:sz w:val="20"/>
                <w:szCs w:val="20"/>
              </w:rPr>
            </w:pPr>
            <w:r w:rsidRPr="00650F14">
              <w:rPr>
                <w:rFonts w:ascii="Times New Roman" w:hAnsi="Times New Roman" w:cs="Times New Roman"/>
                <w:sz w:val="20"/>
                <w:szCs w:val="20"/>
              </w:rPr>
              <w:t>Piezīme: Svarīgi ņemt vērā, ka izvēlētā atbalsta forma ietekmēs kopējo nacionālo finansējumu, no kā atkarīgs atjaunojamo mājokļu skaits. Atbilstoši izvēlētajai atbalsta intensitātei var būt nepieciešams veikt pārrēķinu.</w:t>
            </w:r>
          </w:p>
        </w:tc>
      </w:tr>
      <w:tr w:rsidR="000D3E57" w:rsidRPr="00233A55" w14:paraId="2FB52A4D" w14:textId="77777777" w:rsidTr="00C441BB">
        <w:tc>
          <w:tcPr>
            <w:tcW w:w="1995" w:type="dxa"/>
            <w:vMerge/>
            <w:tcBorders>
              <w:left w:val="single" w:sz="4" w:space="0" w:color="auto"/>
              <w:right w:val="single" w:sz="4" w:space="0" w:color="auto"/>
            </w:tcBorders>
          </w:tcPr>
          <w:p w14:paraId="331215D6" w14:textId="77777777" w:rsidR="000D3E57" w:rsidRPr="00650F14"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57DC702F" w14:textId="77777777" w:rsidR="000D3E57" w:rsidRPr="00650F14" w:rsidRDefault="000D3E57" w:rsidP="00C441BB">
            <w:pPr>
              <w:jc w:val="both"/>
              <w:rPr>
                <w:rFonts w:ascii="Times New Roman" w:hAnsi="Times New Roman" w:cs="Times New Roman"/>
                <w:b/>
                <w:bCs/>
                <w:iCs/>
                <w:sz w:val="20"/>
                <w:szCs w:val="20"/>
              </w:rPr>
            </w:pPr>
            <w:r w:rsidRPr="00650F14">
              <w:rPr>
                <w:rFonts w:ascii="Times New Roman" w:hAnsi="Times New Roman" w:cs="Times New Roman"/>
                <w:b/>
                <w:bCs/>
                <w:iCs/>
                <w:sz w:val="20"/>
                <w:szCs w:val="20"/>
              </w:rPr>
              <w:t>Intervences loģika</w:t>
            </w:r>
          </w:p>
          <w:p w14:paraId="3EC892D1" w14:textId="77777777" w:rsidR="000D3E57" w:rsidRPr="00650F14" w:rsidRDefault="000D3E57" w:rsidP="00C441BB">
            <w:pPr>
              <w:jc w:val="both"/>
              <w:rPr>
                <w:rFonts w:ascii="Times New Roman" w:hAnsi="Times New Roman" w:cs="Times New Roman"/>
                <w:iCs/>
                <w:sz w:val="20"/>
                <w:szCs w:val="20"/>
              </w:rPr>
            </w:pPr>
            <w:r w:rsidRPr="00650F14">
              <w:rPr>
                <w:rFonts w:ascii="Times New Roman" w:hAnsi="Times New Roman" w:cs="Times New Roman"/>
                <w:iCs/>
                <w:sz w:val="20"/>
                <w:szCs w:val="20"/>
              </w:rPr>
              <w:t>Ar plānotajiem ieguldījumiem paredzēts uzlabot dzīvojamā fonda stāvokli, vienlaikus mazinot enerģētisko nabadzību Latvijā, kā arī nodrošinot tuvošanos Nacionālā enerģētikas un klimata plānā noteikto mērķu sasniegšanai.</w:t>
            </w:r>
          </w:p>
        </w:tc>
      </w:tr>
      <w:tr w:rsidR="000D3E57" w:rsidRPr="00233A55" w14:paraId="00465843" w14:textId="77777777" w:rsidTr="00C441BB">
        <w:tc>
          <w:tcPr>
            <w:tcW w:w="1995" w:type="dxa"/>
            <w:vMerge/>
            <w:tcBorders>
              <w:left w:val="single" w:sz="4" w:space="0" w:color="auto"/>
              <w:bottom w:val="single" w:sz="4" w:space="0" w:color="auto"/>
              <w:right w:val="single" w:sz="4" w:space="0" w:color="auto"/>
            </w:tcBorders>
          </w:tcPr>
          <w:p w14:paraId="5424A5A9" w14:textId="77777777" w:rsidR="000D3E57" w:rsidRPr="00650F14" w:rsidRDefault="000D3E57" w:rsidP="00C441BB">
            <w:pPr>
              <w:jc w:val="both"/>
              <w:rPr>
                <w:rFonts w:ascii="Times New Roman" w:hAnsi="Times New Roman" w:cs="Times New Roman"/>
                <w:b/>
                <w:sz w:val="20"/>
                <w:szCs w:val="20"/>
              </w:rPr>
            </w:pPr>
          </w:p>
        </w:tc>
        <w:tc>
          <w:tcPr>
            <w:tcW w:w="7508" w:type="dxa"/>
            <w:tcBorders>
              <w:top w:val="single" w:sz="4" w:space="0" w:color="auto"/>
              <w:left w:val="single" w:sz="4" w:space="0" w:color="auto"/>
              <w:bottom w:val="single" w:sz="4" w:space="0" w:color="auto"/>
              <w:right w:val="single" w:sz="4" w:space="0" w:color="auto"/>
            </w:tcBorders>
          </w:tcPr>
          <w:p w14:paraId="1CF42E7F" w14:textId="77777777" w:rsidR="000D3E57" w:rsidRPr="00650F14" w:rsidRDefault="000D3E57" w:rsidP="00C441BB">
            <w:pPr>
              <w:jc w:val="both"/>
              <w:rPr>
                <w:rFonts w:ascii="Times New Roman" w:hAnsi="Times New Roman" w:cs="Times New Roman"/>
                <w:b/>
                <w:bCs/>
                <w:iCs/>
                <w:sz w:val="20"/>
                <w:szCs w:val="20"/>
              </w:rPr>
            </w:pPr>
            <w:r w:rsidRPr="00650F14">
              <w:rPr>
                <w:rFonts w:ascii="Times New Roman" w:hAnsi="Times New Roman" w:cs="Times New Roman"/>
                <w:b/>
                <w:bCs/>
                <w:iCs/>
                <w:sz w:val="20"/>
                <w:szCs w:val="20"/>
              </w:rPr>
              <w:t>Iespējamie riski</w:t>
            </w:r>
          </w:p>
          <w:p w14:paraId="5EA87967" w14:textId="77777777" w:rsidR="000D3E57" w:rsidRPr="00650F14" w:rsidRDefault="000D3E57" w:rsidP="00C441BB">
            <w:pPr>
              <w:jc w:val="both"/>
              <w:rPr>
                <w:rFonts w:ascii="Times New Roman" w:hAnsi="Times New Roman" w:cs="Times New Roman"/>
                <w:iCs/>
                <w:sz w:val="20"/>
                <w:szCs w:val="20"/>
              </w:rPr>
            </w:pPr>
            <w:r w:rsidRPr="00650F14">
              <w:rPr>
                <w:rFonts w:ascii="Times New Roman" w:hAnsi="Times New Roman" w:cs="Times New Roman"/>
                <w:iCs/>
                <w:sz w:val="20"/>
                <w:szCs w:val="20"/>
              </w:rPr>
              <w:t xml:space="preserve">Pastāv būvniecības izmaksu palielināšanās risks, kas par noteikto summu ļautu atjaunot mazāku ēku skaitu. </w:t>
            </w:r>
          </w:p>
        </w:tc>
      </w:tr>
      <w:tr w:rsidR="000D3E57" w:rsidRPr="00233A55" w14:paraId="1906C7A3" w14:textId="77777777" w:rsidTr="00C441BB">
        <w:trPr>
          <w:trHeight w:val="459"/>
        </w:trPr>
        <w:tc>
          <w:tcPr>
            <w:tcW w:w="1995" w:type="dxa"/>
            <w:tcBorders>
              <w:top w:val="single" w:sz="4" w:space="0" w:color="auto"/>
              <w:left w:val="single" w:sz="4" w:space="0" w:color="auto"/>
              <w:bottom w:val="single" w:sz="4" w:space="0" w:color="auto"/>
              <w:right w:val="single" w:sz="4" w:space="0" w:color="auto"/>
            </w:tcBorders>
          </w:tcPr>
          <w:p w14:paraId="25B4AEC6" w14:textId="77777777" w:rsidR="000D3E57" w:rsidRPr="00650F14" w:rsidRDefault="000D3E57" w:rsidP="00C441BB">
            <w:pPr>
              <w:jc w:val="both"/>
              <w:rPr>
                <w:rFonts w:ascii="Times New Roman" w:hAnsi="Times New Roman" w:cs="Times New Roman"/>
                <w:b/>
                <w:sz w:val="20"/>
                <w:szCs w:val="20"/>
              </w:rPr>
            </w:pPr>
            <w:r w:rsidRPr="00650F14">
              <w:rPr>
                <w:rFonts w:ascii="Times New Roman" w:hAnsi="Times New Roman" w:cs="Times New Roman"/>
                <w:b/>
                <w:sz w:val="20"/>
                <w:szCs w:val="20"/>
              </w:rPr>
              <w:t xml:space="preserve">Rādītāja sasniegšana </w:t>
            </w:r>
          </w:p>
        </w:tc>
        <w:tc>
          <w:tcPr>
            <w:tcW w:w="7508" w:type="dxa"/>
            <w:tcBorders>
              <w:top w:val="single" w:sz="4" w:space="0" w:color="auto"/>
              <w:left w:val="single" w:sz="4" w:space="0" w:color="auto"/>
              <w:bottom w:val="single" w:sz="4" w:space="0" w:color="auto"/>
              <w:right w:val="single" w:sz="4" w:space="0" w:color="auto"/>
            </w:tcBorders>
          </w:tcPr>
          <w:p w14:paraId="1FA1B0C2" w14:textId="77777777" w:rsidR="000D3E57" w:rsidRPr="00233A55" w:rsidRDefault="000D3E57" w:rsidP="00C441BB">
            <w:pPr>
              <w:jc w:val="both"/>
              <w:rPr>
                <w:rFonts w:ascii="Times New Roman" w:hAnsi="Times New Roman" w:cs="Times New Roman"/>
                <w:iCs/>
                <w:color w:val="2F5496" w:themeColor="accent5" w:themeShade="BF"/>
                <w:sz w:val="20"/>
                <w:szCs w:val="20"/>
              </w:rPr>
            </w:pPr>
            <w:r w:rsidRPr="00650F14">
              <w:rPr>
                <w:rFonts w:ascii="Times New Roman" w:hAnsi="Times New Roman" w:cs="Times New Roman"/>
                <w:iCs/>
                <w:sz w:val="20"/>
                <w:szCs w:val="20"/>
              </w:rPr>
              <w:t xml:space="preserve">Maksājumu pieprasījumu informācija, kur redzams, ka līgums ar </w:t>
            </w:r>
            <w:proofErr w:type="spellStart"/>
            <w:r w:rsidRPr="00650F14">
              <w:rPr>
                <w:rFonts w:ascii="Times New Roman" w:hAnsi="Times New Roman" w:cs="Times New Roman"/>
                <w:iCs/>
                <w:sz w:val="20"/>
                <w:szCs w:val="20"/>
              </w:rPr>
              <w:t>galasaņēmēju</w:t>
            </w:r>
            <w:proofErr w:type="spellEnd"/>
            <w:r w:rsidRPr="00650F14">
              <w:rPr>
                <w:rFonts w:ascii="Times New Roman" w:hAnsi="Times New Roman" w:cs="Times New Roman"/>
                <w:iCs/>
                <w:sz w:val="20"/>
                <w:szCs w:val="20"/>
              </w:rPr>
              <w:t xml:space="preserve"> ir izpildīts - </w:t>
            </w:r>
            <w:proofErr w:type="spellStart"/>
            <w:r w:rsidRPr="00650F14">
              <w:rPr>
                <w:rFonts w:ascii="Times New Roman" w:hAnsi="Times New Roman" w:cs="Times New Roman"/>
                <w:iCs/>
                <w:sz w:val="20"/>
                <w:szCs w:val="20"/>
              </w:rPr>
              <w:t>Altum</w:t>
            </w:r>
            <w:proofErr w:type="spellEnd"/>
            <w:r w:rsidRPr="00650F14">
              <w:rPr>
                <w:rFonts w:ascii="Times New Roman" w:hAnsi="Times New Roman" w:cs="Times New Roman"/>
                <w:iCs/>
                <w:sz w:val="20"/>
                <w:szCs w:val="20"/>
              </w:rPr>
              <w:t xml:space="preserve"> ievadītā informācija pie rādītājiem.</w:t>
            </w:r>
          </w:p>
        </w:tc>
      </w:tr>
    </w:tbl>
    <w:p w14:paraId="5287973A" w14:textId="14B2630E" w:rsidR="00675196" w:rsidRDefault="00675196" w:rsidP="00B32D6C">
      <w:pPr>
        <w:rPr>
          <w:rFonts w:ascii="Times New Roman" w:eastAsia="Times New Roman" w:hAnsi="Times New Roman" w:cs="Times New Roman"/>
          <w:b/>
          <w:bCs/>
        </w:rPr>
      </w:pPr>
    </w:p>
    <w:p w14:paraId="1A8ECE5B" w14:textId="77777777" w:rsidR="00DB0AF0" w:rsidRPr="00233A55" w:rsidRDefault="00DB0AF0" w:rsidP="00B32D6C">
      <w:pPr>
        <w:rPr>
          <w:rFonts w:ascii="Times New Roman" w:eastAsia="Times New Roman" w:hAnsi="Times New Roman" w:cs="Times New Roman"/>
          <w:b/>
          <w:bCs/>
        </w:rPr>
      </w:pPr>
    </w:p>
    <w:tbl>
      <w:tblPr>
        <w:tblStyle w:val="TableGrid2"/>
        <w:tblW w:w="9498" w:type="dxa"/>
        <w:tblInd w:w="-714" w:type="dxa"/>
        <w:tblLook w:val="04A0" w:firstRow="1" w:lastRow="0" w:firstColumn="1" w:lastColumn="0" w:noHBand="0" w:noVBand="1"/>
      </w:tblPr>
      <w:tblGrid>
        <w:gridCol w:w="1985"/>
        <w:gridCol w:w="7513"/>
      </w:tblGrid>
      <w:tr w:rsidR="00236F16" w:rsidRPr="00233A55" w14:paraId="39240744" w14:textId="77777777" w:rsidTr="0CF16EB4">
        <w:tc>
          <w:tcPr>
            <w:tcW w:w="1985" w:type="dxa"/>
          </w:tcPr>
          <w:p w14:paraId="5A53D211" w14:textId="77777777" w:rsidR="00236F16" w:rsidRPr="00233A55" w:rsidRDefault="00236F1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Rādītāja Nr.</w:t>
            </w:r>
            <w:r w:rsidRPr="00233A55">
              <w:rPr>
                <w:rFonts w:ascii="Times New Roman" w:eastAsia="Times New Roman" w:hAnsi="Times New Roman" w:cs="Times New Roman"/>
                <w:sz w:val="20"/>
                <w:szCs w:val="20"/>
              </w:rPr>
              <w:t xml:space="preserve"> (ID)</w:t>
            </w:r>
          </w:p>
        </w:tc>
        <w:tc>
          <w:tcPr>
            <w:tcW w:w="7513" w:type="dxa"/>
          </w:tcPr>
          <w:p w14:paraId="5CAECE0F" w14:textId="5E7D1D0E" w:rsidR="00236F16" w:rsidRPr="00233A55" w:rsidRDefault="00236F16" w:rsidP="00675196">
            <w:pPr>
              <w:rPr>
                <w:rFonts w:ascii="Times New Roman" w:eastAsia="Times New Roman" w:hAnsi="Times New Roman" w:cs="Times New Roman"/>
                <w:b/>
                <w:sz w:val="20"/>
                <w:szCs w:val="20"/>
              </w:rPr>
            </w:pPr>
            <w:r w:rsidRPr="00233A55">
              <w:rPr>
                <w:rFonts w:ascii="Times New Roman" w:eastAsia="Times New Roman" w:hAnsi="Times New Roman" w:cs="Times New Roman"/>
                <w:b/>
                <w:sz w:val="20"/>
                <w:szCs w:val="20"/>
              </w:rPr>
              <w:t>RCO 19</w:t>
            </w:r>
            <w:r w:rsidR="008C482D" w:rsidRPr="00233A55">
              <w:rPr>
                <w:rFonts w:ascii="Times New Roman" w:eastAsia="Times New Roman" w:hAnsi="Times New Roman" w:cs="Times New Roman"/>
                <w:b/>
                <w:sz w:val="20"/>
                <w:szCs w:val="20"/>
              </w:rPr>
              <w:t xml:space="preserve"> (VARAM</w:t>
            </w:r>
            <w:r w:rsidR="00FB358F" w:rsidRPr="00233A55">
              <w:rPr>
                <w:rFonts w:ascii="Times New Roman" w:eastAsia="Times New Roman" w:hAnsi="Times New Roman" w:cs="Times New Roman"/>
                <w:b/>
                <w:sz w:val="20"/>
                <w:szCs w:val="20"/>
              </w:rPr>
              <w:t>, EM</w:t>
            </w:r>
            <w:r w:rsidR="00AA0846" w:rsidRPr="00233A55">
              <w:rPr>
                <w:rFonts w:ascii="Times New Roman" w:eastAsia="Times New Roman" w:hAnsi="Times New Roman" w:cs="Times New Roman"/>
                <w:b/>
                <w:sz w:val="20"/>
                <w:szCs w:val="20"/>
              </w:rPr>
              <w:t>, IZM</w:t>
            </w:r>
            <w:r w:rsidR="008C482D" w:rsidRPr="00233A55">
              <w:rPr>
                <w:rFonts w:ascii="Times New Roman" w:eastAsia="Times New Roman" w:hAnsi="Times New Roman" w:cs="Times New Roman"/>
                <w:b/>
                <w:sz w:val="20"/>
                <w:szCs w:val="20"/>
              </w:rPr>
              <w:t>)</w:t>
            </w:r>
          </w:p>
        </w:tc>
      </w:tr>
      <w:tr w:rsidR="00236F16" w:rsidRPr="00233A55" w14:paraId="033EA632" w14:textId="77777777" w:rsidTr="0CF16EB4">
        <w:tc>
          <w:tcPr>
            <w:tcW w:w="1985" w:type="dxa"/>
          </w:tcPr>
          <w:p w14:paraId="0CEF6CFE" w14:textId="4588195F" w:rsidR="00236F16" w:rsidRPr="00233A55" w:rsidRDefault="00236F16" w:rsidP="00675196">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Rādītāja nosaukums</w:t>
            </w:r>
          </w:p>
        </w:tc>
        <w:tc>
          <w:tcPr>
            <w:tcW w:w="7513" w:type="dxa"/>
          </w:tcPr>
          <w:p w14:paraId="5834F8EE" w14:textId="77777777" w:rsidR="00236F16" w:rsidRPr="00233A55" w:rsidRDefault="00236F16"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Publiskās ēkas ar uzlabotu energoefektivitāti</w:t>
            </w:r>
          </w:p>
        </w:tc>
      </w:tr>
      <w:tr w:rsidR="00750FD2" w:rsidRPr="00233A55" w14:paraId="7C2C08DF" w14:textId="77777777" w:rsidTr="0CF16EB4">
        <w:tc>
          <w:tcPr>
            <w:tcW w:w="1985" w:type="dxa"/>
          </w:tcPr>
          <w:p w14:paraId="6A45E57A" w14:textId="397C9DC2" w:rsidR="00750FD2" w:rsidRPr="00233A55" w:rsidRDefault="00750FD2" w:rsidP="00675196">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Rādītāja definīcija</w:t>
            </w:r>
          </w:p>
        </w:tc>
        <w:tc>
          <w:tcPr>
            <w:tcW w:w="7513" w:type="dxa"/>
          </w:tcPr>
          <w:p w14:paraId="32B38545" w14:textId="77777777" w:rsidR="00750FD2" w:rsidRPr="00233A55" w:rsidRDefault="00750FD2" w:rsidP="00750FD2">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Tādu sabiedrisko ēku neto platība, kuru energoefektivitāte ir uzlabota atbalstīto projektu ietvaros. </w:t>
            </w:r>
          </w:p>
          <w:p w14:paraId="73522FCA" w14:textId="305ED29E" w:rsidR="00750FD2" w:rsidRPr="00233A55" w:rsidRDefault="00750FD2" w:rsidP="00750FD2">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Uzlabota energoefektivitāte jāsaprot kā </w:t>
            </w:r>
            <w:r w:rsidR="0083026C" w:rsidRPr="00233A55">
              <w:rPr>
                <w:rFonts w:ascii="Times New Roman" w:eastAsia="Times New Roman" w:hAnsi="Times New Roman" w:cs="Times New Roman"/>
                <w:sz w:val="20"/>
                <w:szCs w:val="20"/>
              </w:rPr>
              <w:t>sabiedrisko ēku</w:t>
            </w:r>
            <w:r w:rsidRPr="00233A55">
              <w:rPr>
                <w:rFonts w:ascii="Times New Roman" w:eastAsia="Times New Roman" w:hAnsi="Times New Roman" w:cs="Times New Roman"/>
                <w:sz w:val="20"/>
                <w:szCs w:val="20"/>
              </w:rPr>
              <w:t xml:space="preserve"> energoefektivitātes klasifikācijas uzlabošanās vismaz vienā enerģijas klasē, un tā jādokumentē, pamatojoties uz energoefektivitātes sertifikātiem (EPC). Aplūkotā enerģijas klasifikācija atbilst definīcijai valsts energoefektivitātes sertifikātā saskaņā ar Direktīvu 2010/31 /ES. </w:t>
            </w:r>
          </w:p>
          <w:p w14:paraId="1D3E8F7F" w14:textId="637DA284" w:rsidR="0083026C" w:rsidRPr="00233A55" w:rsidRDefault="00750FD2" w:rsidP="0083026C">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Sabiedriskās ēkas ir definētas kā ēkas, kas pieder valsts iestādēm, un ēkas, kas pieder bezpeļņas organizācijai, ar nosacījumu</w:t>
            </w:r>
            <w:r w:rsidR="0083026C" w:rsidRPr="00233A55">
              <w:rPr>
                <w:rFonts w:ascii="Times New Roman" w:eastAsia="Times New Roman" w:hAnsi="Times New Roman" w:cs="Times New Roman"/>
                <w:sz w:val="20"/>
                <w:szCs w:val="20"/>
              </w:rPr>
              <w:t>.</w:t>
            </w:r>
          </w:p>
          <w:p w14:paraId="126F27AE" w14:textId="15A3E729" w:rsidR="0083026C" w:rsidRPr="00233A55" w:rsidRDefault="0083026C" w:rsidP="0083026C">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Bezpeļņas organizācija ir juridiska persona, kas tiek organizēta un darbojas kolektīvā, sabiedriskā vai sociālā labā, atšķirībā no organizācijas, kas darbojas kā uzņēmums, kuras mērķis ir gūt peļņu tās īpašniekiem.</w:t>
            </w:r>
          </w:p>
          <w:p w14:paraId="58E416C4" w14:textId="77777777" w:rsidR="0083026C" w:rsidRPr="00233A55" w:rsidRDefault="00750FD2" w:rsidP="0083026C">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Piemēri ietver ēku celtniecību valsts pārvaldei, skolām, slimnīcām utt. </w:t>
            </w:r>
          </w:p>
          <w:p w14:paraId="29908B9A" w14:textId="77777777" w:rsidR="0083026C" w:rsidRPr="00233A55" w:rsidRDefault="00750FD2" w:rsidP="0083026C">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Rādītājs neattiecas</w:t>
            </w:r>
            <w:r w:rsidR="0083026C" w:rsidRPr="00233A55">
              <w:rPr>
                <w:rFonts w:ascii="Times New Roman" w:eastAsia="Times New Roman" w:hAnsi="Times New Roman" w:cs="Times New Roman"/>
                <w:sz w:val="20"/>
                <w:szCs w:val="20"/>
              </w:rPr>
              <w:t>:</w:t>
            </w:r>
          </w:p>
          <w:p w14:paraId="6F06D7CF" w14:textId="6767A834" w:rsidR="004A3C1A" w:rsidRPr="00233A55" w:rsidRDefault="00750FD2" w:rsidP="004A3C1A">
            <w:pPr>
              <w:pStyle w:val="ListParagraph"/>
              <w:numPr>
                <w:ilvl w:val="0"/>
                <w:numId w:val="13"/>
              </w:numPr>
              <w:ind w:hanging="262"/>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uz sociālajiem mājokļiem (jo tas ir iekļauts rādītājā RCO18).</w:t>
            </w:r>
            <w:r w:rsidRPr="00233A55">
              <w:rPr>
                <w:rStyle w:val="FootnoteReference"/>
                <w:rFonts w:ascii="Times New Roman" w:eastAsia="Times New Roman" w:hAnsi="Times New Roman" w:cs="Times New Roman"/>
                <w:sz w:val="20"/>
                <w:szCs w:val="20"/>
              </w:rPr>
              <w:footnoteReference w:id="8"/>
            </w:r>
          </w:p>
          <w:p w14:paraId="16815F27" w14:textId="51C8CA12" w:rsidR="0083026C" w:rsidRPr="00233A55" w:rsidRDefault="0083026C" w:rsidP="004A3C1A">
            <w:pPr>
              <w:pStyle w:val="ListParagraph"/>
              <w:numPr>
                <w:ilvl w:val="0"/>
                <w:numId w:val="13"/>
              </w:numPr>
              <w:ind w:hanging="262"/>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privātas skolas vai privātas slimnīcas, kas pieder privātiem investoriem. </w:t>
            </w:r>
            <w:r w:rsidR="004A3C1A" w:rsidRPr="00233A55">
              <w:rPr>
                <w:rFonts w:ascii="Times New Roman" w:eastAsia="Times New Roman" w:hAnsi="Times New Roman" w:cs="Times New Roman"/>
                <w:sz w:val="20"/>
                <w:szCs w:val="20"/>
              </w:rPr>
              <w:t xml:space="preserve">Atbalsts </w:t>
            </w:r>
            <w:r w:rsidRPr="00233A55">
              <w:rPr>
                <w:rFonts w:ascii="Times New Roman" w:eastAsia="Times New Roman" w:hAnsi="Times New Roman" w:cs="Times New Roman"/>
                <w:sz w:val="20"/>
                <w:szCs w:val="20"/>
              </w:rPr>
              <w:t xml:space="preserve">šādām privātām struktūrām </w:t>
            </w:r>
            <w:r w:rsidR="004A3C1A" w:rsidRPr="00233A55">
              <w:rPr>
                <w:rFonts w:ascii="Times New Roman" w:eastAsia="Times New Roman" w:hAnsi="Times New Roman" w:cs="Times New Roman"/>
                <w:sz w:val="20"/>
                <w:szCs w:val="20"/>
              </w:rPr>
              <w:t xml:space="preserve">var tikt sniegts kā atbalsts </w:t>
            </w:r>
            <w:r w:rsidRPr="00233A55">
              <w:rPr>
                <w:rFonts w:ascii="Times New Roman" w:eastAsia="Times New Roman" w:hAnsi="Times New Roman" w:cs="Times New Roman"/>
                <w:sz w:val="20"/>
                <w:szCs w:val="20"/>
              </w:rPr>
              <w:t xml:space="preserve">uzņēmumiem, </w:t>
            </w:r>
            <w:r w:rsidR="004A3C1A" w:rsidRPr="00233A55">
              <w:rPr>
                <w:rFonts w:ascii="Times New Roman" w:eastAsia="Times New Roman" w:hAnsi="Times New Roman" w:cs="Times New Roman"/>
                <w:sz w:val="20"/>
                <w:szCs w:val="20"/>
              </w:rPr>
              <w:t xml:space="preserve">piemērojot rādītāju </w:t>
            </w:r>
            <w:r w:rsidRPr="00233A55">
              <w:rPr>
                <w:rFonts w:ascii="Times New Roman" w:eastAsia="Times New Roman" w:hAnsi="Times New Roman" w:cs="Times New Roman"/>
                <w:sz w:val="20"/>
                <w:szCs w:val="20"/>
              </w:rPr>
              <w:t>RCO01 utt.</w:t>
            </w:r>
          </w:p>
        </w:tc>
      </w:tr>
      <w:tr w:rsidR="00236F16" w:rsidRPr="00233A55" w14:paraId="4DD66991" w14:textId="77777777" w:rsidTr="0CF16EB4">
        <w:tc>
          <w:tcPr>
            <w:tcW w:w="1985" w:type="dxa"/>
          </w:tcPr>
          <w:p w14:paraId="1623B7E7" w14:textId="1F114FC8" w:rsidR="00236F16" w:rsidRPr="00233A55" w:rsidRDefault="00236F1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Rādītāja veids</w:t>
            </w:r>
            <w:r w:rsidRPr="00233A55">
              <w:rPr>
                <w:rFonts w:ascii="Times New Roman" w:eastAsia="Times New Roman" w:hAnsi="Times New Roman" w:cs="Times New Roman"/>
                <w:sz w:val="20"/>
                <w:szCs w:val="20"/>
              </w:rPr>
              <w:t xml:space="preserve"> </w:t>
            </w:r>
          </w:p>
        </w:tc>
        <w:tc>
          <w:tcPr>
            <w:tcW w:w="7513" w:type="dxa"/>
          </w:tcPr>
          <w:p w14:paraId="7352E2DF" w14:textId="77777777" w:rsidR="00236F16" w:rsidRPr="00233A55" w:rsidRDefault="00236F16"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Iznākuma</w:t>
            </w:r>
          </w:p>
        </w:tc>
      </w:tr>
      <w:tr w:rsidR="00236F16" w:rsidRPr="00233A55" w14:paraId="5F3262D8" w14:textId="77777777" w:rsidTr="0CF16EB4">
        <w:tc>
          <w:tcPr>
            <w:tcW w:w="1985" w:type="dxa"/>
          </w:tcPr>
          <w:p w14:paraId="572CDE25" w14:textId="56BAEF1B" w:rsidR="00236F16" w:rsidRPr="00233A55" w:rsidRDefault="00236F16" w:rsidP="00675196">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Rādītāja mērvienība</w:t>
            </w:r>
          </w:p>
        </w:tc>
        <w:tc>
          <w:tcPr>
            <w:tcW w:w="7513" w:type="dxa"/>
          </w:tcPr>
          <w:p w14:paraId="6F5306A2" w14:textId="77777777" w:rsidR="00236F16" w:rsidRPr="00233A55" w:rsidRDefault="00236F16"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p>
        </w:tc>
      </w:tr>
      <w:tr w:rsidR="00236F16" w:rsidRPr="00233A55" w14:paraId="53B21276" w14:textId="77777777" w:rsidTr="0CF16EB4">
        <w:tc>
          <w:tcPr>
            <w:tcW w:w="1985" w:type="dxa"/>
          </w:tcPr>
          <w:p w14:paraId="4379476F" w14:textId="1B9829C9" w:rsidR="00236F16" w:rsidRPr="00233A55" w:rsidRDefault="00236F16" w:rsidP="00C500A8">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Bāzes (sākotnējās) vērtības gads un bāzes vērtība</w:t>
            </w:r>
          </w:p>
        </w:tc>
        <w:tc>
          <w:tcPr>
            <w:tcW w:w="7513" w:type="dxa"/>
          </w:tcPr>
          <w:p w14:paraId="1EB6539B" w14:textId="1B75CE9C" w:rsidR="00236F16" w:rsidRPr="00233A55" w:rsidRDefault="00BF1EEE"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N/A</w:t>
            </w:r>
          </w:p>
        </w:tc>
      </w:tr>
      <w:tr w:rsidR="00236F16" w:rsidRPr="00233A55" w14:paraId="233FD11A" w14:textId="77777777" w:rsidTr="0CF16EB4">
        <w:tc>
          <w:tcPr>
            <w:tcW w:w="1985" w:type="dxa"/>
          </w:tcPr>
          <w:p w14:paraId="1A6F7115" w14:textId="2AFA7EFC" w:rsidR="00236F16" w:rsidRPr="00233A55" w:rsidRDefault="00236F1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Starpposma vērtība</w:t>
            </w:r>
            <w:r w:rsidRPr="00233A55">
              <w:rPr>
                <w:rFonts w:ascii="Times New Roman" w:eastAsia="Times New Roman" w:hAnsi="Times New Roman" w:cs="Times New Roman"/>
                <w:sz w:val="20"/>
                <w:szCs w:val="20"/>
              </w:rPr>
              <w:t xml:space="preserve"> uz 31.12.2024.</w:t>
            </w:r>
          </w:p>
        </w:tc>
        <w:tc>
          <w:tcPr>
            <w:tcW w:w="7513" w:type="dxa"/>
          </w:tcPr>
          <w:p w14:paraId="490DB28B" w14:textId="55223109" w:rsidR="00BA5733" w:rsidRDefault="00BA5733" w:rsidP="00675196">
            <w:pPr>
              <w:rPr>
                <w:rFonts w:ascii="Times New Roman" w:eastAsia="Times New Roman" w:hAnsi="Times New Roman" w:cs="Times New Roman"/>
                <w:sz w:val="20"/>
                <w:szCs w:val="20"/>
              </w:rPr>
            </w:pPr>
            <w:r>
              <w:rPr>
                <w:rFonts w:ascii="Times New Roman" w:eastAsia="Times New Roman" w:hAnsi="Times New Roman" w:cs="Times New Roman"/>
                <w:sz w:val="20"/>
                <w:szCs w:val="20"/>
              </w:rPr>
              <w:t>Kopā: 50 000</w:t>
            </w:r>
          </w:p>
          <w:p w14:paraId="0CDBC3DE" w14:textId="6C4FB633" w:rsidR="00FC1B22" w:rsidRPr="00233A55" w:rsidRDefault="00FB358F"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EM:</w:t>
            </w:r>
            <w:r w:rsidRPr="00233A55">
              <w:rPr>
                <w:rFonts w:ascii="Times New Roman" w:hAnsi="Times New Roman" w:cs="Times New Roman"/>
                <w:sz w:val="20"/>
                <w:szCs w:val="20"/>
              </w:rPr>
              <w:t xml:space="preserve"> </w:t>
            </w:r>
            <w:r w:rsidR="00233A55" w:rsidRPr="00650F14">
              <w:rPr>
                <w:rFonts w:ascii="Times New Roman" w:hAnsi="Times New Roman" w:cs="Times New Roman"/>
                <w:sz w:val="20"/>
                <w:szCs w:val="20"/>
              </w:rPr>
              <w:t>50 000</w:t>
            </w:r>
          </w:p>
          <w:p w14:paraId="0412936D" w14:textId="67719E88" w:rsidR="00D44F18" w:rsidRPr="00233A55" w:rsidRDefault="00FB358F"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VARAM: </w:t>
            </w:r>
            <w:r w:rsidR="00236F16" w:rsidRPr="00233A55">
              <w:rPr>
                <w:rFonts w:ascii="Times New Roman" w:eastAsia="Times New Roman" w:hAnsi="Times New Roman" w:cs="Times New Roman"/>
                <w:sz w:val="20"/>
                <w:szCs w:val="20"/>
              </w:rPr>
              <w:t>0</w:t>
            </w:r>
          </w:p>
          <w:p w14:paraId="4051F564" w14:textId="688AE8A9" w:rsidR="00236F16" w:rsidRPr="00233A55" w:rsidRDefault="00D44F18"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IZM:0</w:t>
            </w:r>
          </w:p>
        </w:tc>
      </w:tr>
      <w:tr w:rsidR="00236F16" w:rsidRPr="00233A55" w14:paraId="010120EB" w14:textId="77777777" w:rsidTr="0CF16EB4">
        <w:tc>
          <w:tcPr>
            <w:tcW w:w="1985" w:type="dxa"/>
          </w:tcPr>
          <w:p w14:paraId="624588C4" w14:textId="77777777" w:rsidR="00236F16" w:rsidRPr="00233A55" w:rsidRDefault="00236F1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Sasniedzamā vērtība</w:t>
            </w:r>
            <w:r w:rsidRPr="00233A55">
              <w:rPr>
                <w:rFonts w:ascii="Times New Roman" w:eastAsia="Times New Roman" w:hAnsi="Times New Roman" w:cs="Times New Roman"/>
                <w:sz w:val="20"/>
                <w:szCs w:val="20"/>
              </w:rPr>
              <w:t xml:space="preserve"> uz 31.12.2029.</w:t>
            </w:r>
          </w:p>
          <w:p w14:paraId="209CBB7E" w14:textId="77777777" w:rsidR="00236F16" w:rsidRPr="00233A55" w:rsidRDefault="00236F16" w:rsidP="00675196">
            <w:pPr>
              <w:jc w:val="both"/>
              <w:rPr>
                <w:rFonts w:ascii="Times New Roman" w:eastAsia="Times New Roman" w:hAnsi="Times New Roman" w:cs="Times New Roman"/>
                <w:sz w:val="20"/>
                <w:szCs w:val="20"/>
              </w:rPr>
            </w:pPr>
          </w:p>
        </w:tc>
        <w:tc>
          <w:tcPr>
            <w:tcW w:w="7513" w:type="dxa"/>
          </w:tcPr>
          <w:p w14:paraId="592C7005" w14:textId="1D8A8B78" w:rsidR="00BA5733" w:rsidRDefault="00BA5733" w:rsidP="00675196">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Kopā: </w:t>
            </w:r>
          </w:p>
          <w:p w14:paraId="2BC14930" w14:textId="36D997FE" w:rsidR="000A47DF" w:rsidRPr="004E6644" w:rsidRDefault="00BA5733" w:rsidP="00675196">
            <w:pPr>
              <w:rPr>
                <w:rFonts w:ascii="Times New Roman" w:eastAsia="Times New Roman" w:hAnsi="Times New Roman" w:cs="Times New Roman"/>
                <w:sz w:val="20"/>
                <w:szCs w:val="20"/>
              </w:rPr>
            </w:pPr>
            <w:r>
              <w:rPr>
                <w:rFonts w:ascii="Times New Roman" w:eastAsia="Times New Roman" w:hAnsi="Times New Roman" w:cs="Times New Roman"/>
                <w:sz w:val="20"/>
                <w:szCs w:val="20"/>
              </w:rPr>
              <w:t>625 060</w:t>
            </w:r>
            <w:r w:rsidR="00496E4B" w:rsidRPr="004E6644">
              <w:rPr>
                <w:rFonts w:ascii="Times New Roman" w:eastAsia="Times New Roman" w:hAnsi="Times New Roman" w:cs="Times New Roman"/>
                <w:sz w:val="20"/>
                <w:szCs w:val="20"/>
              </w:rPr>
              <w:t xml:space="preserve"> </w:t>
            </w:r>
            <w:r w:rsidR="004F593C" w:rsidRPr="004E6644">
              <w:rPr>
                <w:rFonts w:ascii="Times New Roman" w:eastAsia="Times New Roman" w:hAnsi="Times New Roman" w:cs="Times New Roman"/>
                <w:sz w:val="20"/>
                <w:szCs w:val="20"/>
              </w:rPr>
              <w:t xml:space="preserve"> </w:t>
            </w:r>
            <w:r w:rsidR="00C500A8" w:rsidRPr="004E6644">
              <w:rPr>
                <w:rFonts w:ascii="Times New Roman" w:eastAsia="Times New Roman" w:hAnsi="Times New Roman" w:cs="Times New Roman"/>
                <w:sz w:val="20"/>
                <w:szCs w:val="20"/>
              </w:rPr>
              <w:t>t.sk.</w:t>
            </w:r>
          </w:p>
          <w:p w14:paraId="5F6477AA" w14:textId="5D10CED8" w:rsidR="00FB358F" w:rsidRPr="004E6644" w:rsidRDefault="00FB358F" w:rsidP="00675196">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lastRenderedPageBreak/>
              <w:t xml:space="preserve">EM: </w:t>
            </w:r>
            <w:r w:rsidR="00784CDA" w:rsidRPr="004E6644">
              <w:rPr>
                <w:rFonts w:ascii="Times New Roman" w:eastAsia="Times New Roman" w:hAnsi="Times New Roman" w:cs="Times New Roman"/>
                <w:sz w:val="20"/>
                <w:szCs w:val="20"/>
              </w:rPr>
              <w:t>508 786</w:t>
            </w:r>
            <w:r w:rsidR="004F593C" w:rsidRPr="004E6644">
              <w:rPr>
                <w:rFonts w:ascii="Times New Roman" w:eastAsia="Times New Roman" w:hAnsi="Times New Roman" w:cs="Times New Roman"/>
                <w:sz w:val="20"/>
                <w:szCs w:val="20"/>
              </w:rPr>
              <w:t xml:space="preserve"> </w:t>
            </w:r>
          </w:p>
          <w:p w14:paraId="7C9DD23A" w14:textId="12745858" w:rsidR="00236F16" w:rsidRPr="00233A55" w:rsidRDefault="00FB358F" w:rsidP="00675196">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VARAM: </w:t>
            </w:r>
            <w:r w:rsidR="000C4399" w:rsidRPr="004E6644">
              <w:rPr>
                <w:rFonts w:ascii="Times New Roman" w:eastAsia="Times New Roman" w:hAnsi="Times New Roman" w:cs="Times New Roman"/>
                <w:sz w:val="20"/>
                <w:szCs w:val="20"/>
              </w:rPr>
              <w:t xml:space="preserve"> </w:t>
            </w:r>
            <w:r w:rsidR="00AD0FE6" w:rsidRPr="004E6644">
              <w:rPr>
                <w:rFonts w:ascii="Times New Roman" w:eastAsia="Times New Roman" w:hAnsi="Times New Roman" w:cs="Times New Roman"/>
                <w:sz w:val="20"/>
                <w:szCs w:val="20"/>
              </w:rPr>
              <w:t>93 308</w:t>
            </w:r>
          </w:p>
          <w:p w14:paraId="37D1A704" w14:textId="09144DDB" w:rsidR="00D44F18" w:rsidRPr="00233A55" w:rsidRDefault="00D44F18"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IZM: </w:t>
            </w:r>
            <w:r w:rsidR="008A4F5B" w:rsidRPr="00233A55">
              <w:rPr>
                <w:rFonts w:ascii="Times New Roman" w:eastAsia="Times New Roman" w:hAnsi="Times New Roman" w:cs="Times New Roman"/>
                <w:sz w:val="20"/>
                <w:szCs w:val="20"/>
              </w:rPr>
              <w:t>22 966</w:t>
            </w:r>
          </w:p>
        </w:tc>
      </w:tr>
      <w:tr w:rsidR="00FF72FC" w:rsidRPr="00233A55" w14:paraId="657078DE" w14:textId="77777777" w:rsidTr="0CF16EB4">
        <w:tc>
          <w:tcPr>
            <w:tcW w:w="1985" w:type="dxa"/>
            <w:vMerge w:val="restart"/>
          </w:tcPr>
          <w:p w14:paraId="23589065" w14:textId="6A6C43F2" w:rsidR="00FF72FC" w:rsidRPr="00233A55" w:rsidRDefault="00FF72FC" w:rsidP="00675196">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lastRenderedPageBreak/>
              <w:t>Pieņēmumi un aprēķini</w:t>
            </w:r>
            <w:r w:rsidRPr="00233A55">
              <w:rPr>
                <w:rStyle w:val="FootnoteReference"/>
                <w:rFonts w:ascii="Times New Roman" w:eastAsia="Times New Roman" w:hAnsi="Times New Roman" w:cs="Times New Roman"/>
                <w:b/>
                <w:bCs/>
                <w:sz w:val="20"/>
                <w:szCs w:val="20"/>
              </w:rPr>
              <w:footnoteReference w:id="9"/>
            </w:r>
          </w:p>
          <w:p w14:paraId="17A82EF0" w14:textId="2DC79ABB" w:rsidR="00FF72FC" w:rsidRPr="00233A55" w:rsidRDefault="00FF72FC" w:rsidP="00675196">
            <w:pPr>
              <w:jc w:val="both"/>
              <w:rPr>
                <w:rFonts w:ascii="Times New Roman" w:eastAsia="Times New Roman" w:hAnsi="Times New Roman" w:cs="Times New Roman"/>
                <w:sz w:val="20"/>
                <w:szCs w:val="20"/>
              </w:rPr>
            </w:pPr>
          </w:p>
        </w:tc>
        <w:tc>
          <w:tcPr>
            <w:tcW w:w="7513" w:type="dxa"/>
          </w:tcPr>
          <w:p w14:paraId="75C459D5" w14:textId="6EE73F7A" w:rsidR="00FF72FC" w:rsidRPr="00233A55" w:rsidRDefault="00FF72FC"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Kritēriji rādītāju izvēlei</w:t>
            </w:r>
            <w:r w:rsidRPr="00233A55">
              <w:rPr>
                <w:rFonts w:ascii="Times New Roman" w:eastAsia="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08B728AF" w14:textId="77777777" w:rsidR="00FF72FC" w:rsidRPr="00233A55" w:rsidRDefault="00FF72FC" w:rsidP="00675196">
            <w:pPr>
              <w:numPr>
                <w:ilvl w:val="0"/>
                <w:numId w:val="13"/>
              </w:num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Sasaiste</w:t>
            </w:r>
            <w:r w:rsidRPr="00233A55">
              <w:rPr>
                <w:rFonts w:ascii="Times New Roman" w:eastAsia="Times New Roman" w:hAnsi="Times New Roman" w:cs="Times New Roman"/>
                <w:sz w:val="20"/>
                <w:szCs w:val="20"/>
              </w:rPr>
              <w:t xml:space="preserve"> </w:t>
            </w:r>
            <w:r w:rsidRPr="00233A55">
              <w:rPr>
                <w:rFonts w:ascii="Times New Roman" w:eastAsia="Times New Roman" w:hAnsi="Times New Roman" w:cs="Times New Roman"/>
                <w:b/>
                <w:bCs/>
                <w:sz w:val="20"/>
                <w:szCs w:val="20"/>
              </w:rPr>
              <w:t>ar plānotajiem ieguldījumiem</w:t>
            </w:r>
            <w:r w:rsidRPr="00233A55">
              <w:rPr>
                <w:rFonts w:ascii="Times New Roman" w:eastAsia="Times New Roman" w:hAnsi="Times New Roman" w:cs="Times New Roman"/>
                <w:sz w:val="20"/>
                <w:szCs w:val="20"/>
              </w:rPr>
              <w:t xml:space="preserve">. Rādītāju izvēlē tika ņemts vērā, vai izvēlētais rādītājs var atspoguļot rezultātus un ietekmi, ko radīs veiktie ieguldījumi. </w:t>
            </w:r>
          </w:p>
          <w:p w14:paraId="75A06F0E" w14:textId="046EAC62" w:rsidR="00FF72FC" w:rsidRPr="00233A55" w:rsidRDefault="00FF72FC" w:rsidP="00675196">
            <w:pPr>
              <w:numPr>
                <w:ilvl w:val="0"/>
                <w:numId w:val="13"/>
              </w:num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Būtiskums</w:t>
            </w:r>
            <w:r w:rsidRPr="00233A55">
              <w:rPr>
                <w:rFonts w:ascii="Times New Roman" w:eastAsia="Times New Roman" w:hAnsi="Times New Roman" w:cs="Times New Roman"/>
                <w:sz w:val="20"/>
                <w:szCs w:val="20"/>
              </w:rPr>
              <w:t xml:space="preserve"> </w:t>
            </w:r>
            <w:r w:rsidRPr="00233A55">
              <w:rPr>
                <w:rFonts w:ascii="Times New Roman" w:eastAsia="Times New Roman" w:hAnsi="Times New Roman" w:cs="Times New Roman"/>
                <w:b/>
                <w:bCs/>
                <w:sz w:val="20"/>
                <w:szCs w:val="20"/>
              </w:rPr>
              <w:t>attiecībā uz plānotajiem ieguldījumiem</w:t>
            </w:r>
            <w:r w:rsidRPr="00233A55">
              <w:rPr>
                <w:rFonts w:ascii="Times New Roman" w:eastAsia="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C683972" w14:textId="7FAFB6A5" w:rsidR="00FF72FC" w:rsidRPr="00233A55" w:rsidRDefault="00FF72FC" w:rsidP="00675196">
            <w:pPr>
              <w:numPr>
                <w:ilvl w:val="0"/>
                <w:numId w:val="13"/>
              </w:num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b/>
                <w:bCs/>
                <w:sz w:val="20"/>
                <w:szCs w:val="20"/>
              </w:rPr>
              <w:t>Datu pieejamība</w:t>
            </w:r>
            <w:r w:rsidRPr="00233A55">
              <w:rPr>
                <w:rFonts w:ascii="Times New Roman" w:eastAsia="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FF72FC" w:rsidRPr="00233A55" w14:paraId="7CE428E1" w14:textId="77777777" w:rsidTr="0CF16EB4">
        <w:tc>
          <w:tcPr>
            <w:tcW w:w="1985" w:type="dxa"/>
            <w:vMerge/>
          </w:tcPr>
          <w:p w14:paraId="42BB0ABB" w14:textId="77777777" w:rsidR="00FF72FC" w:rsidRPr="00233A55" w:rsidRDefault="00FF72FC" w:rsidP="00675196">
            <w:pPr>
              <w:jc w:val="both"/>
              <w:rPr>
                <w:rFonts w:ascii="Times New Roman" w:eastAsia="Times New Roman" w:hAnsi="Times New Roman" w:cs="Times New Roman"/>
                <w:b/>
                <w:bCs/>
                <w:sz w:val="20"/>
                <w:szCs w:val="20"/>
              </w:rPr>
            </w:pPr>
          </w:p>
        </w:tc>
        <w:tc>
          <w:tcPr>
            <w:tcW w:w="7513" w:type="dxa"/>
          </w:tcPr>
          <w:p w14:paraId="6E0A37E0" w14:textId="77777777" w:rsidR="00675196" w:rsidRPr="00233A55" w:rsidRDefault="00675196" w:rsidP="00675196">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Informācijas avots</w:t>
            </w:r>
            <w:r w:rsidRPr="00233A55">
              <w:rPr>
                <w:rStyle w:val="FootnoteReference"/>
                <w:rFonts w:ascii="Times New Roman" w:hAnsi="Times New Roman" w:cs="Times New Roman"/>
                <w:b/>
                <w:bCs/>
                <w:iCs/>
                <w:sz w:val="20"/>
                <w:szCs w:val="20"/>
              </w:rPr>
              <w:footnoteReference w:id="10"/>
            </w:r>
          </w:p>
          <w:p w14:paraId="2155CBA0" w14:textId="7CC5DA62"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EM:</w:t>
            </w:r>
          </w:p>
          <w:p w14:paraId="73717271" w14:textId="3AD6CBA6" w:rsidR="00675196" w:rsidRPr="00233A55" w:rsidRDefault="0067519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Projektu dati. Projektu iesniegumos norādītais atjaunoto kvadrātmetru skaits.</w:t>
            </w:r>
          </w:p>
          <w:p w14:paraId="5D4F764C" w14:textId="77777777" w:rsidR="00675196" w:rsidRPr="00233A55" w:rsidRDefault="00675196" w:rsidP="00675196">
            <w:pPr>
              <w:jc w:val="both"/>
              <w:rPr>
                <w:rFonts w:ascii="Times New Roman" w:eastAsia="Times New Roman" w:hAnsi="Times New Roman" w:cs="Times New Roman"/>
                <w:color w:val="000000" w:themeColor="text1"/>
                <w:sz w:val="20"/>
                <w:szCs w:val="20"/>
                <w:lang w:val="lv"/>
              </w:rPr>
            </w:pPr>
          </w:p>
          <w:p w14:paraId="0FD94D8E" w14:textId="77777777" w:rsidR="00675196" w:rsidRPr="00233A55" w:rsidRDefault="0067519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color w:val="000000" w:themeColor="text1"/>
                <w:sz w:val="20"/>
                <w:szCs w:val="20"/>
                <w:lang w:val="lv"/>
              </w:rPr>
              <w:t>VARAM:</w:t>
            </w:r>
            <w:r w:rsidRPr="00233A55">
              <w:rPr>
                <w:rFonts w:ascii="Times New Roman" w:eastAsia="Times New Roman" w:hAnsi="Times New Roman" w:cs="Times New Roman"/>
                <w:sz w:val="20"/>
                <w:szCs w:val="20"/>
              </w:rPr>
              <w:t xml:space="preserve"> </w:t>
            </w:r>
          </w:p>
          <w:p w14:paraId="62405787" w14:textId="1CD347E3" w:rsidR="00675196" w:rsidRPr="00233A55" w:rsidRDefault="0067519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Projektu dati, VARAM pašvaldību 2020. gada aprīļa aptauja par pašvaldību nepieciešamajiem ieguldījumiem ēku energoefektivitātē, kā arī 2014.-2020. gada plānošanas perioda pabeigto projektu dati.</w:t>
            </w:r>
          </w:p>
          <w:p w14:paraId="70799166" w14:textId="77777777" w:rsidR="00675196" w:rsidRPr="00233A55" w:rsidRDefault="00675196" w:rsidP="00675196">
            <w:pPr>
              <w:jc w:val="both"/>
              <w:rPr>
                <w:rFonts w:ascii="Times New Roman" w:eastAsia="Times New Roman" w:hAnsi="Times New Roman" w:cs="Times New Roman"/>
                <w:color w:val="000000" w:themeColor="text1"/>
                <w:sz w:val="20"/>
                <w:szCs w:val="20"/>
                <w:lang w:val="lv"/>
              </w:rPr>
            </w:pPr>
          </w:p>
          <w:p w14:paraId="24D8F94C" w14:textId="77777777" w:rsidR="00675196" w:rsidRPr="00233A55" w:rsidRDefault="00675196"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IZM: </w:t>
            </w:r>
          </w:p>
          <w:p w14:paraId="76F454D0" w14:textId="77777777" w:rsidR="00FF72FC" w:rsidRDefault="00675196" w:rsidP="00675196">
            <w:pPr>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sz w:val="20"/>
                <w:szCs w:val="20"/>
              </w:rPr>
              <w:t>Projektu dati.</w:t>
            </w:r>
            <w:r w:rsidR="00202816" w:rsidRPr="00233A55">
              <w:rPr>
                <w:rFonts w:ascii="Times New Roman" w:eastAsia="Times New Roman" w:hAnsi="Times New Roman" w:cs="Times New Roman"/>
                <w:sz w:val="20"/>
                <w:szCs w:val="20"/>
              </w:rPr>
              <w:t xml:space="preserve"> </w:t>
            </w:r>
            <w:r w:rsidRPr="00233A55">
              <w:rPr>
                <w:rFonts w:ascii="Times New Roman" w:eastAsia="Times New Roman" w:hAnsi="Times New Roman" w:cs="Times New Roman"/>
                <w:sz w:val="20"/>
                <w:szCs w:val="20"/>
              </w:rPr>
              <w:t>Projektu iesniegumos norādītais atjaunoto kvadrātmetru skaits</w:t>
            </w:r>
            <w:r w:rsidRPr="00233A55">
              <w:rPr>
                <w:rFonts w:ascii="Times New Roman" w:eastAsia="Times New Roman" w:hAnsi="Times New Roman" w:cs="Times New Roman"/>
                <w:color w:val="000000" w:themeColor="text1"/>
                <w:sz w:val="20"/>
                <w:szCs w:val="20"/>
                <w:lang w:val="lv"/>
              </w:rPr>
              <w:t>.</w:t>
            </w:r>
          </w:p>
          <w:p w14:paraId="7DC4F4B0" w14:textId="77777777" w:rsidR="004E6644" w:rsidRDefault="004E6644" w:rsidP="00675196">
            <w:pPr>
              <w:rPr>
                <w:rFonts w:ascii="Times New Roman" w:eastAsia="Times New Roman" w:hAnsi="Times New Roman" w:cs="Times New Roman"/>
                <w:color w:val="000000" w:themeColor="text1"/>
                <w:sz w:val="20"/>
                <w:szCs w:val="20"/>
                <w:lang w:val="lv"/>
              </w:rPr>
            </w:pPr>
          </w:p>
          <w:p w14:paraId="1C978C0A" w14:textId="64139983" w:rsidR="004E6644" w:rsidRPr="00233A55" w:rsidRDefault="004E6644" w:rsidP="00675196">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F72FC" w:rsidRPr="00233A55" w14:paraId="2514ECA4" w14:textId="77777777" w:rsidTr="0CF16EB4">
        <w:tc>
          <w:tcPr>
            <w:tcW w:w="1985" w:type="dxa"/>
            <w:vMerge/>
          </w:tcPr>
          <w:p w14:paraId="58014A5B" w14:textId="77777777" w:rsidR="00FF72FC" w:rsidRPr="00233A55" w:rsidRDefault="00FF72FC" w:rsidP="00675196">
            <w:pPr>
              <w:jc w:val="both"/>
              <w:rPr>
                <w:rFonts w:ascii="Times New Roman" w:eastAsia="Times New Roman" w:hAnsi="Times New Roman" w:cs="Times New Roman"/>
                <w:b/>
                <w:bCs/>
                <w:sz w:val="20"/>
                <w:szCs w:val="20"/>
              </w:rPr>
            </w:pPr>
          </w:p>
        </w:tc>
        <w:tc>
          <w:tcPr>
            <w:tcW w:w="7513" w:type="dxa"/>
          </w:tcPr>
          <w:p w14:paraId="63CA30D1" w14:textId="77777777" w:rsidR="00FF72FC" w:rsidRPr="00233A55" w:rsidRDefault="00FF72FC" w:rsidP="00675196">
            <w:pPr>
              <w:rPr>
                <w:rFonts w:ascii="Times New Roman" w:hAnsi="Times New Roman" w:cs="Times New Roman"/>
                <w:b/>
                <w:bCs/>
                <w:iCs/>
                <w:sz w:val="20"/>
                <w:szCs w:val="20"/>
              </w:rPr>
            </w:pPr>
            <w:r w:rsidRPr="00233A55">
              <w:rPr>
                <w:rFonts w:ascii="Times New Roman" w:hAnsi="Times New Roman" w:cs="Times New Roman"/>
                <w:b/>
                <w:bCs/>
                <w:iCs/>
                <w:sz w:val="20"/>
                <w:szCs w:val="20"/>
              </w:rPr>
              <w:t>Veiktie aprēķini un pieņēmumi, kas izmantoti aprēķiniem</w:t>
            </w:r>
          </w:p>
          <w:p w14:paraId="1F54DE53" w14:textId="54EDCAD0"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EM:</w:t>
            </w:r>
          </w:p>
          <w:p w14:paraId="3FDF26C0" w14:textId="1BFB8800" w:rsidR="00675196" w:rsidRPr="004E6644" w:rsidRDefault="00675196" w:rsidP="00675196">
            <w:pPr>
              <w:numPr>
                <w:ilvl w:val="0"/>
                <w:numId w:val="13"/>
              </w:num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Plānotais </w:t>
            </w:r>
            <w:r w:rsidRPr="004E6644">
              <w:rPr>
                <w:rFonts w:ascii="Times New Roman" w:eastAsia="Times New Roman" w:hAnsi="Times New Roman" w:cs="Times New Roman"/>
                <w:sz w:val="20"/>
                <w:szCs w:val="20"/>
              </w:rPr>
              <w:t xml:space="preserve">atbalsts publiskajām ēkām, kuras atbilst Direktīvas 2012/27/ES par energoefektivitāti 5. panta prasībām un ir iekļautas valsts ēku sarakstā. Publiskais finansējums – </w:t>
            </w:r>
            <w:r w:rsidR="00784CDA" w:rsidRPr="004E6644">
              <w:rPr>
                <w:rFonts w:ascii="Times New Roman" w:eastAsia="Times New Roman" w:hAnsi="Times New Roman" w:cs="Times New Roman"/>
                <w:sz w:val="20"/>
                <w:szCs w:val="20"/>
              </w:rPr>
              <w:t>101 696 160</w:t>
            </w:r>
            <w:r w:rsidRPr="004E6644">
              <w:rPr>
                <w:rFonts w:ascii="Times New Roman" w:eastAsia="Times New Roman" w:hAnsi="Times New Roman" w:cs="Times New Roman"/>
                <w:sz w:val="20"/>
                <w:szCs w:val="20"/>
              </w:rPr>
              <w:t xml:space="preserve"> EUR. Rādītāja aprēķins: </w:t>
            </w:r>
            <w:r w:rsidR="00784CDA" w:rsidRPr="004E6644">
              <w:rPr>
                <w:rFonts w:ascii="Times New Roman" w:eastAsia="Times New Roman" w:hAnsi="Times New Roman" w:cs="Times New Roman"/>
                <w:sz w:val="20"/>
                <w:szCs w:val="20"/>
              </w:rPr>
              <w:t>101 696 160</w:t>
            </w:r>
            <w:r w:rsidRPr="004E6644">
              <w:rPr>
                <w:rFonts w:ascii="Times New Roman" w:eastAsia="Times New Roman" w:hAnsi="Times New Roman" w:cs="Times New Roman"/>
                <w:sz w:val="20"/>
                <w:szCs w:val="20"/>
              </w:rPr>
              <w:t>/</w:t>
            </w:r>
            <w:r w:rsidR="00493193" w:rsidRPr="004E6644">
              <w:rPr>
                <w:rFonts w:ascii="Times New Roman" w:eastAsia="Times New Roman" w:hAnsi="Times New Roman" w:cs="Times New Roman"/>
                <w:sz w:val="20"/>
                <w:szCs w:val="20"/>
              </w:rPr>
              <w:t>199</w:t>
            </w:r>
            <w:r w:rsidR="00EB15C3" w:rsidRPr="004E6644">
              <w:rPr>
                <w:rFonts w:ascii="Times New Roman" w:eastAsia="Times New Roman" w:hAnsi="Times New Roman" w:cs="Times New Roman"/>
                <w:sz w:val="20"/>
                <w:szCs w:val="20"/>
              </w:rPr>
              <w:t>.88</w:t>
            </w:r>
            <w:r w:rsidR="00496E4B" w:rsidRPr="004E6644">
              <w:rPr>
                <w:rFonts w:ascii="Times New Roman" w:eastAsia="Times New Roman" w:hAnsi="Times New Roman" w:cs="Times New Roman"/>
                <w:sz w:val="20"/>
                <w:szCs w:val="20"/>
              </w:rPr>
              <w:t xml:space="preserve"> </w:t>
            </w:r>
            <w:r w:rsidRPr="004E6644">
              <w:rPr>
                <w:rFonts w:ascii="Times New Roman" w:eastAsia="Times New Roman" w:hAnsi="Times New Roman" w:cs="Times New Roman"/>
                <w:sz w:val="20"/>
                <w:szCs w:val="20"/>
              </w:rPr>
              <w:t>EUR/m</w:t>
            </w:r>
            <w:r w:rsidRPr="004E6644">
              <w:rPr>
                <w:rFonts w:ascii="Times New Roman" w:eastAsia="Times New Roman" w:hAnsi="Times New Roman" w:cs="Times New Roman"/>
                <w:sz w:val="20"/>
                <w:szCs w:val="20"/>
                <w:vertAlign w:val="superscript"/>
              </w:rPr>
              <w:t>2</w:t>
            </w:r>
            <w:r w:rsidRPr="004E6644">
              <w:rPr>
                <w:rFonts w:ascii="Times New Roman" w:eastAsia="Times New Roman" w:hAnsi="Times New Roman" w:cs="Times New Roman"/>
                <w:sz w:val="20"/>
                <w:szCs w:val="20"/>
              </w:rPr>
              <w:t xml:space="preserve"> (vidējās izmaksas viena m</w:t>
            </w:r>
            <w:r w:rsidRPr="004E6644">
              <w:rPr>
                <w:rFonts w:ascii="Times New Roman" w:eastAsia="Times New Roman" w:hAnsi="Times New Roman" w:cs="Times New Roman"/>
                <w:sz w:val="20"/>
                <w:szCs w:val="20"/>
                <w:vertAlign w:val="superscript"/>
              </w:rPr>
              <w:t>2</w:t>
            </w:r>
            <w:r w:rsidRPr="004E6644">
              <w:rPr>
                <w:rFonts w:ascii="Times New Roman" w:eastAsia="Times New Roman" w:hAnsi="Times New Roman" w:cs="Times New Roman"/>
                <w:sz w:val="20"/>
                <w:szCs w:val="20"/>
              </w:rPr>
              <w:t xml:space="preserve"> atjaunošanai publiskajās ēkās, minētais pieņēmums balstīts uz 2014.-2020. gada plānošanas perioda datiem</w:t>
            </w:r>
            <w:r w:rsidR="00EB15C3" w:rsidRPr="004E6644">
              <w:rPr>
                <w:rFonts w:ascii="Times New Roman" w:eastAsia="Times New Roman" w:hAnsi="Times New Roman" w:cs="Times New Roman"/>
                <w:sz w:val="20"/>
                <w:szCs w:val="20"/>
              </w:rPr>
              <w:t>, kam jāpieskaita 5.2% inflācija, jo 2023.gadā, kad faktiski tiks uzsākta projektu īstenošana cenas salīdzinājumā ar 2020.gadu būs cēlušās (izmantot FM tautsaimniecības attīstības prognozes https://www.fm.gov.lv/lv/tautsaimniecibas-un-budzeta-izpildes-analize)</w:t>
            </w:r>
            <w:r w:rsidRPr="004E6644">
              <w:rPr>
                <w:rFonts w:ascii="Times New Roman" w:eastAsia="Times New Roman" w:hAnsi="Times New Roman" w:cs="Times New Roman"/>
                <w:sz w:val="20"/>
                <w:szCs w:val="20"/>
              </w:rPr>
              <w:t xml:space="preserve"> = </w:t>
            </w:r>
            <w:r w:rsidR="00784CDA" w:rsidRPr="004E6644">
              <w:rPr>
                <w:rFonts w:ascii="Times New Roman" w:eastAsia="Times New Roman" w:hAnsi="Times New Roman" w:cs="Times New Roman"/>
                <w:sz w:val="20"/>
                <w:szCs w:val="20"/>
              </w:rPr>
              <w:t>508 786</w:t>
            </w:r>
            <w:r w:rsidR="00EB15C3" w:rsidRPr="004E6644">
              <w:rPr>
                <w:rFonts w:ascii="Times New Roman" w:eastAsia="Times New Roman" w:hAnsi="Times New Roman" w:cs="Times New Roman"/>
                <w:sz w:val="20"/>
                <w:szCs w:val="20"/>
              </w:rPr>
              <w:t xml:space="preserve"> </w:t>
            </w:r>
            <w:r w:rsidR="00956C0E" w:rsidRPr="004E6644">
              <w:rPr>
                <w:rFonts w:ascii="Times New Roman" w:eastAsia="Times New Roman" w:hAnsi="Times New Roman" w:cs="Times New Roman"/>
                <w:sz w:val="20"/>
                <w:szCs w:val="20"/>
              </w:rPr>
              <w:t xml:space="preserve"> </w:t>
            </w:r>
            <w:r w:rsidRPr="004E6644">
              <w:rPr>
                <w:rFonts w:ascii="Times New Roman" w:eastAsia="Times New Roman" w:hAnsi="Times New Roman" w:cs="Times New Roman"/>
                <w:sz w:val="20"/>
                <w:szCs w:val="20"/>
              </w:rPr>
              <w:t xml:space="preserve"> m</w:t>
            </w:r>
            <w:r w:rsidRPr="004E6644">
              <w:rPr>
                <w:rFonts w:ascii="Times New Roman" w:eastAsia="Times New Roman" w:hAnsi="Times New Roman" w:cs="Times New Roman"/>
                <w:sz w:val="20"/>
                <w:szCs w:val="20"/>
                <w:vertAlign w:val="superscript"/>
              </w:rPr>
              <w:t>2</w:t>
            </w:r>
            <w:r w:rsidRPr="004E6644">
              <w:rPr>
                <w:rFonts w:ascii="Times New Roman" w:eastAsia="Times New Roman" w:hAnsi="Times New Roman" w:cs="Times New Roman"/>
                <w:sz w:val="20"/>
                <w:szCs w:val="20"/>
              </w:rPr>
              <w:t>;</w:t>
            </w:r>
          </w:p>
          <w:p w14:paraId="684CB270" w14:textId="4582C5D3" w:rsidR="00675196" w:rsidRPr="00233A55" w:rsidRDefault="00675196" w:rsidP="00675196">
            <w:pPr>
              <w:jc w:val="both"/>
              <w:rPr>
                <w:rFonts w:ascii="Times New Roman" w:eastAsia="Times New Roman" w:hAnsi="Times New Roman" w:cs="Times New Roman"/>
                <w:sz w:val="20"/>
                <w:szCs w:val="20"/>
                <w:lang w:eastAsia="lv-LV"/>
              </w:rPr>
            </w:pPr>
            <w:r w:rsidRPr="004E6644">
              <w:rPr>
                <w:rFonts w:ascii="Times New Roman" w:eastAsia="Times New Roman" w:hAnsi="Times New Roman" w:cs="Times New Roman"/>
                <w:sz w:val="20"/>
                <w:szCs w:val="20"/>
                <w:lang w:eastAsia="lv-LV"/>
              </w:rPr>
              <w:t>Piezīme –</w:t>
            </w:r>
            <w:r w:rsidR="00202816" w:rsidRPr="004E6644">
              <w:rPr>
                <w:rFonts w:ascii="Times New Roman" w:eastAsia="Times New Roman" w:hAnsi="Times New Roman" w:cs="Times New Roman"/>
                <w:sz w:val="20"/>
                <w:szCs w:val="20"/>
                <w:lang w:eastAsia="lv-LV"/>
              </w:rPr>
              <w:t xml:space="preserve"> Svarīgi ņemt vērā, ka izvēlētā atbalsta forma ietekmēs kopējo nacionālo finansējumu, no kā atkarīga sasniedzamā</w:t>
            </w:r>
            <w:r w:rsidR="00956C0E" w:rsidRPr="004E6644">
              <w:rPr>
                <w:rFonts w:ascii="Times New Roman" w:eastAsia="Times New Roman" w:hAnsi="Times New Roman" w:cs="Times New Roman"/>
                <w:sz w:val="20"/>
                <w:szCs w:val="20"/>
                <w:lang w:eastAsia="lv-LV"/>
              </w:rPr>
              <w:t xml:space="preserve"> atjaunojamo ēku platība (m2).</w:t>
            </w:r>
            <w:r w:rsidR="00496E4B" w:rsidRPr="004E6644">
              <w:rPr>
                <w:rFonts w:ascii="Times New Roman" w:eastAsia="Times New Roman" w:hAnsi="Times New Roman" w:cs="Times New Roman"/>
                <w:sz w:val="20"/>
                <w:szCs w:val="20"/>
                <w:lang w:eastAsia="lv-LV"/>
              </w:rPr>
              <w:t xml:space="preserve"> </w:t>
            </w:r>
            <w:r w:rsidR="00202816" w:rsidRPr="004E6644">
              <w:rPr>
                <w:rFonts w:ascii="Times New Roman" w:eastAsia="Times New Roman" w:hAnsi="Times New Roman" w:cs="Times New Roman"/>
                <w:sz w:val="20"/>
                <w:szCs w:val="20"/>
                <w:lang w:eastAsia="lv-LV"/>
              </w:rPr>
              <w:t>Atbilstoši izvēlētajai atbalsta intensitātei</w:t>
            </w:r>
            <w:r w:rsidRPr="004E6644">
              <w:rPr>
                <w:rFonts w:ascii="Times New Roman" w:eastAsia="Times New Roman" w:hAnsi="Times New Roman" w:cs="Times New Roman"/>
                <w:sz w:val="20"/>
                <w:szCs w:val="20"/>
                <w:lang w:eastAsia="lv-LV"/>
              </w:rPr>
              <w:t>,</w:t>
            </w:r>
            <w:r w:rsidR="00C500A8" w:rsidRPr="004E6644">
              <w:rPr>
                <w:rFonts w:ascii="Times New Roman" w:eastAsia="Times New Roman" w:hAnsi="Times New Roman" w:cs="Times New Roman"/>
                <w:sz w:val="20"/>
                <w:szCs w:val="20"/>
                <w:lang w:eastAsia="lv-LV"/>
              </w:rPr>
              <w:t xml:space="preserve"> var būt</w:t>
            </w:r>
            <w:r w:rsidRPr="004E6644">
              <w:rPr>
                <w:rFonts w:ascii="Times New Roman" w:eastAsia="Times New Roman" w:hAnsi="Times New Roman" w:cs="Times New Roman"/>
                <w:sz w:val="20"/>
                <w:szCs w:val="20"/>
                <w:lang w:eastAsia="lv-LV"/>
              </w:rPr>
              <w:t xml:space="preserve"> nepieciešams veikt  pārrēķinu</w:t>
            </w:r>
            <w:r w:rsidRPr="00233A55">
              <w:rPr>
                <w:rFonts w:ascii="Times New Roman" w:eastAsia="Times New Roman" w:hAnsi="Times New Roman" w:cs="Times New Roman"/>
                <w:sz w:val="20"/>
                <w:szCs w:val="20"/>
                <w:lang w:eastAsia="lv-LV"/>
              </w:rPr>
              <w:t>.</w:t>
            </w:r>
          </w:p>
          <w:p w14:paraId="5F5D3CAD" w14:textId="4BB3C048" w:rsidR="006157A9" w:rsidRPr="00233A55" w:rsidRDefault="006157A9" w:rsidP="00675196">
            <w:pPr>
              <w:jc w:val="both"/>
              <w:rPr>
                <w:rFonts w:ascii="Times New Roman" w:eastAsia="Times New Roman" w:hAnsi="Times New Roman" w:cs="Times New Roman"/>
                <w:sz w:val="20"/>
                <w:szCs w:val="20"/>
                <w:lang w:eastAsia="lv-LV"/>
              </w:rPr>
            </w:pPr>
          </w:p>
          <w:p w14:paraId="44A5F014" w14:textId="77777777" w:rsidR="00E76A26" w:rsidRPr="00233A55" w:rsidRDefault="00E76A26" w:rsidP="00675196">
            <w:pPr>
              <w:jc w:val="both"/>
              <w:rPr>
                <w:rFonts w:ascii="Times New Roman" w:eastAsia="Times New Roman" w:hAnsi="Times New Roman" w:cs="Times New Roman"/>
                <w:sz w:val="20"/>
                <w:szCs w:val="20"/>
                <w:lang w:eastAsia="lv-LV"/>
              </w:rPr>
            </w:pPr>
          </w:p>
          <w:p w14:paraId="6F5138BB" w14:textId="1755763E" w:rsidR="00E76A2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VARAM:</w:t>
            </w:r>
          </w:p>
          <w:p w14:paraId="7896E1A7" w14:textId="40EDCC97" w:rsidR="00675196" w:rsidRPr="00233A55" w:rsidRDefault="00E75F55" w:rsidP="00675196">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31</w:t>
            </w:r>
            <w:r w:rsidR="0071336F" w:rsidRPr="00233A55">
              <w:rPr>
                <w:rFonts w:ascii="Times New Roman" w:eastAsia="Times New Roman" w:hAnsi="Times New Roman" w:cs="Times New Roman"/>
                <w:sz w:val="20"/>
                <w:szCs w:val="20"/>
              </w:rPr>
              <w:t xml:space="preserve"> </w:t>
            </w:r>
            <w:r w:rsidRPr="00233A55">
              <w:rPr>
                <w:rFonts w:ascii="Times New Roman" w:eastAsia="Times New Roman" w:hAnsi="Times New Roman" w:cs="Times New Roman"/>
                <w:sz w:val="20"/>
                <w:szCs w:val="20"/>
              </w:rPr>
              <w:t>071</w:t>
            </w:r>
            <w:r w:rsidR="0071336F" w:rsidRPr="00233A55">
              <w:rPr>
                <w:rFonts w:ascii="Times New Roman" w:eastAsia="Times New Roman" w:hAnsi="Times New Roman" w:cs="Times New Roman"/>
                <w:sz w:val="20"/>
                <w:szCs w:val="20"/>
              </w:rPr>
              <w:t xml:space="preserve"> </w:t>
            </w:r>
            <w:r w:rsidRPr="00233A55">
              <w:rPr>
                <w:rFonts w:ascii="Times New Roman" w:eastAsia="Times New Roman" w:hAnsi="Times New Roman" w:cs="Times New Roman"/>
                <w:sz w:val="20"/>
                <w:szCs w:val="20"/>
              </w:rPr>
              <w:t xml:space="preserve">429 </w:t>
            </w:r>
            <w:r w:rsidR="00675196" w:rsidRPr="00233A55">
              <w:rPr>
                <w:rFonts w:ascii="Times New Roman" w:eastAsia="Times New Roman" w:hAnsi="Times New Roman" w:cs="Times New Roman"/>
                <w:sz w:val="20"/>
                <w:szCs w:val="20"/>
                <w:lang w:eastAsia="lv-LV"/>
              </w:rPr>
              <w:t xml:space="preserve">/ 333 = </w:t>
            </w:r>
            <w:r w:rsidR="0071336F" w:rsidRPr="00233A55">
              <w:rPr>
                <w:rFonts w:ascii="Times New Roman" w:eastAsia="Times New Roman" w:hAnsi="Times New Roman" w:cs="Times New Roman"/>
                <w:sz w:val="20"/>
                <w:szCs w:val="20"/>
                <w:lang w:eastAsia="lv-LV"/>
              </w:rPr>
              <w:t xml:space="preserve">93 308 </w:t>
            </w:r>
            <w:r w:rsidR="00675196" w:rsidRPr="00233A55">
              <w:rPr>
                <w:rFonts w:ascii="Times New Roman" w:eastAsia="Times New Roman" w:hAnsi="Times New Roman" w:cs="Times New Roman"/>
                <w:sz w:val="20"/>
                <w:szCs w:val="20"/>
                <w:lang w:eastAsia="lv-LV"/>
              </w:rPr>
              <w:t>m</w:t>
            </w:r>
            <w:r w:rsidR="00675196" w:rsidRPr="00233A55">
              <w:rPr>
                <w:rFonts w:ascii="Times New Roman" w:eastAsia="Times New Roman" w:hAnsi="Times New Roman" w:cs="Times New Roman"/>
                <w:sz w:val="20"/>
                <w:szCs w:val="20"/>
                <w:vertAlign w:val="superscript"/>
                <w:lang w:eastAsia="lv-LV"/>
              </w:rPr>
              <w:t>2</w:t>
            </w:r>
            <w:r w:rsidR="00675196" w:rsidRPr="00233A55">
              <w:rPr>
                <w:rFonts w:ascii="Times New Roman" w:eastAsia="Times New Roman" w:hAnsi="Times New Roman" w:cs="Times New Roman"/>
                <w:sz w:val="20"/>
                <w:szCs w:val="20"/>
              </w:rPr>
              <w:t>.</w:t>
            </w:r>
          </w:p>
          <w:p w14:paraId="4F5BB08A" w14:textId="7DCE956B" w:rsidR="00675196" w:rsidRPr="00233A55" w:rsidRDefault="0067519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No VARAM 2020. gada aprīlī veiktās pašvaldību aptaujas aprēķinātas kopējās pašvaldību plānotās ēku energoefektivitātes paaugstināšanas investīciju izmaksas uz vienu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 333 eiro, savukārt 4.2.2. SAM</w:t>
            </w:r>
            <w:r w:rsidRPr="00233A55">
              <w:rPr>
                <w:rStyle w:val="FootnoteReference"/>
                <w:rFonts w:ascii="Times New Roman" w:eastAsia="Times New Roman" w:hAnsi="Times New Roman" w:cs="Times New Roman"/>
                <w:sz w:val="20"/>
                <w:szCs w:val="20"/>
              </w:rPr>
              <w:footnoteReference w:id="11"/>
            </w:r>
            <w:r w:rsidRPr="00233A55">
              <w:rPr>
                <w:rFonts w:ascii="Times New Roman" w:eastAsia="Times New Roman" w:hAnsi="Times New Roman" w:cs="Times New Roman"/>
                <w:sz w:val="20"/>
                <w:szCs w:val="20"/>
              </w:rPr>
              <w:t xml:space="preserve"> 85 pabeigto projektu ietvaros par ERAF finansējumu 23 050 481 EUR apmērā (attiecināmās izmaksas – 33 522 172 EUR, kopējās izmaksas – 56 988 469 EUR) atjaunotas ēkas 152 826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platībā, kas nozīmē, ka vidēji uz vienu atjaunoto ēkas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ieguldīti 373 EUR projekta kopējo izmaksu un 219 EUR projekta attiecināmo izmaksu, </w:t>
            </w:r>
            <w:r w:rsidRPr="00233A55">
              <w:rPr>
                <w:rFonts w:ascii="Times New Roman" w:eastAsia="Times New Roman" w:hAnsi="Times New Roman" w:cs="Times New Roman"/>
                <w:sz w:val="20"/>
                <w:szCs w:val="20"/>
              </w:rPr>
              <w:lastRenderedPageBreak/>
              <w:t>t.sk.151 EUR ERAF līdzekļu. Ņemot vērā to, ka pēc būtības attiecināmās izmaksas salīdzinoši lielā apjomā projektos tika norādītas kā neattiecināmās izmaksas, kā arī ņemot vērā prognozējamo būvniecības izmaksu pieaugumu, VARAM aprēķinos pieņemtās izmaksas uz vienu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ir 333 eiro, kas piemērotas 2.1.1.SAM ietvaros plānotajam attiecināmo izmaksu apmēram.</w:t>
            </w:r>
          </w:p>
          <w:p w14:paraId="4DA2925D" w14:textId="77777777" w:rsidR="00675196" w:rsidRPr="00233A55" w:rsidRDefault="00675196" w:rsidP="00675196">
            <w:pPr>
              <w:jc w:val="both"/>
              <w:rPr>
                <w:rFonts w:ascii="Times New Roman" w:eastAsia="Times New Roman" w:hAnsi="Times New Roman" w:cs="Times New Roman"/>
                <w:color w:val="000000" w:themeColor="text1"/>
                <w:sz w:val="20"/>
                <w:szCs w:val="20"/>
                <w:lang w:val="lv"/>
              </w:rPr>
            </w:pPr>
          </w:p>
          <w:p w14:paraId="307FC83E" w14:textId="77777777"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IZM:</w:t>
            </w:r>
          </w:p>
          <w:p w14:paraId="42F559C1" w14:textId="02E89C2A" w:rsidR="00FF72FC" w:rsidRPr="00233A55" w:rsidRDefault="00FF72FC"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Kopējais</w:t>
            </w:r>
            <w:r w:rsidR="000F380F" w:rsidRPr="00233A55">
              <w:rPr>
                <w:rFonts w:ascii="Times New Roman" w:eastAsia="Times New Roman" w:hAnsi="Times New Roman" w:cs="Times New Roman"/>
                <w:color w:val="000000" w:themeColor="text1"/>
                <w:sz w:val="20"/>
                <w:szCs w:val="20"/>
                <w:lang w:val="lv"/>
              </w:rPr>
              <w:t xml:space="preserve"> plānotais finansējums ir 19 140 000 EUR., t.sk. </w:t>
            </w:r>
            <w:r w:rsidR="00D85D1D" w:rsidRPr="00D85D1D">
              <w:rPr>
                <w:rFonts w:ascii="Times New Roman" w:eastAsia="Times New Roman" w:hAnsi="Times New Roman" w:cs="Times New Roman"/>
                <w:color w:val="000000" w:themeColor="text1"/>
                <w:sz w:val="20"/>
                <w:szCs w:val="20"/>
                <w:lang w:val="lv"/>
              </w:rPr>
              <w:t>ES fondu finansējums (ieskaitot elastības finansējumu)</w:t>
            </w:r>
            <w:r w:rsidR="00D85D1D">
              <w:rPr>
                <w:rFonts w:ascii="Times New Roman" w:eastAsia="Times New Roman" w:hAnsi="Times New Roman" w:cs="Times New Roman"/>
                <w:color w:val="000000" w:themeColor="text1"/>
                <w:sz w:val="20"/>
                <w:szCs w:val="20"/>
                <w:lang w:val="lv"/>
              </w:rPr>
              <w:t xml:space="preserve"> </w:t>
            </w:r>
            <w:r w:rsidR="000F380F" w:rsidRPr="00233A55">
              <w:rPr>
                <w:rFonts w:ascii="Times New Roman" w:eastAsia="Times New Roman" w:hAnsi="Times New Roman" w:cs="Times New Roman"/>
                <w:color w:val="000000" w:themeColor="text1"/>
                <w:sz w:val="20"/>
                <w:szCs w:val="20"/>
                <w:lang w:val="lv"/>
              </w:rPr>
              <w:t>ERAF - 16 269</w:t>
            </w:r>
            <w:r w:rsidR="005528D1">
              <w:rPr>
                <w:rFonts w:ascii="Times New Roman" w:eastAsia="Times New Roman" w:hAnsi="Times New Roman" w:cs="Times New Roman"/>
                <w:color w:val="000000" w:themeColor="text1"/>
                <w:sz w:val="20"/>
                <w:szCs w:val="20"/>
                <w:lang w:val="lv"/>
              </w:rPr>
              <w:t> </w:t>
            </w:r>
            <w:r w:rsidR="000F380F" w:rsidRPr="00233A55">
              <w:rPr>
                <w:rFonts w:ascii="Times New Roman" w:eastAsia="Times New Roman" w:hAnsi="Times New Roman" w:cs="Times New Roman"/>
                <w:color w:val="000000" w:themeColor="text1"/>
                <w:sz w:val="20"/>
                <w:szCs w:val="20"/>
                <w:lang w:val="lv"/>
              </w:rPr>
              <w:t>000</w:t>
            </w:r>
            <w:r w:rsidR="005528D1">
              <w:rPr>
                <w:rFonts w:ascii="Times New Roman" w:eastAsia="Times New Roman" w:hAnsi="Times New Roman" w:cs="Times New Roman"/>
                <w:color w:val="000000" w:themeColor="text1"/>
                <w:sz w:val="20"/>
                <w:szCs w:val="20"/>
                <w:lang w:val="lv"/>
              </w:rPr>
              <w:t xml:space="preserve"> EUR</w:t>
            </w:r>
            <w:r w:rsidR="000F380F" w:rsidRPr="00233A55">
              <w:rPr>
                <w:rFonts w:ascii="Times New Roman" w:eastAsia="Times New Roman" w:hAnsi="Times New Roman" w:cs="Times New Roman"/>
                <w:color w:val="000000" w:themeColor="text1"/>
                <w:sz w:val="20"/>
                <w:szCs w:val="20"/>
                <w:lang w:val="lv"/>
              </w:rPr>
              <w:t xml:space="preserve">.  </w:t>
            </w:r>
          </w:p>
          <w:p w14:paraId="1635FD49" w14:textId="6B7AB1AB" w:rsidR="00CB4A32" w:rsidRDefault="00BA0874" w:rsidP="0067519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Ņemot vērā, ka p</w:t>
            </w:r>
            <w:r w:rsidRPr="00BA0874">
              <w:rPr>
                <w:rFonts w:ascii="Times New Roman" w:eastAsia="Times New Roman" w:hAnsi="Times New Roman" w:cs="Times New Roman"/>
                <w:sz w:val="20"/>
                <w:szCs w:val="20"/>
              </w:rPr>
              <w:t xml:space="preserve">asākuma ietvaros kompleksās investīcijas plānotas ar mērķi nodrošināt ne tikai  profesionālās izglītības iestādes un koledžas infrastruktūras un saistīto inženiertīklu energoefektivitāti, bet arī sekmēt izglītības iestāžu viedu </w:t>
            </w:r>
            <w:proofErr w:type="spellStart"/>
            <w:r w:rsidRPr="00BA0874">
              <w:rPr>
                <w:rFonts w:ascii="Times New Roman" w:eastAsia="Times New Roman" w:hAnsi="Times New Roman" w:cs="Times New Roman"/>
                <w:sz w:val="20"/>
                <w:szCs w:val="20"/>
              </w:rPr>
              <w:t>energovadību</w:t>
            </w:r>
            <w:proofErr w:type="spellEnd"/>
            <w:r w:rsidRPr="00BA0874">
              <w:rPr>
                <w:rFonts w:ascii="Times New Roman" w:eastAsia="Times New Roman" w:hAnsi="Times New Roman" w:cs="Times New Roman"/>
                <w:sz w:val="20"/>
                <w:szCs w:val="20"/>
              </w:rPr>
              <w:t>, videi draudzīgus ilgtermiņa apsaimniekošanas risinājumus enerģijas taupīšanai vai ieguvei no atjaunojamiem resursiem, un videi draudzīgas izglītības iestādes darbības demonstrējumu iniciatīvas „zaļās politikas</w:t>
            </w:r>
            <w:r>
              <w:rPr>
                <w:rFonts w:ascii="Times New Roman" w:eastAsia="Times New Roman" w:hAnsi="Times New Roman" w:cs="Times New Roman"/>
                <w:sz w:val="20"/>
                <w:szCs w:val="20"/>
              </w:rPr>
              <w:t xml:space="preserve">” ieviešanas veidiem un pieejām, ir plānots šāds kopējā finansējuma </w:t>
            </w:r>
            <w:r w:rsidR="00CB4A32">
              <w:rPr>
                <w:rFonts w:ascii="Times New Roman" w:eastAsia="Times New Roman" w:hAnsi="Times New Roman" w:cs="Times New Roman"/>
                <w:sz w:val="20"/>
                <w:szCs w:val="20"/>
              </w:rPr>
              <w:t xml:space="preserve">indikatīvs </w:t>
            </w:r>
            <w:r>
              <w:rPr>
                <w:rFonts w:ascii="Times New Roman" w:eastAsia="Times New Roman" w:hAnsi="Times New Roman" w:cs="Times New Roman"/>
                <w:sz w:val="20"/>
                <w:szCs w:val="20"/>
              </w:rPr>
              <w:t>sadalījums</w:t>
            </w:r>
            <w:r w:rsidR="00CB4A32">
              <w:rPr>
                <w:rFonts w:ascii="Times New Roman" w:eastAsia="Times New Roman" w:hAnsi="Times New Roman" w:cs="Times New Roman"/>
                <w:sz w:val="20"/>
                <w:szCs w:val="20"/>
              </w:rPr>
              <w:t>:</w:t>
            </w:r>
          </w:p>
          <w:p w14:paraId="5CFEE8C0" w14:textId="2A9F3AAA" w:rsidR="00CB4A32" w:rsidRDefault="00C207F0" w:rsidP="0067519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19 140</w:t>
            </w:r>
            <w:r w:rsidR="005756AA">
              <w:rPr>
                <w:rFonts w:ascii="Times New Roman" w:eastAsia="Times New Roman" w:hAnsi="Times New Roman" w:cs="Times New Roman"/>
                <w:sz w:val="20"/>
                <w:szCs w:val="20"/>
              </w:rPr>
              <w:t xml:space="preserve"> 000 </w:t>
            </w:r>
            <w:r>
              <w:rPr>
                <w:rFonts w:ascii="Times New Roman" w:eastAsia="Times New Roman" w:hAnsi="Times New Roman" w:cs="Times New Roman"/>
                <w:sz w:val="20"/>
                <w:szCs w:val="20"/>
              </w:rPr>
              <w:t>EUR</w:t>
            </w:r>
            <w:r w:rsidR="005756AA">
              <w:rPr>
                <w:rFonts w:ascii="Times New Roman" w:eastAsia="Times New Roman" w:hAnsi="Times New Roman" w:cs="Times New Roman"/>
                <w:sz w:val="20"/>
                <w:szCs w:val="20"/>
              </w:rPr>
              <w:t xml:space="preserve"> x 60% = 11 484 000 EUR – pamata energoefektivitātes pasākumi;</w:t>
            </w:r>
          </w:p>
          <w:p w14:paraId="3581E6E8" w14:textId="4EB2D837" w:rsidR="005756AA" w:rsidRDefault="005756AA" w:rsidP="0067519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19 140 000 EUR x40% = 7 656 000 EUR – videi draudzīgas</w:t>
            </w:r>
            <w:r>
              <w:t xml:space="preserve"> </w:t>
            </w:r>
            <w:r w:rsidRPr="005756AA">
              <w:rPr>
                <w:rFonts w:ascii="Times New Roman" w:eastAsia="Times New Roman" w:hAnsi="Times New Roman" w:cs="Times New Roman"/>
                <w:sz w:val="20"/>
                <w:szCs w:val="20"/>
              </w:rPr>
              <w:t>izglītības iestādes darbības demonstrējumu iniciatīvas</w:t>
            </w:r>
            <w:r>
              <w:rPr>
                <w:rFonts w:ascii="Times New Roman" w:eastAsia="Times New Roman" w:hAnsi="Times New Roman" w:cs="Times New Roman"/>
                <w:sz w:val="20"/>
                <w:szCs w:val="20"/>
              </w:rPr>
              <w:t xml:space="preserve"> un administrēšanas izmaksas.</w:t>
            </w:r>
          </w:p>
          <w:p w14:paraId="25BC02B0" w14:textId="3E1D89AD" w:rsidR="00BA0874" w:rsidRDefault="00BA0874" w:rsidP="0067519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59810752" w14:textId="377B74CB" w:rsidR="00FF72FC" w:rsidRPr="00233A55" w:rsidRDefault="00BA0874" w:rsidP="00675196">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11 483 000</w:t>
            </w:r>
            <w:r w:rsidR="00FF72FC" w:rsidRPr="00233A55">
              <w:rPr>
                <w:rFonts w:ascii="Times New Roman" w:eastAsia="Times New Roman" w:hAnsi="Times New Roman" w:cs="Times New Roman"/>
                <w:sz w:val="20"/>
                <w:szCs w:val="20"/>
              </w:rPr>
              <w:t xml:space="preserve"> eiro / 500 eiro/m</w:t>
            </w:r>
            <w:r w:rsidR="00FF72FC" w:rsidRPr="00233A55">
              <w:rPr>
                <w:rFonts w:ascii="Times New Roman" w:eastAsia="Times New Roman" w:hAnsi="Times New Roman" w:cs="Times New Roman"/>
                <w:sz w:val="20"/>
                <w:szCs w:val="20"/>
                <w:vertAlign w:val="superscript"/>
              </w:rPr>
              <w:t>2</w:t>
            </w:r>
            <w:r w:rsidR="00FF72FC" w:rsidRPr="00233A55">
              <w:rPr>
                <w:rFonts w:ascii="Times New Roman" w:eastAsia="Times New Roman" w:hAnsi="Times New Roman" w:cs="Times New Roman"/>
                <w:sz w:val="20"/>
                <w:szCs w:val="20"/>
              </w:rPr>
              <w:t xml:space="preserve"> = 22 966 m</w:t>
            </w:r>
            <w:r w:rsidR="00FF72FC" w:rsidRPr="00233A55">
              <w:rPr>
                <w:rFonts w:ascii="Times New Roman" w:eastAsia="Times New Roman" w:hAnsi="Times New Roman" w:cs="Times New Roman"/>
                <w:sz w:val="20"/>
                <w:szCs w:val="20"/>
                <w:vertAlign w:val="superscript"/>
              </w:rPr>
              <w:t>2</w:t>
            </w:r>
          </w:p>
          <w:p w14:paraId="448E6065" w14:textId="55EB161A" w:rsidR="00FF72FC" w:rsidRPr="00233A55" w:rsidRDefault="00FF72FC" w:rsidP="00675196">
            <w:pPr>
              <w:jc w:val="both"/>
              <w:rPr>
                <w:rFonts w:ascii="Times New Roman" w:eastAsia="Times New Roman" w:hAnsi="Times New Roman" w:cs="Times New Roman"/>
                <w:sz w:val="20"/>
                <w:szCs w:val="20"/>
              </w:rPr>
            </w:pPr>
            <w:bookmarkStart w:id="0" w:name="_Hlk51837176"/>
            <w:r w:rsidRPr="00233A55">
              <w:rPr>
                <w:rFonts w:ascii="Times New Roman" w:eastAsia="Times New Roman" w:hAnsi="Times New Roman" w:cs="Times New Roman"/>
                <w:color w:val="000000" w:themeColor="text1"/>
                <w:sz w:val="20"/>
                <w:szCs w:val="20"/>
                <w:lang w:val="lv"/>
              </w:rPr>
              <w:t>Rādītāja sasniedzamā vērtības aprēķinā ir ņemtas vērā indikatīvās vidējās IZM padotības profesionālās izglītības iestāžu un koledžu mācību, laboratoriju un dienesta viesnīcu ēku kompleksu energoefektivitātes pasākumu vidējās indikatīvās izmaksas – 500 EUR m</w:t>
            </w:r>
            <w:r w:rsidRPr="00233A55">
              <w:rPr>
                <w:rFonts w:ascii="Times New Roman" w:eastAsia="Times New Roman" w:hAnsi="Times New Roman" w:cs="Times New Roman"/>
                <w:color w:val="000000" w:themeColor="text1"/>
                <w:sz w:val="20"/>
                <w:szCs w:val="20"/>
                <w:vertAlign w:val="superscript"/>
                <w:lang w:val="lv"/>
              </w:rPr>
              <w:t>2</w:t>
            </w:r>
            <w:r w:rsidRPr="00233A55">
              <w:rPr>
                <w:rFonts w:ascii="Times New Roman" w:eastAsia="Times New Roman" w:hAnsi="Times New Roman" w:cs="Times New Roman"/>
                <w:color w:val="000000" w:themeColor="text1"/>
                <w:sz w:val="20"/>
                <w:szCs w:val="20"/>
                <w:lang w:val="lv"/>
              </w:rPr>
              <w:t>. Izmaksu noteikšanā ņemtas vērā aktuālās, savstarpēji krasi atšķirīgās izmaksu tendences IZM profesionālās izglītības iestāžu 4.2.1.2. pasākuma</w:t>
            </w:r>
            <w:r w:rsidRPr="00233A55">
              <w:rPr>
                <w:rStyle w:val="FootnoteReference"/>
                <w:rFonts w:ascii="Times New Roman" w:eastAsia="Times New Roman" w:hAnsi="Times New Roman" w:cs="Times New Roman"/>
                <w:color w:val="000000" w:themeColor="text1"/>
                <w:sz w:val="20"/>
                <w:szCs w:val="20"/>
                <w:lang w:val="lv"/>
              </w:rPr>
              <w:footnoteReference w:id="12"/>
            </w:r>
            <w:r w:rsidRPr="00233A55">
              <w:rPr>
                <w:rFonts w:ascii="Times New Roman" w:eastAsia="Times New Roman" w:hAnsi="Times New Roman" w:cs="Times New Roman"/>
                <w:color w:val="000000" w:themeColor="text1"/>
                <w:sz w:val="20"/>
                <w:szCs w:val="20"/>
                <w:lang w:val="lv"/>
              </w:rPr>
              <w:t xml:space="preserve"> projektos, diapazonā no 212 EUR/m</w:t>
            </w:r>
            <w:r w:rsidRPr="00233A55">
              <w:rPr>
                <w:rFonts w:ascii="Times New Roman" w:eastAsia="Times New Roman" w:hAnsi="Times New Roman" w:cs="Times New Roman"/>
                <w:color w:val="000000" w:themeColor="text1"/>
                <w:sz w:val="20"/>
                <w:szCs w:val="20"/>
                <w:vertAlign w:val="superscript"/>
                <w:lang w:val="lv"/>
              </w:rPr>
              <w:t>2</w:t>
            </w:r>
            <w:r w:rsidRPr="00233A55">
              <w:rPr>
                <w:rFonts w:ascii="Times New Roman" w:eastAsia="Times New Roman" w:hAnsi="Times New Roman" w:cs="Times New Roman"/>
                <w:color w:val="000000" w:themeColor="text1"/>
                <w:sz w:val="20"/>
                <w:szCs w:val="20"/>
                <w:lang w:val="lv"/>
              </w:rPr>
              <w:t xml:space="preserve"> līdz 400 EUR/ m</w:t>
            </w:r>
            <w:r w:rsidRPr="00233A55">
              <w:rPr>
                <w:rFonts w:ascii="Times New Roman" w:eastAsia="Times New Roman" w:hAnsi="Times New Roman" w:cs="Times New Roman"/>
                <w:color w:val="000000" w:themeColor="text1"/>
                <w:sz w:val="20"/>
                <w:szCs w:val="20"/>
                <w:vertAlign w:val="superscript"/>
                <w:lang w:val="lv"/>
              </w:rPr>
              <w:t>2</w:t>
            </w:r>
            <w:r w:rsidRPr="00233A55">
              <w:rPr>
                <w:rFonts w:ascii="Times New Roman" w:eastAsia="Times New Roman" w:hAnsi="Times New Roman" w:cs="Times New Roman"/>
                <w:color w:val="000000" w:themeColor="text1"/>
                <w:sz w:val="20"/>
                <w:szCs w:val="20"/>
                <w:lang w:val="lv"/>
              </w:rPr>
              <w:t>, kā arī papildu indikatīvs izmaksu palielinājums 100 EUR/m</w:t>
            </w:r>
            <w:r w:rsidRPr="00233A55">
              <w:rPr>
                <w:rFonts w:ascii="Times New Roman" w:eastAsia="Times New Roman" w:hAnsi="Times New Roman" w:cs="Times New Roman"/>
                <w:color w:val="000000" w:themeColor="text1"/>
                <w:sz w:val="20"/>
                <w:szCs w:val="20"/>
                <w:vertAlign w:val="superscript"/>
                <w:lang w:val="lv"/>
              </w:rPr>
              <w:t>2</w:t>
            </w:r>
            <w:r w:rsidRPr="00233A55">
              <w:rPr>
                <w:rFonts w:ascii="Times New Roman" w:eastAsia="Times New Roman" w:hAnsi="Times New Roman" w:cs="Times New Roman"/>
                <w:color w:val="000000" w:themeColor="text1"/>
                <w:sz w:val="20"/>
                <w:szCs w:val="20"/>
                <w:lang w:val="lv"/>
              </w:rPr>
              <w:t xml:space="preserve"> inovatīvas, viedas </w:t>
            </w:r>
            <w:proofErr w:type="spellStart"/>
            <w:r w:rsidRPr="00233A55">
              <w:rPr>
                <w:rFonts w:ascii="Times New Roman" w:eastAsia="Times New Roman" w:hAnsi="Times New Roman" w:cs="Times New Roman"/>
                <w:color w:val="000000" w:themeColor="text1"/>
                <w:sz w:val="20"/>
                <w:szCs w:val="20"/>
                <w:lang w:val="lv"/>
              </w:rPr>
              <w:t>energovadības</w:t>
            </w:r>
            <w:proofErr w:type="spellEnd"/>
            <w:r w:rsidRPr="00233A55">
              <w:rPr>
                <w:rFonts w:ascii="Times New Roman" w:eastAsia="Times New Roman" w:hAnsi="Times New Roman" w:cs="Times New Roman"/>
                <w:color w:val="000000" w:themeColor="text1"/>
                <w:sz w:val="20"/>
                <w:szCs w:val="20"/>
                <w:lang w:val="lv"/>
              </w:rPr>
              <w:t>, videi draudzīgu ilgtermiņa apsaimniekošanas risinājumu enerģijas taupīšanai ieviešanai.</w:t>
            </w:r>
            <w:bookmarkEnd w:id="0"/>
          </w:p>
        </w:tc>
      </w:tr>
      <w:tr w:rsidR="00FF72FC" w:rsidRPr="00233A55" w14:paraId="05D0C424" w14:textId="77777777" w:rsidTr="0CF16EB4">
        <w:tc>
          <w:tcPr>
            <w:tcW w:w="1985" w:type="dxa"/>
            <w:vMerge/>
          </w:tcPr>
          <w:p w14:paraId="28915EDA" w14:textId="5384162A" w:rsidR="00FF72FC" w:rsidRPr="00233A55" w:rsidRDefault="00FF72FC" w:rsidP="00675196">
            <w:pPr>
              <w:jc w:val="both"/>
              <w:rPr>
                <w:rFonts w:ascii="Times New Roman" w:eastAsia="Times New Roman" w:hAnsi="Times New Roman" w:cs="Times New Roman"/>
                <w:b/>
                <w:bCs/>
                <w:sz w:val="20"/>
                <w:szCs w:val="20"/>
              </w:rPr>
            </w:pPr>
          </w:p>
        </w:tc>
        <w:tc>
          <w:tcPr>
            <w:tcW w:w="7513" w:type="dxa"/>
          </w:tcPr>
          <w:p w14:paraId="4E586D91" w14:textId="77777777" w:rsidR="00FF72FC" w:rsidRPr="00233A55" w:rsidRDefault="00FF72FC" w:rsidP="00675196">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Intervences loģika</w:t>
            </w:r>
          </w:p>
          <w:p w14:paraId="6A5888B8" w14:textId="09C345AE"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EM:</w:t>
            </w:r>
          </w:p>
          <w:p w14:paraId="4E9DA884" w14:textId="77777777" w:rsidR="00A80D41" w:rsidRPr="00233A55" w:rsidRDefault="00A80D41" w:rsidP="00A80D41">
            <w:pPr>
              <w:jc w:val="both"/>
              <w:rPr>
                <w:rFonts w:ascii="Times New Roman" w:eastAsia="Times New Roman" w:hAnsi="Times New Roman" w:cs="Times New Roman"/>
                <w:sz w:val="20"/>
                <w:szCs w:val="20"/>
                <w:lang w:eastAsia="lv-LV"/>
              </w:rPr>
            </w:pPr>
            <w:r w:rsidRPr="00233A55">
              <w:rPr>
                <w:rFonts w:ascii="Times New Roman" w:eastAsia="Times New Roman" w:hAnsi="Times New Roman" w:cs="Times New Roman"/>
                <w:sz w:val="20"/>
                <w:szCs w:val="20"/>
                <w:lang w:eastAsia="lv-LV"/>
              </w:rPr>
              <w:t>Ar plānotajiem ieguldījumiem paredzēts uzlabot publisko ēku stāvokli, kā arī sniegt ieguldījumu Nacionālā enerģētikas un klimata plānā noteikto mērķu sasniegšanā.</w:t>
            </w:r>
          </w:p>
          <w:p w14:paraId="60910490" w14:textId="77777777" w:rsidR="00675196" w:rsidRPr="00233A55" w:rsidRDefault="00675196" w:rsidP="00675196">
            <w:pPr>
              <w:jc w:val="both"/>
              <w:rPr>
                <w:rFonts w:ascii="Times New Roman" w:eastAsia="Times New Roman" w:hAnsi="Times New Roman" w:cs="Times New Roman"/>
                <w:color w:val="000000" w:themeColor="text1"/>
                <w:sz w:val="20"/>
                <w:szCs w:val="20"/>
                <w:lang w:val="lv"/>
              </w:rPr>
            </w:pPr>
          </w:p>
          <w:p w14:paraId="13DF0803" w14:textId="76064A2D"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VARAM:</w:t>
            </w:r>
          </w:p>
          <w:p w14:paraId="71711A92" w14:textId="77777777" w:rsidR="00675196" w:rsidRPr="00233A55" w:rsidRDefault="00675196" w:rsidP="00675196">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Ieguldījumu rezultātā tiks palielināts to publisko ēku skaits, kurām ir uzlabota energoefektivitāte, tādējādi samazinot siltumnīcefekta gāzu emisijas un risinot pielāgošanos klimata pārmaiņām. Tāpat Investīcijas dažāda veida ēkās veicinās NEKP energoefektivitātes mērķu sasniegšanu.</w:t>
            </w:r>
            <w:r w:rsidRPr="00233A55">
              <w:rPr>
                <w:rFonts w:ascii="Times New Roman" w:eastAsia="Times New Roman" w:hAnsi="Times New Roman" w:cs="Times New Roman"/>
                <w:sz w:val="20"/>
                <w:szCs w:val="20"/>
                <w:vertAlign w:val="superscript"/>
              </w:rPr>
              <w:footnoteReference w:id="13"/>
            </w:r>
            <w:r w:rsidRPr="00233A55">
              <w:rPr>
                <w:rFonts w:ascii="Times New Roman" w:eastAsia="Times New Roman" w:hAnsi="Times New Roman" w:cs="Times New Roman"/>
                <w:sz w:val="20"/>
                <w:szCs w:val="20"/>
              </w:rPr>
              <w:t xml:space="preserve"> Ieguldījumu rezultātā samazināsies pašvaldību izdevumi un atbrīvotos resursus varēs novirzīt citu pašvaldībām būtisku funkciju īstenošanai.</w:t>
            </w:r>
          </w:p>
          <w:p w14:paraId="15574142" w14:textId="77777777" w:rsidR="00675196" w:rsidRPr="00233A55" w:rsidRDefault="00675196" w:rsidP="00675196">
            <w:pPr>
              <w:jc w:val="both"/>
              <w:rPr>
                <w:rFonts w:ascii="Times New Roman" w:eastAsia="Times New Roman" w:hAnsi="Times New Roman" w:cs="Times New Roman"/>
                <w:color w:val="000000" w:themeColor="text1"/>
                <w:sz w:val="20"/>
                <w:szCs w:val="20"/>
              </w:rPr>
            </w:pPr>
          </w:p>
          <w:p w14:paraId="3B7D04AD" w14:textId="00AD59B6"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IZM:</w:t>
            </w:r>
          </w:p>
          <w:p w14:paraId="0DF0C1A6" w14:textId="763DCA0B" w:rsidR="00FF72FC" w:rsidRPr="00233A55" w:rsidRDefault="00FF72FC"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Ieguldījumu rezultātā tiks palielināts to profesionālās izglītības iestāžu un koledžu ēku skaits, kurām ir uzlabota energoefektivitāte, tādējādi samazinot siltumnīcefekta gāzu emisijas un risinot pielāgošanos klimata pārmaiņām. Ieguldījumu rezultātā samazināsies izglītības iestāžu izdevumi, un atbrīvotos resursus varēs novirzīt citu tām būtisku funkciju īstenošanai.</w:t>
            </w:r>
          </w:p>
          <w:p w14:paraId="3CD12730" w14:textId="14772CEA" w:rsidR="00FF72FC" w:rsidRPr="00233A55" w:rsidRDefault="00FF72FC" w:rsidP="00385AB6">
            <w:pPr>
              <w:jc w:val="both"/>
              <w:rPr>
                <w:rFonts w:ascii="Times New Roman" w:eastAsia="Times New Roman" w:hAnsi="Times New Roman" w:cs="Times New Roman"/>
                <w:sz w:val="20"/>
                <w:szCs w:val="20"/>
                <w:lang w:val="lv"/>
              </w:rPr>
            </w:pPr>
            <w:r w:rsidRPr="00233A55">
              <w:rPr>
                <w:rFonts w:ascii="Times New Roman" w:eastAsia="Times New Roman" w:hAnsi="Times New Roman" w:cs="Times New Roman"/>
                <w:color w:val="000000" w:themeColor="text1"/>
                <w:sz w:val="20"/>
                <w:szCs w:val="20"/>
                <w:lang w:val="lv"/>
              </w:rPr>
              <w:t>Ņemot vērā, ka sabiedrisko ēku atjaunošanas izmaksas ir augstākas nekā privātajā sektorā un ir sarežģītāka ēku kompleksa saimnieciskā sakārtošana, jo esošo programmu atbalstāmo darbību koncentrācija pamatā vērsta ēku energoefektivitātes uzlabošanai, kā arī nozaru iekšienē ir grūti atrast finansējumu neattiecināmo izmaksu segšanai, nepieciešams līdzsvarot energoefektivitāti ar integrētu atjaunošanu.</w:t>
            </w:r>
            <w:bookmarkStart w:id="1" w:name="_Hlk51837437"/>
            <w:r w:rsidRPr="00233A55">
              <w:rPr>
                <w:rFonts w:ascii="Times New Roman" w:eastAsia="Times New Roman" w:hAnsi="Times New Roman" w:cs="Times New Roman"/>
                <w:sz w:val="20"/>
                <w:szCs w:val="20"/>
                <w:lang w:val="lv"/>
              </w:rPr>
              <w:t xml:space="preserve"> Potenciālie finansējuma saņēmēji tiks noteikti, paredzot priekšrocības profesionālās izglītības iestādēm un koledžām, kuru metodiskās jomas saistītas vai atbilstošas videi draudzīgas izglītības iestādes darbības demonstrējumu iniciatīvām. </w:t>
            </w:r>
          </w:p>
          <w:p w14:paraId="6BF08950" w14:textId="2927718B" w:rsidR="00FF72FC" w:rsidRPr="00233A55" w:rsidRDefault="00FF72FC" w:rsidP="00675196">
            <w:pPr>
              <w:jc w:val="both"/>
              <w:rPr>
                <w:rFonts w:ascii="Times New Roman" w:eastAsia="Times New Roman" w:hAnsi="Times New Roman" w:cs="Times New Roman"/>
                <w:sz w:val="20"/>
                <w:szCs w:val="20"/>
              </w:rPr>
            </w:pPr>
            <w:bookmarkStart w:id="2" w:name="_Hlk51837609"/>
            <w:bookmarkEnd w:id="1"/>
            <w:r w:rsidRPr="00233A55">
              <w:rPr>
                <w:rFonts w:ascii="Times New Roman" w:eastAsia="Times New Roman" w:hAnsi="Times New Roman" w:cs="Times New Roman"/>
                <w:color w:val="000000" w:themeColor="text1"/>
                <w:sz w:val="20"/>
                <w:szCs w:val="20"/>
                <w:lang w:val="lv"/>
              </w:rPr>
              <w:t>Potenciālie finansējuma saņēmēji noteikti, balstoties uz ES fondu plānošanas perioda 2014.-2020. gada darbības programmas "Izaugsme un nodarbinātība" 8.1.3. un 8.1.4.  specifiskā atbalsta mērķa ietvaros veikto ieguldījumu izvērtējumu, paredzot priekšrocības PIKC, kuru metodiskās jomas saistītas vai atbilstošas videi draudzīgas izglītības iestādes darbības demonstrējumu iniciatīvām.</w:t>
            </w:r>
            <w:bookmarkEnd w:id="2"/>
          </w:p>
        </w:tc>
      </w:tr>
      <w:tr w:rsidR="00FF72FC" w:rsidRPr="00233A55" w14:paraId="50843D9D" w14:textId="77777777" w:rsidTr="0CF16EB4">
        <w:tc>
          <w:tcPr>
            <w:tcW w:w="1985" w:type="dxa"/>
            <w:vMerge/>
          </w:tcPr>
          <w:p w14:paraId="7063F9E4" w14:textId="77777777" w:rsidR="00FF72FC" w:rsidRPr="00233A55" w:rsidRDefault="00FF72FC" w:rsidP="00675196">
            <w:pPr>
              <w:jc w:val="both"/>
              <w:rPr>
                <w:rFonts w:ascii="Times New Roman" w:eastAsia="Times New Roman" w:hAnsi="Times New Roman" w:cs="Times New Roman"/>
                <w:b/>
                <w:bCs/>
                <w:sz w:val="20"/>
                <w:szCs w:val="20"/>
              </w:rPr>
            </w:pPr>
          </w:p>
        </w:tc>
        <w:tc>
          <w:tcPr>
            <w:tcW w:w="7513" w:type="dxa"/>
          </w:tcPr>
          <w:p w14:paraId="6454FC79" w14:textId="77777777" w:rsidR="00FF72FC" w:rsidRPr="00233A55" w:rsidRDefault="00FF72FC" w:rsidP="00675196">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Iespējamie riski</w:t>
            </w:r>
          </w:p>
          <w:p w14:paraId="2502D52C" w14:textId="017E6D4A"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EM:</w:t>
            </w:r>
          </w:p>
          <w:p w14:paraId="7867A287" w14:textId="77777777" w:rsidR="00A80D41" w:rsidRPr="00233A55" w:rsidRDefault="00A80D41" w:rsidP="00A80D41">
            <w:pPr>
              <w:jc w:val="both"/>
              <w:rPr>
                <w:rFonts w:ascii="Times New Roman" w:eastAsia="Times New Roman" w:hAnsi="Times New Roman" w:cs="Times New Roman"/>
                <w:sz w:val="20"/>
                <w:szCs w:val="20"/>
                <w:lang w:eastAsia="lv-LV"/>
              </w:rPr>
            </w:pPr>
            <w:r w:rsidRPr="00233A55">
              <w:rPr>
                <w:rFonts w:ascii="Times New Roman" w:eastAsia="Times New Roman" w:hAnsi="Times New Roman" w:cs="Times New Roman"/>
                <w:sz w:val="20"/>
                <w:szCs w:val="20"/>
                <w:lang w:eastAsia="lv-LV"/>
              </w:rPr>
              <w:t>Pastāv būvniecības izmaksu palielināšanās risks, kas par noteikto summu ļautu atjaunot mazāku kvadrātmetru skaitu.</w:t>
            </w:r>
          </w:p>
          <w:p w14:paraId="4979998F" w14:textId="77777777" w:rsidR="00675196" w:rsidRPr="00233A55" w:rsidRDefault="00675196" w:rsidP="00675196">
            <w:pPr>
              <w:jc w:val="both"/>
              <w:rPr>
                <w:rFonts w:ascii="Times New Roman" w:eastAsia="Times New Roman" w:hAnsi="Times New Roman" w:cs="Times New Roman"/>
                <w:color w:val="000000" w:themeColor="text1"/>
                <w:sz w:val="20"/>
                <w:szCs w:val="20"/>
                <w:lang w:val="lv"/>
              </w:rPr>
            </w:pPr>
          </w:p>
          <w:p w14:paraId="622140FE" w14:textId="0934CBC2" w:rsidR="00675196" w:rsidRPr="00233A55" w:rsidRDefault="00675196" w:rsidP="00675196">
            <w:pPr>
              <w:jc w:val="both"/>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VARAM:</w:t>
            </w:r>
          </w:p>
          <w:p w14:paraId="254E1056" w14:textId="16B4C829" w:rsidR="00675196" w:rsidRPr="00233A55" w:rsidRDefault="00675196" w:rsidP="00675196">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Iespējams, datu neprecizitātes risks, ko var novērst, aicinot pašvaldības iesniegt detalizētu informāciju atbilstoši ēku </w:t>
            </w:r>
            <w:proofErr w:type="spellStart"/>
            <w:r w:rsidRPr="00233A55">
              <w:rPr>
                <w:rFonts w:ascii="Times New Roman" w:eastAsia="Times New Roman" w:hAnsi="Times New Roman" w:cs="Times New Roman"/>
                <w:sz w:val="20"/>
                <w:szCs w:val="20"/>
              </w:rPr>
              <w:t>energosertifikātos</w:t>
            </w:r>
            <w:proofErr w:type="spellEnd"/>
            <w:r w:rsidRPr="00233A55">
              <w:rPr>
                <w:rFonts w:ascii="Times New Roman" w:eastAsia="Times New Roman" w:hAnsi="Times New Roman" w:cs="Times New Roman"/>
                <w:sz w:val="20"/>
                <w:szCs w:val="20"/>
              </w:rPr>
              <w:t xml:space="preserve"> norādītajam.</w:t>
            </w:r>
          </w:p>
          <w:p w14:paraId="306F96DA" w14:textId="77777777" w:rsidR="00675196" w:rsidRPr="00233A55" w:rsidRDefault="00675196" w:rsidP="00675196">
            <w:pPr>
              <w:jc w:val="both"/>
              <w:rPr>
                <w:rFonts w:ascii="Times New Roman" w:eastAsia="Times New Roman" w:hAnsi="Times New Roman" w:cs="Times New Roman"/>
                <w:sz w:val="20"/>
                <w:szCs w:val="20"/>
              </w:rPr>
            </w:pPr>
          </w:p>
          <w:p w14:paraId="16E5D5F6" w14:textId="4F9DE1CA" w:rsidR="00675196" w:rsidRPr="00233A55" w:rsidRDefault="00675196" w:rsidP="00675196">
            <w:pPr>
              <w:rPr>
                <w:rFonts w:ascii="Times New Roman" w:eastAsia="Times New Roman" w:hAnsi="Times New Roman" w:cs="Times New Roman"/>
                <w:color w:val="000000" w:themeColor="text1"/>
                <w:sz w:val="20"/>
                <w:szCs w:val="20"/>
                <w:lang w:val="lv"/>
              </w:rPr>
            </w:pPr>
            <w:r w:rsidRPr="00233A55">
              <w:rPr>
                <w:rFonts w:ascii="Times New Roman" w:eastAsia="Times New Roman" w:hAnsi="Times New Roman" w:cs="Times New Roman"/>
                <w:color w:val="000000" w:themeColor="text1"/>
                <w:sz w:val="20"/>
                <w:szCs w:val="20"/>
                <w:lang w:val="lv"/>
              </w:rPr>
              <w:t>IZM:</w:t>
            </w:r>
          </w:p>
          <w:p w14:paraId="4676A427" w14:textId="364A98BF" w:rsidR="00FF72FC" w:rsidRPr="00233A55" w:rsidRDefault="00FF72FC" w:rsidP="00675196">
            <w:pPr>
              <w:rPr>
                <w:rFonts w:ascii="Times New Roman" w:eastAsia="Times New Roman" w:hAnsi="Times New Roman" w:cs="Times New Roman"/>
                <w:sz w:val="20"/>
                <w:szCs w:val="20"/>
              </w:rPr>
            </w:pPr>
            <w:r w:rsidRPr="00233A55">
              <w:rPr>
                <w:rFonts w:ascii="Times New Roman" w:eastAsia="Times New Roman" w:hAnsi="Times New Roman" w:cs="Times New Roman"/>
                <w:color w:val="000000" w:themeColor="text1"/>
                <w:sz w:val="20"/>
                <w:szCs w:val="20"/>
                <w:lang w:val="lv"/>
              </w:rPr>
              <w:t>Nozaru reformas, stratēģisko uzstādījumu, uzsvaru maiņa reformu, ārkārtas u.c. situāciju ietekmē, plānoto darbību izmaksu pieaugums</w:t>
            </w:r>
            <w:r w:rsidR="00385AB6">
              <w:rPr>
                <w:rFonts w:ascii="Times New Roman" w:eastAsia="Times New Roman" w:hAnsi="Times New Roman" w:cs="Times New Roman"/>
                <w:color w:val="000000" w:themeColor="text1"/>
                <w:sz w:val="20"/>
                <w:szCs w:val="20"/>
                <w:lang w:val="lv"/>
              </w:rPr>
              <w:t xml:space="preserve">, </w:t>
            </w:r>
            <w:r w:rsidR="00385AB6" w:rsidRPr="00233A55">
              <w:rPr>
                <w:rFonts w:ascii="Times New Roman" w:eastAsia="Times New Roman" w:hAnsi="Times New Roman" w:cs="Times New Roman"/>
                <w:sz w:val="20"/>
                <w:szCs w:val="20"/>
                <w:lang w:eastAsia="lv-LV"/>
              </w:rPr>
              <w:t>kas par noteikto summu ļautu atjaunot mazāku kvadrātmetru skaitu.</w:t>
            </w:r>
            <w:r w:rsidRPr="00233A55">
              <w:rPr>
                <w:rFonts w:ascii="Times New Roman" w:eastAsia="Times New Roman" w:hAnsi="Times New Roman" w:cs="Times New Roman"/>
                <w:color w:val="000000" w:themeColor="text1"/>
                <w:sz w:val="20"/>
                <w:szCs w:val="20"/>
                <w:lang w:val="lv"/>
              </w:rPr>
              <w:t xml:space="preserve">. </w:t>
            </w:r>
            <w:r w:rsidRPr="00233A55">
              <w:rPr>
                <w:rFonts w:ascii="Times New Roman" w:eastAsia="Times New Roman" w:hAnsi="Times New Roman" w:cs="Times New Roman"/>
                <w:sz w:val="20"/>
                <w:szCs w:val="20"/>
              </w:rPr>
              <w:t xml:space="preserve">Iespējams datu neprecizitātes risks, ko var novērst, aicinot profesionālās izglītības iestādes un koledžas iesniegt detalizētu informāciju, atbilstoši ēku </w:t>
            </w:r>
            <w:proofErr w:type="spellStart"/>
            <w:r w:rsidRPr="00233A55">
              <w:rPr>
                <w:rFonts w:ascii="Times New Roman" w:eastAsia="Times New Roman" w:hAnsi="Times New Roman" w:cs="Times New Roman"/>
                <w:sz w:val="20"/>
                <w:szCs w:val="20"/>
              </w:rPr>
              <w:t>energosertifikātos</w:t>
            </w:r>
            <w:proofErr w:type="spellEnd"/>
            <w:r w:rsidRPr="00233A55">
              <w:rPr>
                <w:rFonts w:ascii="Times New Roman" w:eastAsia="Times New Roman" w:hAnsi="Times New Roman" w:cs="Times New Roman"/>
                <w:sz w:val="20"/>
                <w:szCs w:val="20"/>
              </w:rPr>
              <w:t xml:space="preserve"> norādītajam.</w:t>
            </w:r>
          </w:p>
        </w:tc>
      </w:tr>
      <w:tr w:rsidR="00236F16" w:rsidRPr="00233A55" w14:paraId="65286E59" w14:textId="77777777" w:rsidTr="0CF16EB4">
        <w:tc>
          <w:tcPr>
            <w:tcW w:w="1985" w:type="dxa"/>
          </w:tcPr>
          <w:p w14:paraId="0CC70238" w14:textId="2E38A40C" w:rsidR="00236F16" w:rsidRPr="00233A55" w:rsidRDefault="00236F16" w:rsidP="00675196">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 xml:space="preserve">Rādītāja sasniegšana </w:t>
            </w:r>
          </w:p>
        </w:tc>
        <w:tc>
          <w:tcPr>
            <w:tcW w:w="7513" w:type="dxa"/>
          </w:tcPr>
          <w:p w14:paraId="0639741F" w14:textId="325CF017" w:rsidR="00D44F18" w:rsidRPr="00233A55" w:rsidRDefault="00236F16" w:rsidP="00675196">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Apstiprināts maksājuma pieprasījums, ar kuru tiek apstiprināti arī sasniegtie rādītāji</w:t>
            </w:r>
            <w:r w:rsidR="00623012" w:rsidRPr="00233A55">
              <w:rPr>
                <w:rFonts w:ascii="Times New Roman" w:eastAsia="Times New Roman" w:hAnsi="Times New Roman" w:cs="Times New Roman"/>
                <w:sz w:val="20"/>
                <w:szCs w:val="20"/>
              </w:rPr>
              <w:t xml:space="preserve">, ko apliecina </w:t>
            </w:r>
            <w:proofErr w:type="spellStart"/>
            <w:r w:rsidR="00623012" w:rsidRPr="00233A55">
              <w:rPr>
                <w:rFonts w:ascii="Times New Roman" w:eastAsia="Times New Roman" w:hAnsi="Times New Roman" w:cs="Times New Roman"/>
                <w:sz w:val="20"/>
                <w:szCs w:val="20"/>
              </w:rPr>
              <w:t>energosertifikāts</w:t>
            </w:r>
            <w:proofErr w:type="spellEnd"/>
            <w:r w:rsidR="00623012" w:rsidRPr="00233A55">
              <w:rPr>
                <w:rFonts w:ascii="Times New Roman" w:eastAsia="Times New Roman" w:hAnsi="Times New Roman" w:cs="Times New Roman"/>
                <w:sz w:val="20"/>
                <w:szCs w:val="20"/>
              </w:rPr>
              <w:t xml:space="preserve">. </w:t>
            </w:r>
          </w:p>
        </w:tc>
      </w:tr>
    </w:tbl>
    <w:p w14:paraId="613C258A" w14:textId="641CDA4F" w:rsidR="00FB358F" w:rsidRPr="00233A55" w:rsidRDefault="00236F16" w:rsidP="00546916">
      <w:pPr>
        <w:spacing w:after="0" w:line="240" w:lineRule="auto"/>
        <w:jc w:val="center"/>
        <w:rPr>
          <w:rFonts w:ascii="Times New Roman" w:hAnsi="Times New Roman" w:cs="Times New Roman"/>
        </w:rPr>
      </w:pPr>
      <w:r w:rsidRPr="00233A55">
        <w:rPr>
          <w:rFonts w:ascii="Times New Roman" w:hAnsi="Times New Roman" w:cs="Times New Roman"/>
        </w:rPr>
        <w:br/>
      </w:r>
    </w:p>
    <w:p w14:paraId="41EFFA4A" w14:textId="339E3848" w:rsidR="00FF72FC" w:rsidRPr="00233A55" w:rsidRDefault="00FF72FC" w:rsidP="00546916">
      <w:pPr>
        <w:spacing w:after="0" w:line="240" w:lineRule="auto"/>
        <w:jc w:val="center"/>
        <w:rPr>
          <w:rFonts w:ascii="Times New Roman" w:hAnsi="Times New Roman" w:cs="Times New Roman"/>
        </w:rPr>
      </w:pPr>
    </w:p>
    <w:p w14:paraId="57E1E285" w14:textId="08C569CE" w:rsidR="00FF72FC" w:rsidRPr="00233A55" w:rsidRDefault="00FF72FC" w:rsidP="00546916">
      <w:pPr>
        <w:spacing w:after="0" w:line="240" w:lineRule="auto"/>
        <w:jc w:val="center"/>
        <w:rPr>
          <w:rFonts w:ascii="Times New Roman" w:hAnsi="Times New Roman" w:cs="Times New Roman"/>
        </w:rPr>
      </w:pPr>
    </w:p>
    <w:p w14:paraId="1878BC09" w14:textId="77777777" w:rsidR="00DD1195" w:rsidRPr="00233A55" w:rsidRDefault="00DD1195" w:rsidP="00546916">
      <w:pPr>
        <w:spacing w:after="0" w:line="240" w:lineRule="auto"/>
        <w:jc w:val="center"/>
        <w:rPr>
          <w:rFonts w:ascii="Times New Roman" w:hAnsi="Times New Roman" w:cs="Times New Roman"/>
        </w:rPr>
      </w:pPr>
    </w:p>
    <w:p w14:paraId="38360DF1" w14:textId="77777777" w:rsidR="00236F16" w:rsidRPr="00233A55" w:rsidRDefault="00236F16" w:rsidP="00236F16">
      <w:pPr>
        <w:spacing w:after="0" w:line="240" w:lineRule="auto"/>
        <w:jc w:val="center"/>
        <w:rPr>
          <w:rFonts w:ascii="Times New Roman" w:eastAsia="Times New Roman" w:hAnsi="Times New Roman" w:cs="Times New Roman"/>
          <w:b/>
          <w:bCs/>
        </w:rPr>
      </w:pPr>
    </w:p>
    <w:p w14:paraId="0CC1A90D" w14:textId="77777777" w:rsidR="00236F16" w:rsidRPr="00233A55" w:rsidRDefault="00236F16" w:rsidP="00236F16">
      <w:pPr>
        <w:spacing w:after="0" w:line="240" w:lineRule="auto"/>
        <w:ind w:left="720"/>
        <w:contextualSpacing/>
        <w:jc w:val="both"/>
        <w:rPr>
          <w:rFonts w:ascii="Times New Roman" w:eastAsia="Times New Roman" w:hAnsi="Times New Roman" w:cs="Times New Roman"/>
          <w:b/>
          <w:color w:val="000000" w:themeColor="text1"/>
        </w:rPr>
      </w:pPr>
    </w:p>
    <w:tbl>
      <w:tblPr>
        <w:tblStyle w:val="TableGrid2"/>
        <w:tblW w:w="0" w:type="auto"/>
        <w:tblInd w:w="-714" w:type="dxa"/>
        <w:tblLook w:val="04A0" w:firstRow="1" w:lastRow="0" w:firstColumn="1" w:lastColumn="0" w:noHBand="0" w:noVBand="1"/>
      </w:tblPr>
      <w:tblGrid>
        <w:gridCol w:w="1985"/>
        <w:gridCol w:w="7513"/>
      </w:tblGrid>
      <w:tr w:rsidR="00236F16" w:rsidRPr="00233A55" w14:paraId="36F919C2" w14:textId="77777777" w:rsidTr="66C95113">
        <w:tc>
          <w:tcPr>
            <w:tcW w:w="1985" w:type="dxa"/>
          </w:tcPr>
          <w:p w14:paraId="7C7F0AAC" w14:textId="77777777" w:rsidR="00236F16" w:rsidRPr="00233A55" w:rsidRDefault="00236F16"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Rādītāja Nr.</w:t>
            </w:r>
            <w:r w:rsidRPr="00233A55">
              <w:rPr>
                <w:rFonts w:ascii="Times New Roman" w:eastAsia="Times New Roman" w:hAnsi="Times New Roman" w:cs="Times New Roman"/>
                <w:sz w:val="20"/>
                <w:szCs w:val="20"/>
              </w:rPr>
              <w:t xml:space="preserve"> (ID)</w:t>
            </w:r>
          </w:p>
        </w:tc>
        <w:tc>
          <w:tcPr>
            <w:tcW w:w="7513" w:type="dxa"/>
          </w:tcPr>
          <w:p w14:paraId="30C9561B" w14:textId="1FB81A32" w:rsidR="00236F16" w:rsidRPr="00233A55" w:rsidRDefault="00236F16" w:rsidP="003442BE">
            <w:pPr>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RCR 26</w:t>
            </w:r>
            <w:r w:rsidR="008C482D" w:rsidRPr="00233A55">
              <w:rPr>
                <w:rFonts w:ascii="Times New Roman" w:eastAsia="Times New Roman" w:hAnsi="Times New Roman" w:cs="Times New Roman"/>
                <w:b/>
                <w:bCs/>
                <w:sz w:val="20"/>
                <w:szCs w:val="20"/>
              </w:rPr>
              <w:t xml:space="preserve"> (EM,VARAM</w:t>
            </w:r>
            <w:r w:rsidR="2117FB16" w:rsidRPr="00233A55">
              <w:rPr>
                <w:rFonts w:ascii="Times New Roman" w:eastAsia="Times New Roman" w:hAnsi="Times New Roman" w:cs="Times New Roman"/>
                <w:b/>
                <w:bCs/>
                <w:sz w:val="20"/>
                <w:szCs w:val="20"/>
              </w:rPr>
              <w:t>, IZM</w:t>
            </w:r>
            <w:r w:rsidR="008C482D" w:rsidRPr="00233A55">
              <w:rPr>
                <w:rFonts w:ascii="Times New Roman" w:eastAsia="Times New Roman" w:hAnsi="Times New Roman" w:cs="Times New Roman"/>
                <w:b/>
                <w:bCs/>
                <w:sz w:val="20"/>
                <w:szCs w:val="20"/>
              </w:rPr>
              <w:t>)</w:t>
            </w:r>
          </w:p>
        </w:tc>
      </w:tr>
      <w:tr w:rsidR="00236F16" w:rsidRPr="00233A55" w14:paraId="2BE32684" w14:textId="77777777" w:rsidTr="66C95113">
        <w:tc>
          <w:tcPr>
            <w:tcW w:w="1985" w:type="dxa"/>
          </w:tcPr>
          <w:p w14:paraId="694E7EA4" w14:textId="5852AAF0" w:rsidR="00236F16" w:rsidRPr="00233A55" w:rsidRDefault="00236F16" w:rsidP="003442BE">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Rādītāja nosaukums</w:t>
            </w:r>
          </w:p>
        </w:tc>
        <w:tc>
          <w:tcPr>
            <w:tcW w:w="7513" w:type="dxa"/>
          </w:tcPr>
          <w:p w14:paraId="7A32AF6C" w14:textId="77777777" w:rsidR="00236F16" w:rsidRPr="00233A55" w:rsidRDefault="00236F16"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Primārais enerģijas ikgadējais patēriņš (no tā: mājokļi, publiskās ēkas, uzņēmumi, citi)</w:t>
            </w:r>
          </w:p>
          <w:p w14:paraId="7B5F8F5F" w14:textId="77777777" w:rsidR="003442BE" w:rsidRPr="00233A55" w:rsidRDefault="003442BE" w:rsidP="003442BE">
            <w:pPr>
              <w:rPr>
                <w:rFonts w:ascii="Times New Roman" w:eastAsia="Times New Roman" w:hAnsi="Times New Roman" w:cs="Times New Roman"/>
                <w:sz w:val="20"/>
                <w:szCs w:val="20"/>
              </w:rPr>
            </w:pPr>
          </w:p>
          <w:p w14:paraId="3026BFC1" w14:textId="2D1AE212"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Rādītāja ietvaros:</w:t>
            </w:r>
          </w:p>
          <w:p w14:paraId="48CF26EC"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EM: Ieguldījumi privātmājās un valsts ēkās.</w:t>
            </w:r>
          </w:p>
          <w:p w14:paraId="4E14F6F6" w14:textId="77777777" w:rsidR="003442BE" w:rsidRPr="00233A55" w:rsidRDefault="003442BE" w:rsidP="003442BE">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color w:val="000000" w:themeColor="text1"/>
                <w:sz w:val="20"/>
                <w:szCs w:val="20"/>
              </w:rPr>
              <w:t>VARAM: Ieguldījumi pašvaldību ēkās.</w:t>
            </w:r>
          </w:p>
          <w:p w14:paraId="035D4315" w14:textId="7729AF86"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IZM: Ieguldījumi PII un koledžu </w:t>
            </w:r>
            <w:r w:rsidRPr="00233A55">
              <w:rPr>
                <w:rFonts w:ascii="Times New Roman" w:hAnsi="Times New Roman" w:cs="Times New Roman"/>
                <w:sz w:val="20"/>
                <w:szCs w:val="20"/>
              </w:rPr>
              <w:t>ēkās.</w:t>
            </w:r>
          </w:p>
        </w:tc>
      </w:tr>
      <w:tr w:rsidR="00E719E8" w:rsidRPr="00233A55" w14:paraId="16FAB929" w14:textId="77777777" w:rsidTr="66C95113">
        <w:tc>
          <w:tcPr>
            <w:tcW w:w="1985" w:type="dxa"/>
          </w:tcPr>
          <w:p w14:paraId="0801AF4B" w14:textId="7C61F5F5" w:rsidR="00E719E8" w:rsidRPr="00233A55" w:rsidRDefault="00E719E8" w:rsidP="003442BE">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Rādītāja definīcija</w:t>
            </w:r>
          </w:p>
        </w:tc>
        <w:tc>
          <w:tcPr>
            <w:tcW w:w="7513" w:type="dxa"/>
          </w:tcPr>
          <w:p w14:paraId="44374A31" w14:textId="77777777" w:rsidR="00852253" w:rsidRPr="00233A55" w:rsidRDefault="00E719E8" w:rsidP="00E719E8">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Atbalstīto vienību kopējais primārās enerģijas patēriņš gadā. </w:t>
            </w:r>
          </w:p>
          <w:p w14:paraId="4EF488C2" w14:textId="7C43A930" w:rsidR="00852253" w:rsidRPr="00233A55" w:rsidRDefault="00E719E8" w:rsidP="00852253">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Bāzes </w:t>
            </w:r>
            <w:r w:rsidR="00852253" w:rsidRPr="00233A55">
              <w:rPr>
                <w:rFonts w:ascii="Times New Roman" w:eastAsia="Times New Roman" w:hAnsi="Times New Roman" w:cs="Times New Roman"/>
                <w:sz w:val="20"/>
                <w:szCs w:val="20"/>
              </w:rPr>
              <w:t>vērtība</w:t>
            </w:r>
            <w:r w:rsidRPr="00233A55">
              <w:rPr>
                <w:rFonts w:ascii="Times New Roman" w:eastAsia="Times New Roman" w:hAnsi="Times New Roman" w:cs="Times New Roman"/>
                <w:sz w:val="20"/>
                <w:szCs w:val="20"/>
              </w:rPr>
              <w:t xml:space="preserve"> attiecas uz primārās enerģijas gada patēriņu pirms </w:t>
            </w:r>
            <w:r w:rsidR="00852253" w:rsidRPr="00233A55">
              <w:rPr>
                <w:rFonts w:ascii="Times New Roman" w:eastAsia="Times New Roman" w:hAnsi="Times New Roman" w:cs="Times New Roman"/>
                <w:sz w:val="20"/>
                <w:szCs w:val="20"/>
              </w:rPr>
              <w:t>ieguldījumu uzsākšanas</w:t>
            </w:r>
            <w:r w:rsidRPr="00233A55">
              <w:rPr>
                <w:rFonts w:ascii="Times New Roman" w:eastAsia="Times New Roman" w:hAnsi="Times New Roman" w:cs="Times New Roman"/>
                <w:sz w:val="20"/>
                <w:szCs w:val="20"/>
              </w:rPr>
              <w:t xml:space="preserve">, un sasniegtā vērtība attiecas uz primārās enerģijas gada patēriņu gadā pēc </w:t>
            </w:r>
            <w:r w:rsidR="00852253" w:rsidRPr="00233A55">
              <w:rPr>
                <w:rFonts w:ascii="Times New Roman" w:eastAsia="Times New Roman" w:hAnsi="Times New Roman" w:cs="Times New Roman"/>
                <w:sz w:val="20"/>
                <w:szCs w:val="20"/>
              </w:rPr>
              <w:t>ieguldījumu veikšanas</w:t>
            </w:r>
            <w:r w:rsidRPr="00233A55">
              <w:rPr>
                <w:rFonts w:ascii="Times New Roman" w:eastAsia="Times New Roman" w:hAnsi="Times New Roman" w:cs="Times New Roman"/>
                <w:sz w:val="20"/>
                <w:szCs w:val="20"/>
              </w:rPr>
              <w:t xml:space="preserve">. </w:t>
            </w:r>
          </w:p>
          <w:p w14:paraId="4F2ACEB6" w14:textId="77777777" w:rsidR="00852253" w:rsidRPr="00233A55" w:rsidRDefault="00E719E8" w:rsidP="00852253">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Ēkām abas vērtības jādokumentē, pamatojoties uz energoefektivitātes sertifikātiem</w:t>
            </w:r>
            <w:r w:rsidR="00852253" w:rsidRPr="00233A55">
              <w:rPr>
                <w:rFonts w:ascii="Times New Roman" w:eastAsia="Times New Roman" w:hAnsi="Times New Roman" w:cs="Times New Roman"/>
                <w:sz w:val="20"/>
                <w:szCs w:val="20"/>
              </w:rPr>
              <w:t xml:space="preserve"> saskaņā ar Direktīvu 2010/31 /</w:t>
            </w:r>
            <w:r w:rsidRPr="00233A55">
              <w:rPr>
                <w:rFonts w:ascii="Times New Roman" w:eastAsia="Times New Roman" w:hAnsi="Times New Roman" w:cs="Times New Roman"/>
                <w:sz w:val="20"/>
                <w:szCs w:val="20"/>
              </w:rPr>
              <w:t xml:space="preserve">ES. </w:t>
            </w:r>
          </w:p>
          <w:p w14:paraId="43AE763C" w14:textId="433B8DD5" w:rsidR="00E719E8" w:rsidRPr="00233A55" w:rsidRDefault="00E719E8" w:rsidP="00852253">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Attiecībā uz procesiem uzņēmumos gada primārās enerģijas patēriņš ir jādokumentē, pamatojoties uz enerģijas auditiem vai citām attiecīgām tehniskām specifikācijām. Sabiedriskās ēkas ir definētas kā ēkas, kas pieder valsts</w:t>
            </w:r>
            <w:r w:rsidR="49863992" w:rsidRPr="00233A55">
              <w:rPr>
                <w:rFonts w:ascii="Times New Roman" w:eastAsia="Times New Roman" w:hAnsi="Times New Roman" w:cs="Times New Roman"/>
                <w:sz w:val="20"/>
                <w:szCs w:val="20"/>
              </w:rPr>
              <w:t xml:space="preserve"> un pašvaldību</w:t>
            </w:r>
            <w:r w:rsidRPr="00233A55">
              <w:rPr>
                <w:rFonts w:ascii="Times New Roman" w:eastAsia="Times New Roman" w:hAnsi="Times New Roman" w:cs="Times New Roman"/>
                <w:sz w:val="20"/>
                <w:szCs w:val="20"/>
              </w:rPr>
              <w:t xml:space="preserve"> iestādēm, un ēkas, kas pieder bezpeļņas organizācijai, ar nosacījumu, ka šādas struktūras tiecas sasniegt tādus vispārējas nozīmes mērķus kā izglītība, veselība, vide un transports. Piemēri ietver ēkas valsts pārvaldei, skolām, slimnīcām utt.</w:t>
            </w:r>
            <w:r w:rsidR="00852253" w:rsidRPr="00233A55">
              <w:rPr>
                <w:rStyle w:val="FootnoteReference"/>
                <w:rFonts w:ascii="Times New Roman" w:eastAsia="Times New Roman" w:hAnsi="Times New Roman" w:cs="Times New Roman"/>
                <w:sz w:val="20"/>
                <w:szCs w:val="20"/>
              </w:rPr>
              <w:footnoteReference w:id="14"/>
            </w:r>
          </w:p>
        </w:tc>
      </w:tr>
      <w:tr w:rsidR="00236F16" w:rsidRPr="00233A55" w14:paraId="259DC283" w14:textId="77777777" w:rsidTr="66C95113">
        <w:tc>
          <w:tcPr>
            <w:tcW w:w="1985" w:type="dxa"/>
          </w:tcPr>
          <w:p w14:paraId="4DA94F11" w14:textId="2FC97443" w:rsidR="00236F16" w:rsidRPr="00233A55" w:rsidRDefault="00236F16"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Rādītāja veids</w:t>
            </w:r>
            <w:r w:rsidR="00160DAD" w:rsidRPr="00233A55">
              <w:rPr>
                <w:rFonts w:ascii="Times New Roman" w:eastAsia="Times New Roman" w:hAnsi="Times New Roman" w:cs="Times New Roman"/>
                <w:sz w:val="20"/>
                <w:szCs w:val="20"/>
              </w:rPr>
              <w:t xml:space="preserve"> </w:t>
            </w:r>
          </w:p>
        </w:tc>
        <w:tc>
          <w:tcPr>
            <w:tcW w:w="7513" w:type="dxa"/>
          </w:tcPr>
          <w:p w14:paraId="734B2A2C" w14:textId="77777777" w:rsidR="00236F16" w:rsidRPr="00233A55" w:rsidRDefault="00236F16"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Rezultāta</w:t>
            </w:r>
          </w:p>
        </w:tc>
      </w:tr>
      <w:tr w:rsidR="00236F16" w:rsidRPr="00233A55" w14:paraId="0BBF377D" w14:textId="77777777" w:rsidTr="66C95113">
        <w:tc>
          <w:tcPr>
            <w:tcW w:w="1985" w:type="dxa"/>
          </w:tcPr>
          <w:p w14:paraId="03C276FD" w14:textId="1A285780" w:rsidR="00236F16" w:rsidRPr="00233A55" w:rsidRDefault="00236F16" w:rsidP="003442BE">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Rādītāja mērvienība</w:t>
            </w:r>
          </w:p>
        </w:tc>
        <w:tc>
          <w:tcPr>
            <w:tcW w:w="7513" w:type="dxa"/>
          </w:tcPr>
          <w:p w14:paraId="565B685A" w14:textId="327374ED" w:rsidR="00236F16" w:rsidRPr="00233A55" w:rsidRDefault="000009F4" w:rsidP="003442BE">
            <w:pPr>
              <w:rPr>
                <w:rFonts w:ascii="Times New Roman" w:eastAsia="Times New Roman" w:hAnsi="Times New Roman" w:cs="Times New Roman"/>
                <w:sz w:val="20"/>
                <w:szCs w:val="20"/>
              </w:rPr>
            </w:pPr>
            <w:proofErr w:type="spellStart"/>
            <w:r w:rsidRPr="00233A55">
              <w:rPr>
                <w:rFonts w:ascii="Times New Roman" w:eastAsia="Times New Roman" w:hAnsi="Times New Roman" w:cs="Times New Roman"/>
                <w:sz w:val="20"/>
                <w:szCs w:val="20"/>
              </w:rPr>
              <w:t>MWh</w:t>
            </w:r>
            <w:proofErr w:type="spellEnd"/>
            <w:r w:rsidR="00236F16" w:rsidRPr="00233A55">
              <w:rPr>
                <w:rFonts w:ascii="Times New Roman" w:eastAsia="Times New Roman" w:hAnsi="Times New Roman" w:cs="Times New Roman"/>
                <w:sz w:val="20"/>
                <w:szCs w:val="20"/>
              </w:rPr>
              <w:t>/gadā</w:t>
            </w:r>
          </w:p>
        </w:tc>
      </w:tr>
      <w:tr w:rsidR="00236F16" w:rsidRPr="00233A55" w14:paraId="4EDADDAE" w14:textId="77777777" w:rsidTr="004E6644">
        <w:tc>
          <w:tcPr>
            <w:tcW w:w="1985" w:type="dxa"/>
          </w:tcPr>
          <w:p w14:paraId="0F3D6909" w14:textId="5DAB844E" w:rsidR="00236F16" w:rsidRPr="00233A55" w:rsidRDefault="00236F16" w:rsidP="003442BE">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Bāzes (sākotnējās) vērtības gads un bāzes vērtība</w:t>
            </w:r>
          </w:p>
        </w:tc>
        <w:tc>
          <w:tcPr>
            <w:tcW w:w="7513" w:type="dxa"/>
            <w:shd w:val="clear" w:color="auto" w:fill="auto"/>
          </w:tcPr>
          <w:p w14:paraId="2E3AD931" w14:textId="6B0C529D" w:rsidR="00E76A26" w:rsidRPr="004E6644" w:rsidRDefault="00B405FE" w:rsidP="1C09F21C">
            <w:pPr>
              <w:rPr>
                <w:rFonts w:ascii="Times New Roman" w:eastAsia="Times New Roman" w:hAnsi="Times New Roman" w:cs="Times New Roman"/>
                <w:sz w:val="20"/>
                <w:szCs w:val="20"/>
              </w:rPr>
            </w:pPr>
            <w:r>
              <w:rPr>
                <w:rFonts w:ascii="Times New Roman" w:eastAsia="Times New Roman" w:hAnsi="Times New Roman" w:cs="Times New Roman"/>
                <w:sz w:val="20"/>
                <w:szCs w:val="20"/>
              </w:rPr>
              <w:t>563 570</w:t>
            </w:r>
            <w:r w:rsidR="253E8F14" w:rsidRPr="004E6644">
              <w:rPr>
                <w:rFonts w:ascii="Times New Roman" w:eastAsia="Times New Roman" w:hAnsi="Times New Roman" w:cs="Times New Roman"/>
                <w:sz w:val="20"/>
                <w:szCs w:val="20"/>
              </w:rPr>
              <w:t xml:space="preserve"> </w:t>
            </w:r>
            <w:r w:rsidR="029CDA87" w:rsidRPr="004E6644">
              <w:rPr>
                <w:rFonts w:ascii="Times New Roman" w:eastAsia="Times New Roman" w:hAnsi="Times New Roman" w:cs="Times New Roman"/>
                <w:sz w:val="20"/>
                <w:szCs w:val="20"/>
              </w:rPr>
              <w:t>(2019)</w:t>
            </w:r>
          </w:p>
          <w:p w14:paraId="2852F1B7" w14:textId="23B26864" w:rsidR="009F66EF" w:rsidRPr="004E6644" w:rsidRDefault="009F66EF" w:rsidP="003442BE">
            <w:pPr>
              <w:rPr>
                <w:rFonts w:ascii="Times New Roman" w:eastAsia="Times New Roman" w:hAnsi="Times New Roman" w:cs="Times New Roman"/>
                <w:sz w:val="20"/>
                <w:szCs w:val="20"/>
              </w:rPr>
            </w:pPr>
          </w:p>
          <w:p w14:paraId="65FF6C0C" w14:textId="1EDF6494" w:rsidR="000009F4" w:rsidRPr="004E6644" w:rsidRDefault="000009F4" w:rsidP="003442BE">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t.sk.</w:t>
            </w:r>
          </w:p>
          <w:p w14:paraId="096220D1" w14:textId="51C7911C" w:rsidR="000F5866" w:rsidRPr="004E6644" w:rsidRDefault="5084D7C7" w:rsidP="1C09F21C">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VARAM: </w:t>
            </w:r>
            <w:r w:rsidR="59257A76" w:rsidRPr="004E6644">
              <w:rPr>
                <w:rFonts w:ascii="Times New Roman" w:eastAsia="Times New Roman" w:hAnsi="Times New Roman" w:cs="Times New Roman"/>
                <w:sz w:val="20"/>
                <w:szCs w:val="20"/>
              </w:rPr>
              <w:t>213 860</w:t>
            </w:r>
            <w:r w:rsidR="43572040" w:rsidRPr="004E6644">
              <w:rPr>
                <w:rFonts w:ascii="Times New Roman" w:eastAsia="Times New Roman" w:hAnsi="Times New Roman" w:cs="Times New Roman"/>
                <w:sz w:val="20"/>
                <w:szCs w:val="20"/>
              </w:rPr>
              <w:t> </w:t>
            </w:r>
          </w:p>
          <w:p w14:paraId="7E4308C3" w14:textId="3FB542C2" w:rsidR="002138C0" w:rsidRPr="004E6644" w:rsidRDefault="002138C0" w:rsidP="003442BE">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EM: </w:t>
            </w:r>
            <w:r w:rsidR="00D90659" w:rsidRPr="004E6644">
              <w:rPr>
                <w:rFonts w:ascii="Times New Roman" w:eastAsia="Times New Roman" w:hAnsi="Times New Roman" w:cs="Times New Roman"/>
                <w:sz w:val="20"/>
                <w:szCs w:val="20"/>
              </w:rPr>
              <w:t>292 717</w:t>
            </w:r>
          </w:p>
          <w:p w14:paraId="297D816C" w14:textId="35FA6A26" w:rsidR="000F5866" w:rsidRPr="004E6644" w:rsidRDefault="25ABD05E" w:rsidP="00B405FE">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IZM: </w:t>
            </w:r>
            <w:r w:rsidR="00B405FE">
              <w:rPr>
                <w:rFonts w:ascii="Times New Roman" w:eastAsia="Times New Roman" w:hAnsi="Times New Roman" w:cs="Times New Roman"/>
                <w:sz w:val="20"/>
                <w:szCs w:val="20"/>
              </w:rPr>
              <w:t>56 993</w:t>
            </w:r>
            <w:r w:rsidRPr="004E6644">
              <w:rPr>
                <w:rFonts w:ascii="Times New Roman" w:eastAsia="Times New Roman" w:hAnsi="Times New Roman" w:cs="Times New Roman"/>
                <w:sz w:val="20"/>
                <w:szCs w:val="20"/>
              </w:rPr>
              <w:t xml:space="preserve"> </w:t>
            </w:r>
          </w:p>
        </w:tc>
      </w:tr>
      <w:tr w:rsidR="00236F16" w:rsidRPr="00233A55" w14:paraId="411D8FE2" w14:textId="77777777" w:rsidTr="004E6644">
        <w:tc>
          <w:tcPr>
            <w:tcW w:w="1985" w:type="dxa"/>
          </w:tcPr>
          <w:p w14:paraId="23EDE50A" w14:textId="3DF0F752" w:rsidR="00236F16" w:rsidRPr="00233A55" w:rsidRDefault="00236F16"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Starpposma vērtība</w:t>
            </w:r>
            <w:r w:rsidRPr="00233A55">
              <w:rPr>
                <w:rFonts w:ascii="Times New Roman" w:eastAsia="Times New Roman" w:hAnsi="Times New Roman" w:cs="Times New Roman"/>
                <w:sz w:val="20"/>
                <w:szCs w:val="20"/>
              </w:rPr>
              <w:t xml:space="preserve"> uz 31.12.2024.</w:t>
            </w:r>
          </w:p>
        </w:tc>
        <w:tc>
          <w:tcPr>
            <w:tcW w:w="7513" w:type="dxa"/>
            <w:shd w:val="clear" w:color="auto" w:fill="auto"/>
          </w:tcPr>
          <w:p w14:paraId="78787B42" w14:textId="27CEE8B7" w:rsidR="00236F16" w:rsidRPr="004E6644" w:rsidRDefault="00160DAD" w:rsidP="003442BE">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EM: 290 000</w:t>
            </w:r>
          </w:p>
        </w:tc>
      </w:tr>
      <w:tr w:rsidR="00236F16" w:rsidRPr="00233A55" w14:paraId="5C184538" w14:textId="77777777" w:rsidTr="004E6644">
        <w:tc>
          <w:tcPr>
            <w:tcW w:w="1985" w:type="dxa"/>
          </w:tcPr>
          <w:p w14:paraId="2625A326" w14:textId="77777777" w:rsidR="00236F16" w:rsidRPr="00233A55" w:rsidRDefault="00236F16"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b/>
                <w:bCs/>
                <w:sz w:val="20"/>
                <w:szCs w:val="20"/>
              </w:rPr>
              <w:t>Sasniedzamā vērtība</w:t>
            </w:r>
            <w:r w:rsidRPr="00233A55">
              <w:rPr>
                <w:rFonts w:ascii="Times New Roman" w:eastAsia="Times New Roman" w:hAnsi="Times New Roman" w:cs="Times New Roman"/>
                <w:sz w:val="20"/>
                <w:szCs w:val="20"/>
              </w:rPr>
              <w:t xml:space="preserve"> uz 31.12.2029.</w:t>
            </w:r>
          </w:p>
          <w:p w14:paraId="0CF0BEAD" w14:textId="77777777" w:rsidR="00236F16" w:rsidRPr="00233A55" w:rsidRDefault="00236F16" w:rsidP="003442BE">
            <w:pPr>
              <w:jc w:val="both"/>
              <w:rPr>
                <w:rFonts w:ascii="Times New Roman" w:eastAsia="Times New Roman" w:hAnsi="Times New Roman" w:cs="Times New Roman"/>
                <w:sz w:val="20"/>
                <w:szCs w:val="20"/>
              </w:rPr>
            </w:pPr>
          </w:p>
        </w:tc>
        <w:tc>
          <w:tcPr>
            <w:tcW w:w="7513" w:type="dxa"/>
            <w:shd w:val="clear" w:color="auto" w:fill="auto"/>
          </w:tcPr>
          <w:p w14:paraId="210EB27A" w14:textId="62C714C3" w:rsidR="00AF1E37" w:rsidRPr="004E6644" w:rsidRDefault="00D254B6" w:rsidP="1C09F21C">
            <w:pPr>
              <w:rPr>
                <w:rFonts w:ascii="Times New Roman" w:eastAsia="Times New Roman" w:hAnsi="Times New Roman" w:cs="Times New Roman"/>
                <w:sz w:val="20"/>
                <w:szCs w:val="20"/>
              </w:rPr>
            </w:pPr>
            <w:r>
              <w:rPr>
                <w:rFonts w:ascii="Times New Roman" w:eastAsia="Times New Roman" w:hAnsi="Times New Roman" w:cs="Times New Roman"/>
                <w:sz w:val="20"/>
                <w:szCs w:val="20"/>
              </w:rPr>
              <w:t>474 599</w:t>
            </w:r>
            <w:r w:rsidR="74ACE8ED" w:rsidRPr="004E6644">
              <w:rPr>
                <w:rFonts w:ascii="Times New Roman" w:eastAsia="Times New Roman" w:hAnsi="Times New Roman" w:cs="Times New Roman"/>
                <w:sz w:val="20"/>
                <w:szCs w:val="20"/>
              </w:rPr>
              <w:t xml:space="preserve"> </w:t>
            </w:r>
            <w:r w:rsidR="4628D1A8" w:rsidRPr="004E6644">
              <w:rPr>
                <w:rFonts w:ascii="Times New Roman" w:eastAsia="Times New Roman" w:hAnsi="Times New Roman" w:cs="Times New Roman"/>
                <w:sz w:val="20"/>
                <w:szCs w:val="20"/>
              </w:rPr>
              <w:t>t.sk.</w:t>
            </w:r>
          </w:p>
          <w:p w14:paraId="232DE8C5" w14:textId="4FB610A3" w:rsidR="000A4C5F" w:rsidRPr="004E6644" w:rsidRDefault="77F1651F" w:rsidP="1C09F21C">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VARAM:</w:t>
            </w:r>
            <w:r w:rsidR="36A104D5" w:rsidRPr="004E6644">
              <w:rPr>
                <w:rFonts w:ascii="Times New Roman" w:eastAsia="Times New Roman" w:hAnsi="Times New Roman" w:cs="Times New Roman"/>
                <w:sz w:val="20"/>
                <w:szCs w:val="20"/>
              </w:rPr>
              <w:t xml:space="preserve"> </w:t>
            </w:r>
            <w:r w:rsidR="76F74B4B" w:rsidRPr="004E6644">
              <w:rPr>
                <w:rFonts w:ascii="Times New Roman" w:eastAsia="Times New Roman" w:hAnsi="Times New Roman" w:cs="Times New Roman"/>
                <w:sz w:val="20"/>
                <w:szCs w:val="20"/>
              </w:rPr>
              <w:t xml:space="preserve">  </w:t>
            </w:r>
            <w:r w:rsidR="1488696F" w:rsidRPr="004E6644">
              <w:rPr>
                <w:rFonts w:ascii="Times New Roman" w:eastAsia="Times New Roman" w:hAnsi="Times New Roman" w:cs="Times New Roman"/>
                <w:sz w:val="20"/>
                <w:szCs w:val="20"/>
              </w:rPr>
              <w:t>212 908</w:t>
            </w:r>
            <w:r w:rsidR="6F5138B8" w:rsidRPr="004E6644">
              <w:rPr>
                <w:rFonts w:ascii="Times New Roman" w:eastAsia="Times New Roman" w:hAnsi="Times New Roman" w:cs="Times New Roman"/>
                <w:sz w:val="20"/>
                <w:szCs w:val="20"/>
              </w:rPr>
              <w:t xml:space="preserve"> </w:t>
            </w:r>
          </w:p>
          <w:p w14:paraId="759B1BDE" w14:textId="47C27EF6" w:rsidR="00AF79ED" w:rsidRPr="004E6644" w:rsidRDefault="00AF79ED" w:rsidP="00AF79ED">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EM:  </w:t>
            </w:r>
            <w:r w:rsidR="00D25A7F" w:rsidRPr="004E6644">
              <w:rPr>
                <w:rFonts w:ascii="Times New Roman" w:eastAsia="Times New Roman" w:hAnsi="Times New Roman" w:cs="Times New Roman"/>
                <w:sz w:val="20"/>
                <w:szCs w:val="20"/>
              </w:rPr>
              <w:t>204 902</w:t>
            </w:r>
            <w:r w:rsidR="000F380F" w:rsidRPr="004E6644">
              <w:rPr>
                <w:rFonts w:ascii="Times New Roman" w:eastAsia="Times New Roman" w:hAnsi="Times New Roman" w:cs="Times New Roman"/>
                <w:sz w:val="20"/>
                <w:szCs w:val="20"/>
              </w:rPr>
              <w:t xml:space="preserve"> </w:t>
            </w:r>
          </w:p>
          <w:p w14:paraId="0ACFAC79" w14:textId="0A745855" w:rsidR="000F5866" w:rsidRPr="004E6644" w:rsidRDefault="25ABD05E" w:rsidP="00B405FE">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IZM: </w:t>
            </w:r>
            <w:r w:rsidR="00B405FE">
              <w:rPr>
                <w:rFonts w:ascii="Times New Roman" w:eastAsia="Times New Roman" w:hAnsi="Times New Roman" w:cs="Times New Roman"/>
                <w:sz w:val="20"/>
                <w:szCs w:val="20"/>
              </w:rPr>
              <w:t>56 789</w:t>
            </w:r>
            <w:r w:rsidR="25FD4C7B" w:rsidRPr="004E6644">
              <w:rPr>
                <w:rFonts w:ascii="Times New Roman" w:eastAsia="Times New Roman" w:hAnsi="Times New Roman" w:cs="Times New Roman"/>
                <w:sz w:val="20"/>
                <w:szCs w:val="20"/>
              </w:rPr>
              <w:t xml:space="preserve"> </w:t>
            </w:r>
          </w:p>
        </w:tc>
      </w:tr>
      <w:tr w:rsidR="003442BE" w:rsidRPr="00233A55" w14:paraId="6C8F24DE" w14:textId="77777777" w:rsidTr="004E6644">
        <w:tc>
          <w:tcPr>
            <w:tcW w:w="1985" w:type="dxa"/>
            <w:vMerge w:val="restart"/>
          </w:tcPr>
          <w:p w14:paraId="2A245614" w14:textId="0D22996D" w:rsidR="003442BE" w:rsidRPr="00233A55" w:rsidRDefault="003442BE" w:rsidP="003442BE">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lastRenderedPageBreak/>
              <w:t>Pieņēmumi un aprēķini</w:t>
            </w:r>
            <w:r w:rsidRPr="00233A55">
              <w:rPr>
                <w:rStyle w:val="FootnoteReference"/>
                <w:rFonts w:ascii="Times New Roman" w:eastAsia="Times New Roman" w:hAnsi="Times New Roman" w:cs="Times New Roman"/>
                <w:b/>
                <w:bCs/>
                <w:sz w:val="20"/>
                <w:szCs w:val="20"/>
              </w:rPr>
              <w:footnoteReference w:id="15"/>
            </w:r>
          </w:p>
          <w:p w14:paraId="4F0703D9" w14:textId="5EAF4F5E" w:rsidR="003442BE" w:rsidRPr="00233A55" w:rsidRDefault="003442BE" w:rsidP="003442BE">
            <w:pPr>
              <w:jc w:val="both"/>
              <w:rPr>
                <w:rFonts w:ascii="Times New Roman" w:eastAsia="Times New Roman" w:hAnsi="Times New Roman" w:cs="Times New Roman"/>
                <w:sz w:val="20"/>
                <w:szCs w:val="20"/>
              </w:rPr>
            </w:pPr>
          </w:p>
        </w:tc>
        <w:tc>
          <w:tcPr>
            <w:tcW w:w="7513" w:type="dxa"/>
            <w:shd w:val="clear" w:color="auto" w:fill="auto"/>
          </w:tcPr>
          <w:p w14:paraId="3319949F" w14:textId="52E8A8D5" w:rsidR="003442BE" w:rsidRPr="004E6644" w:rsidRDefault="003442BE" w:rsidP="003442BE">
            <w:pPr>
              <w:jc w:val="both"/>
              <w:rPr>
                <w:rFonts w:ascii="Times New Roman" w:hAnsi="Times New Roman" w:cs="Times New Roman"/>
                <w:sz w:val="20"/>
                <w:szCs w:val="20"/>
              </w:rPr>
            </w:pPr>
            <w:r w:rsidRPr="004E6644">
              <w:rPr>
                <w:rFonts w:ascii="Times New Roman" w:hAnsi="Times New Roman" w:cs="Times New Roman"/>
                <w:b/>
                <w:bCs/>
                <w:sz w:val="20"/>
                <w:szCs w:val="20"/>
              </w:rPr>
              <w:t>Kritēriji rādītāju izvēlei</w:t>
            </w:r>
            <w:r w:rsidRPr="004E6644">
              <w:rPr>
                <w:rFonts w:ascii="Times New Roman" w:hAnsi="Times New Roman" w:cs="Times New Roman"/>
                <w:sz w:val="20"/>
                <w:szCs w:val="20"/>
              </w:rPr>
              <w:t xml:space="preserve">: 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76769CE" w14:textId="77777777" w:rsidR="003442BE" w:rsidRPr="004E6644" w:rsidRDefault="003442BE" w:rsidP="003442BE">
            <w:pPr>
              <w:numPr>
                <w:ilvl w:val="0"/>
                <w:numId w:val="13"/>
              </w:numPr>
              <w:jc w:val="both"/>
              <w:rPr>
                <w:rFonts w:ascii="Times New Roman" w:hAnsi="Times New Roman" w:cs="Times New Roman"/>
                <w:sz w:val="20"/>
                <w:szCs w:val="20"/>
              </w:rPr>
            </w:pPr>
            <w:r w:rsidRPr="004E6644">
              <w:rPr>
                <w:rFonts w:ascii="Times New Roman" w:hAnsi="Times New Roman" w:cs="Times New Roman"/>
                <w:b/>
                <w:bCs/>
                <w:sz w:val="20"/>
                <w:szCs w:val="20"/>
              </w:rPr>
              <w:t>Sasaiste</w:t>
            </w:r>
            <w:r w:rsidRPr="004E6644">
              <w:rPr>
                <w:rFonts w:ascii="Times New Roman" w:hAnsi="Times New Roman" w:cs="Times New Roman"/>
                <w:sz w:val="20"/>
                <w:szCs w:val="20"/>
              </w:rPr>
              <w:t xml:space="preserve"> </w:t>
            </w:r>
            <w:r w:rsidRPr="004E6644">
              <w:rPr>
                <w:rFonts w:ascii="Times New Roman" w:hAnsi="Times New Roman" w:cs="Times New Roman"/>
                <w:b/>
                <w:bCs/>
                <w:sz w:val="20"/>
                <w:szCs w:val="20"/>
              </w:rPr>
              <w:t>ar plānotajiem ieguldījumiem</w:t>
            </w:r>
            <w:r w:rsidRPr="004E664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5530011" w14:textId="77777777" w:rsidR="003442BE" w:rsidRPr="004E6644" w:rsidRDefault="003442BE" w:rsidP="003442BE">
            <w:pPr>
              <w:numPr>
                <w:ilvl w:val="0"/>
                <w:numId w:val="13"/>
              </w:numPr>
              <w:jc w:val="both"/>
              <w:rPr>
                <w:rFonts w:ascii="Times New Roman" w:hAnsi="Times New Roman" w:cs="Times New Roman"/>
                <w:sz w:val="20"/>
                <w:szCs w:val="20"/>
              </w:rPr>
            </w:pPr>
            <w:r w:rsidRPr="004E6644">
              <w:rPr>
                <w:rFonts w:ascii="Times New Roman" w:hAnsi="Times New Roman" w:cs="Times New Roman"/>
                <w:b/>
                <w:bCs/>
                <w:sz w:val="20"/>
                <w:szCs w:val="20"/>
              </w:rPr>
              <w:t>Būtiskums</w:t>
            </w:r>
            <w:r w:rsidRPr="004E6644">
              <w:rPr>
                <w:rFonts w:ascii="Times New Roman" w:hAnsi="Times New Roman" w:cs="Times New Roman"/>
                <w:sz w:val="20"/>
                <w:szCs w:val="20"/>
              </w:rPr>
              <w:t xml:space="preserve"> </w:t>
            </w:r>
            <w:r w:rsidRPr="004E6644">
              <w:rPr>
                <w:rFonts w:ascii="Times New Roman" w:hAnsi="Times New Roman" w:cs="Times New Roman"/>
                <w:b/>
                <w:bCs/>
                <w:sz w:val="20"/>
                <w:szCs w:val="20"/>
              </w:rPr>
              <w:t>attiecībā uz plānotajiem ieguldījumiem</w:t>
            </w:r>
            <w:r w:rsidRPr="004E664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24264E1B" w14:textId="05A98493" w:rsidR="003442BE" w:rsidRPr="004E6644" w:rsidRDefault="003442BE" w:rsidP="003442BE">
            <w:pPr>
              <w:numPr>
                <w:ilvl w:val="0"/>
                <w:numId w:val="13"/>
              </w:numPr>
              <w:jc w:val="both"/>
              <w:rPr>
                <w:rFonts w:ascii="Times New Roman" w:eastAsia="Times New Roman" w:hAnsi="Times New Roman" w:cs="Times New Roman"/>
                <w:b/>
                <w:bCs/>
                <w:sz w:val="20"/>
                <w:szCs w:val="20"/>
              </w:rPr>
            </w:pPr>
            <w:r w:rsidRPr="004E6644">
              <w:rPr>
                <w:rFonts w:ascii="Times New Roman" w:hAnsi="Times New Roman" w:cs="Times New Roman"/>
                <w:b/>
                <w:bCs/>
                <w:sz w:val="20"/>
                <w:szCs w:val="20"/>
              </w:rPr>
              <w:t>Datu pieejamība</w:t>
            </w:r>
            <w:r w:rsidRPr="004E664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3442BE" w:rsidRPr="00233A55" w14:paraId="6013CEAD" w14:textId="77777777" w:rsidTr="66C95113">
        <w:tc>
          <w:tcPr>
            <w:tcW w:w="1985" w:type="dxa"/>
            <w:vMerge/>
          </w:tcPr>
          <w:p w14:paraId="3C413623" w14:textId="77777777" w:rsidR="003442BE" w:rsidRPr="00233A55" w:rsidRDefault="003442BE" w:rsidP="003442BE">
            <w:pPr>
              <w:jc w:val="both"/>
              <w:rPr>
                <w:rFonts w:ascii="Times New Roman" w:eastAsia="Times New Roman" w:hAnsi="Times New Roman" w:cs="Times New Roman"/>
                <w:b/>
                <w:bCs/>
                <w:sz w:val="20"/>
                <w:szCs w:val="20"/>
              </w:rPr>
            </w:pPr>
          </w:p>
        </w:tc>
        <w:tc>
          <w:tcPr>
            <w:tcW w:w="7513" w:type="dxa"/>
          </w:tcPr>
          <w:p w14:paraId="1F9AA3E9" w14:textId="77777777" w:rsidR="003442BE" w:rsidRPr="00233A55" w:rsidRDefault="003442BE" w:rsidP="003442BE">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Informācijas avots</w:t>
            </w:r>
            <w:r w:rsidRPr="00233A55">
              <w:rPr>
                <w:rStyle w:val="FootnoteReference"/>
                <w:rFonts w:ascii="Times New Roman" w:hAnsi="Times New Roman" w:cs="Times New Roman"/>
                <w:b/>
                <w:bCs/>
                <w:iCs/>
                <w:sz w:val="20"/>
                <w:szCs w:val="20"/>
              </w:rPr>
              <w:footnoteReference w:id="16"/>
            </w:r>
          </w:p>
          <w:p w14:paraId="287DCA9F" w14:textId="77777777"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EM:</w:t>
            </w:r>
          </w:p>
          <w:p w14:paraId="777B4D87" w14:textId="77777777" w:rsidR="003442BE" w:rsidRPr="00233A55" w:rsidRDefault="003442BE" w:rsidP="003442BE">
            <w:pPr>
              <w:jc w:val="both"/>
              <w:rPr>
                <w:rFonts w:ascii="Times New Roman" w:hAnsi="Times New Roman" w:cs="Times New Roman"/>
                <w:sz w:val="20"/>
                <w:szCs w:val="20"/>
              </w:rPr>
            </w:pPr>
            <w:r w:rsidRPr="00233A55">
              <w:rPr>
                <w:rFonts w:ascii="Times New Roman" w:hAnsi="Times New Roman" w:cs="Times New Roman"/>
                <w:sz w:val="20"/>
                <w:szCs w:val="20"/>
              </w:rPr>
              <w:t>Projektu dati, n</w:t>
            </w:r>
            <w:r w:rsidRPr="00233A55">
              <w:rPr>
                <w:rFonts w:ascii="Times New Roman" w:eastAsia="Times New Roman" w:hAnsi="Times New Roman" w:cs="Times New Roman"/>
                <w:sz w:val="20"/>
                <w:szCs w:val="20"/>
              </w:rPr>
              <w:t>ekustamā īpašuma valsts kadastra informācijas sistēma, Būvniecības valsts kontroles biroja dati, Centrālās statistikas pārvaldes dati.</w:t>
            </w:r>
          </w:p>
          <w:p w14:paraId="1BDEDFCA" w14:textId="77777777" w:rsidR="003442BE" w:rsidRPr="00233A55" w:rsidRDefault="003442BE" w:rsidP="003442BE">
            <w:pPr>
              <w:rPr>
                <w:rFonts w:ascii="Times New Roman" w:eastAsia="Times New Roman" w:hAnsi="Times New Roman" w:cs="Times New Roman"/>
                <w:sz w:val="20"/>
                <w:szCs w:val="20"/>
              </w:rPr>
            </w:pPr>
          </w:p>
          <w:p w14:paraId="43B1EAAB" w14:textId="77777777"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VARAM:</w:t>
            </w:r>
          </w:p>
          <w:p w14:paraId="20A23FF3" w14:textId="2A5674A8" w:rsidR="003442BE" w:rsidRPr="00233A55" w:rsidRDefault="003442BE" w:rsidP="003442BE">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Projektu dati, nekustamā īpašuma valsts kadastra informācijas sistēma, Būvniecības valsts kontroles biroja dati, VARAM pašvaldību 2020. gada aprīļa aptauja par pašvaldību nepieciešamajiem ieguldījumiem ēku energoefektivitātē.</w:t>
            </w:r>
          </w:p>
          <w:p w14:paraId="1B846B2E" w14:textId="77777777" w:rsidR="003442BE" w:rsidRPr="00233A55" w:rsidRDefault="003442BE" w:rsidP="003442BE">
            <w:pPr>
              <w:rPr>
                <w:rFonts w:ascii="Times New Roman" w:eastAsia="Times New Roman" w:hAnsi="Times New Roman" w:cs="Times New Roman"/>
                <w:sz w:val="20"/>
                <w:szCs w:val="20"/>
              </w:rPr>
            </w:pPr>
          </w:p>
          <w:p w14:paraId="42107B02" w14:textId="77777777"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IZM:</w:t>
            </w:r>
          </w:p>
          <w:p w14:paraId="7643AEE5" w14:textId="77777777" w:rsidR="003442BE"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Projektu dati, nekustamā īpašuma valsts kadastra informācijas sistēma, Būvniecības valsts kontroles biroja dati.</w:t>
            </w:r>
          </w:p>
          <w:p w14:paraId="22A4A534" w14:textId="77777777" w:rsidR="004E6644" w:rsidRDefault="004E6644" w:rsidP="003442BE">
            <w:pPr>
              <w:rPr>
                <w:rFonts w:ascii="Times New Roman" w:eastAsia="Times New Roman" w:hAnsi="Times New Roman" w:cs="Times New Roman"/>
                <w:sz w:val="20"/>
                <w:szCs w:val="20"/>
              </w:rPr>
            </w:pPr>
          </w:p>
          <w:p w14:paraId="2CC6C22C" w14:textId="4062F8F2" w:rsidR="004E6644" w:rsidRPr="00233A55" w:rsidRDefault="004E6644" w:rsidP="003442BE">
            <w:pPr>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3442BE" w:rsidRPr="00233A55" w14:paraId="06C0CFD9" w14:textId="77777777" w:rsidTr="66C95113">
        <w:tc>
          <w:tcPr>
            <w:tcW w:w="1985" w:type="dxa"/>
            <w:vMerge/>
          </w:tcPr>
          <w:p w14:paraId="72ECA1A1" w14:textId="77777777" w:rsidR="003442BE" w:rsidRPr="00650F14" w:rsidRDefault="003442BE" w:rsidP="003442BE">
            <w:pPr>
              <w:jc w:val="both"/>
              <w:rPr>
                <w:rFonts w:ascii="Times New Roman" w:eastAsia="Times New Roman" w:hAnsi="Times New Roman" w:cs="Times New Roman"/>
                <w:b/>
                <w:bCs/>
                <w:sz w:val="20"/>
                <w:szCs w:val="20"/>
              </w:rPr>
            </w:pPr>
          </w:p>
        </w:tc>
        <w:tc>
          <w:tcPr>
            <w:tcW w:w="7513" w:type="dxa"/>
          </w:tcPr>
          <w:p w14:paraId="60B85180" w14:textId="77777777" w:rsidR="003442BE" w:rsidRPr="00233A55" w:rsidRDefault="003442BE" w:rsidP="003442BE">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Veiktie aprēķini un pieņēmumi, kas izmantoti aprēķiniem</w:t>
            </w:r>
          </w:p>
          <w:p w14:paraId="49963E41" w14:textId="2FA258BE"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EM:</w:t>
            </w:r>
          </w:p>
          <w:p w14:paraId="1A40CB3D" w14:textId="77777777" w:rsidR="003442BE" w:rsidRPr="00233A55" w:rsidRDefault="003442BE" w:rsidP="003442BE">
            <w:pPr>
              <w:jc w:val="both"/>
              <w:rPr>
                <w:rFonts w:ascii="Times New Roman" w:hAnsi="Times New Roman" w:cs="Times New Roman"/>
                <w:sz w:val="20"/>
                <w:szCs w:val="20"/>
              </w:rPr>
            </w:pPr>
            <w:r w:rsidRPr="00233A55">
              <w:rPr>
                <w:rFonts w:ascii="Times New Roman" w:hAnsi="Times New Roman" w:cs="Times New Roman"/>
                <w:sz w:val="20"/>
                <w:szCs w:val="20"/>
              </w:rPr>
              <w:t>Reizi gadā, apkopojot informāciju par atbalstītajiem projektiem no projektu atskaitēm/KPVIS sistēmas;</w:t>
            </w:r>
          </w:p>
          <w:p w14:paraId="42C1A95E" w14:textId="77777777" w:rsidR="003442BE" w:rsidRPr="00233A55" w:rsidRDefault="003442BE" w:rsidP="003442BE">
            <w:pPr>
              <w:jc w:val="both"/>
              <w:rPr>
                <w:rFonts w:ascii="Times New Roman" w:hAnsi="Times New Roman" w:cs="Times New Roman"/>
                <w:sz w:val="20"/>
                <w:szCs w:val="20"/>
              </w:rPr>
            </w:pPr>
          </w:p>
          <w:p w14:paraId="1A8B5C8F" w14:textId="258F4551" w:rsidR="003442BE" w:rsidRPr="00233A55" w:rsidRDefault="003442BE" w:rsidP="003442BE">
            <w:pPr>
              <w:pStyle w:val="ListParagraph"/>
              <w:numPr>
                <w:ilvl w:val="0"/>
                <w:numId w:val="22"/>
              </w:numPr>
              <w:contextualSpacing w:val="0"/>
              <w:rPr>
                <w:rFonts w:ascii="Times New Roman" w:hAnsi="Times New Roman" w:cs="Times New Roman"/>
                <w:sz w:val="20"/>
                <w:szCs w:val="20"/>
              </w:rPr>
            </w:pPr>
            <w:r w:rsidRPr="00233A55">
              <w:rPr>
                <w:rFonts w:ascii="Times New Roman" w:hAnsi="Times New Roman" w:cs="Times New Roman"/>
                <w:sz w:val="20"/>
                <w:szCs w:val="20"/>
              </w:rPr>
              <w:t>Daudzīvokļu mājas:</w:t>
            </w:r>
          </w:p>
          <w:p w14:paraId="4770A3D3" w14:textId="77777777" w:rsidR="000F380F" w:rsidRPr="00233A55" w:rsidRDefault="000F380F" w:rsidP="000E0D7B">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Bāzes vērtība primārās enerģijas patēriņam:</w:t>
            </w:r>
          </w:p>
          <w:p w14:paraId="4749BEB4" w14:textId="299F3085" w:rsidR="000F380F" w:rsidRPr="00233A55" w:rsidRDefault="00257B43" w:rsidP="000E0D7B">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746 161</w:t>
            </w:r>
            <w:r w:rsidR="000F380F" w:rsidRPr="00233A55">
              <w:rPr>
                <w:rFonts w:ascii="Times New Roman" w:eastAsia="Times New Roman" w:hAnsi="Times New Roman" w:cs="Times New Roman"/>
                <w:sz w:val="20"/>
                <w:szCs w:val="20"/>
              </w:rPr>
              <w:t xml:space="preserve"> m2 x 150 </w:t>
            </w:r>
            <w:proofErr w:type="spellStart"/>
            <w:r w:rsidR="000F380F" w:rsidRPr="00233A55">
              <w:rPr>
                <w:rFonts w:ascii="Times New Roman" w:eastAsia="Times New Roman" w:hAnsi="Times New Roman" w:cs="Times New Roman"/>
                <w:sz w:val="20"/>
                <w:szCs w:val="20"/>
              </w:rPr>
              <w:t>kWh</w:t>
            </w:r>
            <w:proofErr w:type="spellEnd"/>
            <w:r w:rsidR="000F380F" w:rsidRPr="00233A55">
              <w:rPr>
                <w:rFonts w:ascii="Times New Roman" w:eastAsia="Times New Roman" w:hAnsi="Times New Roman" w:cs="Times New Roman"/>
                <w:sz w:val="20"/>
                <w:szCs w:val="20"/>
              </w:rPr>
              <w:t xml:space="preserve">/m2 gadā = </w:t>
            </w:r>
            <w:r w:rsidRPr="00233A55">
              <w:rPr>
                <w:rFonts w:ascii="Times New Roman" w:eastAsia="Times New Roman" w:hAnsi="Times New Roman" w:cs="Times New Roman"/>
                <w:sz w:val="20"/>
                <w:szCs w:val="20"/>
              </w:rPr>
              <w:t>111 924 150</w:t>
            </w:r>
            <w:r w:rsidR="000F380F" w:rsidRPr="00233A55">
              <w:rPr>
                <w:rFonts w:ascii="Times New Roman" w:eastAsia="Times New Roman" w:hAnsi="Times New Roman" w:cs="Times New Roman"/>
                <w:sz w:val="20"/>
                <w:szCs w:val="20"/>
              </w:rPr>
              <w:t xml:space="preserve"> </w:t>
            </w:r>
            <w:proofErr w:type="spellStart"/>
            <w:r w:rsidR="000F380F" w:rsidRPr="00233A55">
              <w:rPr>
                <w:rFonts w:ascii="Times New Roman" w:eastAsia="Times New Roman" w:hAnsi="Times New Roman" w:cs="Times New Roman"/>
                <w:sz w:val="20"/>
                <w:szCs w:val="20"/>
              </w:rPr>
              <w:t>kWh</w:t>
            </w:r>
            <w:proofErr w:type="spellEnd"/>
            <w:r w:rsidR="000F380F" w:rsidRPr="00233A55">
              <w:rPr>
                <w:rFonts w:ascii="Times New Roman" w:eastAsia="Times New Roman" w:hAnsi="Times New Roman" w:cs="Times New Roman"/>
                <w:sz w:val="20"/>
                <w:szCs w:val="20"/>
              </w:rPr>
              <w:t>/gadā.</w:t>
            </w:r>
          </w:p>
          <w:p w14:paraId="7325CC30" w14:textId="77777777" w:rsidR="000F380F" w:rsidRPr="00233A55" w:rsidRDefault="000F380F" w:rsidP="000E0D7B">
            <w:pPr>
              <w:rPr>
                <w:rFonts w:ascii="Times New Roman" w:eastAsia="Times New Roman" w:hAnsi="Times New Roman" w:cs="Times New Roman"/>
                <w:sz w:val="20"/>
                <w:szCs w:val="20"/>
              </w:rPr>
            </w:pPr>
          </w:p>
          <w:p w14:paraId="0C17549D" w14:textId="77777777" w:rsidR="000F380F" w:rsidRPr="00233A55" w:rsidRDefault="000F380F" w:rsidP="000E0D7B">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Primārās enerģijas patēriņa samazinājums:</w:t>
            </w:r>
          </w:p>
          <w:p w14:paraId="0462EA61" w14:textId="7ED5685A" w:rsidR="000F380F" w:rsidRPr="00233A55" w:rsidRDefault="000F380F" w:rsidP="00541875">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Tiek plānots </w:t>
            </w:r>
            <w:r w:rsidR="00BF3CE0" w:rsidRPr="00233A55">
              <w:rPr>
                <w:rFonts w:ascii="Times New Roman" w:eastAsia="Times New Roman" w:hAnsi="Times New Roman" w:cs="Times New Roman"/>
                <w:sz w:val="20"/>
                <w:szCs w:val="20"/>
              </w:rPr>
              <w:t>30</w:t>
            </w:r>
            <w:r w:rsidRPr="00233A55">
              <w:rPr>
                <w:rFonts w:ascii="Times New Roman" w:eastAsia="Times New Roman" w:hAnsi="Times New Roman" w:cs="Times New Roman"/>
                <w:sz w:val="20"/>
                <w:szCs w:val="20"/>
              </w:rPr>
              <w:t>% ietaupījums.</w:t>
            </w:r>
          </w:p>
          <w:p w14:paraId="125C0504" w14:textId="1C1FEDA7" w:rsidR="000E0D7B" w:rsidRPr="00233A55" w:rsidRDefault="003442BE" w:rsidP="000E0D7B">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Sasniedzamā vērtība primārās enerģijas patēriņam:</w:t>
            </w:r>
            <w:r w:rsidR="00257B43" w:rsidRPr="00233A55">
              <w:rPr>
                <w:rFonts w:ascii="Times New Roman" w:eastAsia="Times New Roman" w:hAnsi="Times New Roman" w:cs="Times New Roman"/>
                <w:sz w:val="20"/>
                <w:szCs w:val="20"/>
              </w:rPr>
              <w:t xml:space="preserve"> 111 924 150</w:t>
            </w:r>
            <w:r w:rsidR="000E0D7B" w:rsidRPr="00233A55">
              <w:rPr>
                <w:rFonts w:ascii="Times New Roman" w:eastAsia="Times New Roman" w:hAnsi="Times New Roman" w:cs="Times New Roman"/>
                <w:sz w:val="20"/>
                <w:szCs w:val="20"/>
              </w:rPr>
              <w:t xml:space="preserve"> – </w:t>
            </w:r>
            <w:r w:rsidR="00BF3CE0" w:rsidRPr="00233A55">
              <w:rPr>
                <w:rFonts w:ascii="Times New Roman" w:eastAsia="Times New Roman" w:hAnsi="Times New Roman" w:cs="Times New Roman"/>
                <w:sz w:val="20"/>
                <w:szCs w:val="20"/>
              </w:rPr>
              <w:t>30</w:t>
            </w:r>
            <w:r w:rsidR="000E0D7B" w:rsidRPr="00233A55">
              <w:rPr>
                <w:rFonts w:ascii="Times New Roman" w:eastAsia="Times New Roman" w:hAnsi="Times New Roman" w:cs="Times New Roman"/>
                <w:sz w:val="20"/>
                <w:szCs w:val="20"/>
              </w:rPr>
              <w:t xml:space="preserve">% = </w:t>
            </w:r>
            <w:r w:rsidR="0000461A" w:rsidRPr="00233A55">
              <w:rPr>
                <w:rFonts w:ascii="Times New Roman" w:eastAsia="Times New Roman" w:hAnsi="Times New Roman" w:cs="Times New Roman"/>
                <w:sz w:val="20"/>
                <w:szCs w:val="20"/>
              </w:rPr>
              <w:t>78 346 905</w:t>
            </w:r>
            <w:r w:rsidR="000E0D7B" w:rsidRPr="00233A55">
              <w:rPr>
                <w:rFonts w:ascii="Times New Roman" w:eastAsia="Times New Roman" w:hAnsi="Times New Roman" w:cs="Times New Roman"/>
                <w:sz w:val="20"/>
                <w:szCs w:val="20"/>
              </w:rPr>
              <w:t xml:space="preserve"> </w:t>
            </w:r>
            <w:proofErr w:type="spellStart"/>
            <w:r w:rsidR="000E0D7B" w:rsidRPr="00233A55">
              <w:rPr>
                <w:rFonts w:ascii="Times New Roman" w:eastAsia="Times New Roman" w:hAnsi="Times New Roman" w:cs="Times New Roman"/>
                <w:sz w:val="20"/>
                <w:szCs w:val="20"/>
              </w:rPr>
              <w:t>kWh</w:t>
            </w:r>
            <w:proofErr w:type="spellEnd"/>
            <w:r w:rsidR="000E0D7B" w:rsidRPr="00233A55">
              <w:rPr>
                <w:rFonts w:ascii="Times New Roman" w:eastAsia="Times New Roman" w:hAnsi="Times New Roman" w:cs="Times New Roman"/>
                <w:sz w:val="20"/>
                <w:szCs w:val="20"/>
              </w:rPr>
              <w:t>/gadā.</w:t>
            </w:r>
          </w:p>
          <w:p w14:paraId="09E9625F" w14:textId="77777777" w:rsidR="00AF79ED" w:rsidRPr="00233A55" w:rsidRDefault="00AF79ED" w:rsidP="003442BE">
            <w:pPr>
              <w:jc w:val="both"/>
              <w:rPr>
                <w:rFonts w:ascii="Times New Roman" w:eastAsia="Times New Roman" w:hAnsi="Times New Roman" w:cs="Times New Roman"/>
                <w:sz w:val="20"/>
                <w:szCs w:val="20"/>
              </w:rPr>
            </w:pPr>
          </w:p>
          <w:p w14:paraId="6AEE312B" w14:textId="77777777" w:rsidR="003442BE" w:rsidRPr="00233A55" w:rsidRDefault="003442BE" w:rsidP="003442BE">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Aprēķinu pieņēmumi:</w:t>
            </w:r>
          </w:p>
          <w:p w14:paraId="4EE13442" w14:textId="500620BC" w:rsidR="003442BE" w:rsidRPr="00233A55" w:rsidRDefault="000E0D7B"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Atbalstīto daudzdzīvokļu d</w:t>
            </w:r>
            <w:r w:rsidR="003442BE" w:rsidRPr="00233A55">
              <w:rPr>
                <w:rFonts w:ascii="Times New Roman" w:eastAsia="Times New Roman" w:hAnsi="Times New Roman" w:cs="Times New Roman"/>
                <w:sz w:val="20"/>
                <w:szCs w:val="20"/>
              </w:rPr>
              <w:t xml:space="preserve">zīvojamo ēku platība (triju un vairāku dzīvokļu mājas un dažādu sociālo grupu </w:t>
            </w:r>
            <w:proofErr w:type="spellStart"/>
            <w:r w:rsidR="003442BE" w:rsidRPr="00233A55">
              <w:rPr>
                <w:rFonts w:ascii="Times New Roman" w:eastAsia="Times New Roman" w:hAnsi="Times New Roman" w:cs="Times New Roman"/>
                <w:sz w:val="20"/>
                <w:szCs w:val="20"/>
              </w:rPr>
              <w:t>kopdzīvojamās</w:t>
            </w:r>
            <w:proofErr w:type="spellEnd"/>
            <w:r w:rsidR="003442BE" w:rsidRPr="00233A55">
              <w:rPr>
                <w:rFonts w:ascii="Times New Roman" w:eastAsia="Times New Roman" w:hAnsi="Times New Roman" w:cs="Times New Roman"/>
                <w:sz w:val="20"/>
                <w:szCs w:val="20"/>
              </w:rPr>
              <w:t xml:space="preserve"> mājas) –</w:t>
            </w:r>
            <w:r w:rsidR="00257B43" w:rsidRPr="00233A55">
              <w:rPr>
                <w:rFonts w:ascii="Times New Roman" w:eastAsia="Times New Roman" w:hAnsi="Times New Roman" w:cs="Times New Roman"/>
                <w:sz w:val="20"/>
                <w:szCs w:val="20"/>
              </w:rPr>
              <w:t>746 161</w:t>
            </w:r>
            <w:r w:rsidRPr="00233A55">
              <w:rPr>
                <w:rFonts w:ascii="Times New Roman" w:eastAsia="Times New Roman" w:hAnsi="Times New Roman" w:cs="Times New Roman"/>
                <w:sz w:val="20"/>
                <w:szCs w:val="20"/>
              </w:rPr>
              <w:t xml:space="preserve"> </w:t>
            </w:r>
            <w:r w:rsidR="003442BE" w:rsidRPr="00233A55">
              <w:rPr>
                <w:rFonts w:ascii="Times New Roman" w:eastAsia="Times New Roman" w:hAnsi="Times New Roman" w:cs="Times New Roman"/>
                <w:sz w:val="20"/>
                <w:szCs w:val="20"/>
              </w:rPr>
              <w:t>m</w:t>
            </w:r>
            <w:r w:rsidR="003442BE" w:rsidRPr="00233A55">
              <w:rPr>
                <w:rFonts w:ascii="Times New Roman" w:eastAsia="Times New Roman" w:hAnsi="Times New Roman" w:cs="Times New Roman"/>
                <w:sz w:val="20"/>
                <w:szCs w:val="20"/>
                <w:vertAlign w:val="superscript"/>
              </w:rPr>
              <w:t xml:space="preserve">2 </w:t>
            </w:r>
            <w:r w:rsidRPr="00233A55">
              <w:rPr>
                <w:rFonts w:ascii="Times New Roman" w:eastAsia="Times New Roman" w:hAnsi="Times New Roman" w:cs="Times New Roman"/>
                <w:sz w:val="20"/>
                <w:szCs w:val="20"/>
                <w:vertAlign w:val="superscript"/>
              </w:rPr>
              <w:t xml:space="preserve"> </w:t>
            </w:r>
            <w:r w:rsidRPr="00233A55">
              <w:rPr>
                <w:rFonts w:ascii="Times New Roman" w:eastAsia="Times New Roman" w:hAnsi="Times New Roman" w:cs="Times New Roman"/>
                <w:sz w:val="20"/>
                <w:szCs w:val="20"/>
              </w:rPr>
              <w:t xml:space="preserve">skat. augstāk aprēķinus pie RCO 18); </w:t>
            </w:r>
          </w:p>
          <w:p w14:paraId="309EA8B6" w14:textId="26BB2F58"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Primārās enerģijas patēriņš (apkurei, karstā ūdens apgādei, mehāniskajai ventilācijai, dzesēšanai, apgaismojumam) – 150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/m2.</w:t>
            </w:r>
          </w:p>
          <w:p w14:paraId="51BB14B3" w14:textId="67939A2D"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Minētais lielums aprēķināts, izmantojot Centrālās statistikas pārvaldes datus par dažāda veida energoresursu patēriņu mājsaimniecībās (2019. gada dati), kā arī datus par daudzdzīvokļu ēku platības īpatsvaru kopējā mājokļu platībā.</w:t>
            </w:r>
          </w:p>
          <w:p w14:paraId="248E96DA" w14:textId="77777777" w:rsidR="00612E21" w:rsidRPr="00233A55" w:rsidRDefault="00612E21" w:rsidP="003442BE">
            <w:pPr>
              <w:jc w:val="both"/>
              <w:rPr>
                <w:rFonts w:ascii="Times New Roman" w:eastAsia="Times New Roman" w:hAnsi="Times New Roman" w:cs="Times New Roman"/>
                <w:sz w:val="20"/>
                <w:szCs w:val="20"/>
              </w:rPr>
            </w:pPr>
          </w:p>
          <w:p w14:paraId="415EE746" w14:textId="4A15CEBF" w:rsidR="003442BE" w:rsidRPr="00233A55" w:rsidRDefault="003442BE" w:rsidP="003442BE">
            <w:pPr>
              <w:pStyle w:val="ListParagraph"/>
              <w:numPr>
                <w:ilvl w:val="0"/>
                <w:numId w:val="22"/>
              </w:numPr>
              <w:contextualSpacing w:val="0"/>
              <w:rPr>
                <w:rFonts w:ascii="Times New Roman" w:hAnsi="Times New Roman" w:cs="Times New Roman"/>
                <w:sz w:val="20"/>
                <w:szCs w:val="20"/>
              </w:rPr>
            </w:pPr>
            <w:r w:rsidRPr="00233A55">
              <w:rPr>
                <w:rFonts w:ascii="Times New Roman" w:hAnsi="Times New Roman" w:cs="Times New Roman"/>
                <w:sz w:val="20"/>
                <w:szCs w:val="20"/>
              </w:rPr>
              <w:t xml:space="preserve">Privātmājas: </w:t>
            </w:r>
          </w:p>
          <w:p w14:paraId="69E1359B" w14:textId="77777777" w:rsidR="000E0D7B" w:rsidRPr="00233A55" w:rsidRDefault="000E0D7B" w:rsidP="000E0D7B">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Bāzes vērtība primārās enerģijas patēriņam:</w:t>
            </w:r>
          </w:p>
          <w:p w14:paraId="7FD25BD0" w14:textId="4AC7F8D3" w:rsidR="000E0D7B" w:rsidRPr="00233A55" w:rsidRDefault="00981B10" w:rsidP="000E0D7B">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319 783</w:t>
            </w:r>
            <w:r w:rsidR="000E0D7B" w:rsidRPr="00233A55">
              <w:rPr>
                <w:rFonts w:ascii="Times New Roman" w:eastAsia="Times New Roman" w:hAnsi="Times New Roman" w:cs="Times New Roman"/>
                <w:sz w:val="20"/>
                <w:szCs w:val="20"/>
              </w:rPr>
              <w:t xml:space="preserve"> m2 x 153 </w:t>
            </w:r>
            <w:proofErr w:type="spellStart"/>
            <w:r w:rsidR="000E0D7B" w:rsidRPr="00233A55">
              <w:rPr>
                <w:rFonts w:ascii="Times New Roman" w:eastAsia="Times New Roman" w:hAnsi="Times New Roman" w:cs="Times New Roman"/>
                <w:sz w:val="20"/>
                <w:szCs w:val="20"/>
              </w:rPr>
              <w:t>kWh</w:t>
            </w:r>
            <w:proofErr w:type="spellEnd"/>
            <w:r w:rsidR="000E0D7B" w:rsidRPr="00233A55">
              <w:rPr>
                <w:rFonts w:ascii="Times New Roman" w:eastAsia="Times New Roman" w:hAnsi="Times New Roman" w:cs="Times New Roman"/>
                <w:sz w:val="20"/>
                <w:szCs w:val="20"/>
              </w:rPr>
              <w:t xml:space="preserve">/m2 gadā = </w:t>
            </w:r>
            <w:r w:rsidRPr="00233A55">
              <w:rPr>
                <w:rFonts w:ascii="Times New Roman" w:eastAsia="Times New Roman" w:hAnsi="Times New Roman" w:cs="Times New Roman"/>
                <w:sz w:val="20"/>
                <w:szCs w:val="20"/>
              </w:rPr>
              <w:t>48 926 799</w:t>
            </w:r>
            <w:r w:rsidR="000E0D7B" w:rsidRPr="00233A55">
              <w:rPr>
                <w:rFonts w:ascii="Times New Roman" w:eastAsia="Times New Roman" w:hAnsi="Times New Roman" w:cs="Times New Roman"/>
                <w:sz w:val="20"/>
                <w:szCs w:val="20"/>
              </w:rPr>
              <w:t xml:space="preserve"> </w:t>
            </w:r>
            <w:proofErr w:type="spellStart"/>
            <w:r w:rsidR="000E0D7B" w:rsidRPr="00233A55">
              <w:rPr>
                <w:rFonts w:ascii="Times New Roman" w:eastAsia="Times New Roman" w:hAnsi="Times New Roman" w:cs="Times New Roman"/>
                <w:sz w:val="20"/>
                <w:szCs w:val="20"/>
              </w:rPr>
              <w:t>kWh</w:t>
            </w:r>
            <w:proofErr w:type="spellEnd"/>
            <w:r w:rsidR="000E0D7B" w:rsidRPr="00233A55">
              <w:rPr>
                <w:rFonts w:ascii="Times New Roman" w:eastAsia="Times New Roman" w:hAnsi="Times New Roman" w:cs="Times New Roman"/>
                <w:sz w:val="20"/>
                <w:szCs w:val="20"/>
              </w:rPr>
              <w:t>/gadā.</w:t>
            </w:r>
          </w:p>
          <w:p w14:paraId="441938F7" w14:textId="77777777" w:rsidR="000E0D7B" w:rsidRPr="00233A55" w:rsidRDefault="000E0D7B" w:rsidP="000E0D7B">
            <w:pPr>
              <w:jc w:val="both"/>
              <w:rPr>
                <w:rFonts w:ascii="Times New Roman" w:eastAsia="Times New Roman" w:hAnsi="Times New Roman" w:cs="Times New Roman"/>
                <w:sz w:val="20"/>
                <w:szCs w:val="20"/>
              </w:rPr>
            </w:pPr>
          </w:p>
          <w:p w14:paraId="191343AC" w14:textId="77777777" w:rsidR="00F53F1D" w:rsidRPr="00233A55" w:rsidRDefault="000E0D7B" w:rsidP="00541875">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Primārās enerģijas patēriņa samazinājums:</w:t>
            </w:r>
          </w:p>
          <w:p w14:paraId="24BE5088" w14:textId="0FECEB59" w:rsidR="000E0D7B" w:rsidRPr="00233A55" w:rsidRDefault="000E0D7B" w:rsidP="00541875">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lastRenderedPageBreak/>
              <w:t xml:space="preserve">Tiek plānots </w:t>
            </w:r>
            <w:r w:rsidR="001721AA" w:rsidRPr="00233A55">
              <w:rPr>
                <w:rFonts w:ascii="Times New Roman" w:eastAsia="Times New Roman" w:hAnsi="Times New Roman" w:cs="Times New Roman"/>
                <w:sz w:val="20"/>
                <w:szCs w:val="20"/>
              </w:rPr>
              <w:t>30</w:t>
            </w:r>
            <w:r w:rsidRPr="00233A55">
              <w:rPr>
                <w:rFonts w:ascii="Times New Roman" w:eastAsia="Times New Roman" w:hAnsi="Times New Roman" w:cs="Times New Roman"/>
                <w:sz w:val="20"/>
                <w:szCs w:val="20"/>
              </w:rPr>
              <w:t>% ietaupījums.</w:t>
            </w:r>
          </w:p>
          <w:p w14:paraId="4B1BF93D" w14:textId="131B409D" w:rsidR="000E0D7B" w:rsidRPr="00233A55" w:rsidRDefault="003442BE" w:rsidP="000E0D7B">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Sasniedzamā vērtība primārās enerģijas patēriņam:</w:t>
            </w:r>
            <w:r w:rsidR="000E0D7B" w:rsidRPr="00233A55">
              <w:rPr>
                <w:rFonts w:ascii="Times New Roman" w:eastAsia="Times New Roman" w:hAnsi="Times New Roman" w:cs="Times New Roman"/>
                <w:sz w:val="20"/>
                <w:szCs w:val="20"/>
              </w:rPr>
              <w:t xml:space="preserve"> </w:t>
            </w:r>
            <w:r w:rsidR="00981B10" w:rsidRPr="00233A55">
              <w:rPr>
                <w:rFonts w:ascii="Times New Roman" w:eastAsia="Times New Roman" w:hAnsi="Times New Roman" w:cs="Times New Roman"/>
                <w:sz w:val="20"/>
                <w:szCs w:val="20"/>
              </w:rPr>
              <w:t>48 926 799</w:t>
            </w:r>
            <w:r w:rsidR="000E0D7B" w:rsidRPr="00233A55">
              <w:rPr>
                <w:rFonts w:ascii="Times New Roman" w:eastAsia="Times New Roman" w:hAnsi="Times New Roman" w:cs="Times New Roman"/>
                <w:sz w:val="20"/>
                <w:szCs w:val="20"/>
              </w:rPr>
              <w:t xml:space="preserve"> – </w:t>
            </w:r>
            <w:r w:rsidR="001721AA" w:rsidRPr="00233A55">
              <w:rPr>
                <w:rFonts w:ascii="Times New Roman" w:eastAsia="Times New Roman" w:hAnsi="Times New Roman" w:cs="Times New Roman"/>
                <w:sz w:val="20"/>
                <w:szCs w:val="20"/>
              </w:rPr>
              <w:t>30</w:t>
            </w:r>
            <w:r w:rsidR="000E0D7B" w:rsidRPr="00233A55">
              <w:rPr>
                <w:rFonts w:ascii="Times New Roman" w:eastAsia="Times New Roman" w:hAnsi="Times New Roman" w:cs="Times New Roman"/>
                <w:sz w:val="20"/>
                <w:szCs w:val="20"/>
              </w:rPr>
              <w:t xml:space="preserve">% = </w:t>
            </w:r>
            <w:r w:rsidR="00556D8E" w:rsidRPr="00233A55">
              <w:rPr>
                <w:rFonts w:ascii="Times New Roman" w:eastAsia="Times New Roman" w:hAnsi="Times New Roman" w:cs="Times New Roman"/>
                <w:sz w:val="20"/>
                <w:szCs w:val="20"/>
              </w:rPr>
              <w:t>34 248 759</w:t>
            </w:r>
            <w:r w:rsidR="000E0D7B" w:rsidRPr="00233A55">
              <w:rPr>
                <w:rFonts w:ascii="Times New Roman" w:eastAsia="Times New Roman" w:hAnsi="Times New Roman" w:cs="Times New Roman"/>
                <w:sz w:val="20"/>
                <w:szCs w:val="20"/>
              </w:rPr>
              <w:t xml:space="preserve"> </w:t>
            </w:r>
            <w:proofErr w:type="spellStart"/>
            <w:r w:rsidR="000E0D7B" w:rsidRPr="00233A55">
              <w:rPr>
                <w:rFonts w:ascii="Times New Roman" w:eastAsia="Times New Roman" w:hAnsi="Times New Roman" w:cs="Times New Roman"/>
                <w:sz w:val="20"/>
                <w:szCs w:val="20"/>
              </w:rPr>
              <w:t>kWh</w:t>
            </w:r>
            <w:proofErr w:type="spellEnd"/>
            <w:r w:rsidR="000E0D7B" w:rsidRPr="00233A55">
              <w:rPr>
                <w:rFonts w:ascii="Times New Roman" w:eastAsia="Times New Roman" w:hAnsi="Times New Roman" w:cs="Times New Roman"/>
                <w:sz w:val="20"/>
                <w:szCs w:val="20"/>
              </w:rPr>
              <w:t>/gadā.</w:t>
            </w:r>
          </w:p>
          <w:p w14:paraId="3E29AA91" w14:textId="77777777" w:rsidR="00976496" w:rsidRPr="00233A55" w:rsidRDefault="00976496" w:rsidP="003442BE">
            <w:pPr>
              <w:jc w:val="both"/>
              <w:rPr>
                <w:rFonts w:ascii="Times New Roman" w:eastAsia="Times New Roman" w:hAnsi="Times New Roman" w:cs="Times New Roman"/>
                <w:sz w:val="20"/>
                <w:szCs w:val="20"/>
              </w:rPr>
            </w:pPr>
          </w:p>
          <w:p w14:paraId="2605178D" w14:textId="77777777" w:rsidR="003442BE" w:rsidRPr="00233A55" w:rsidRDefault="003442BE" w:rsidP="003442BE">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Aprēķinu pieņēmumi:</w:t>
            </w:r>
          </w:p>
          <w:p w14:paraId="2C655623" w14:textId="5E5A3336" w:rsidR="003442BE" w:rsidRPr="00233A55" w:rsidRDefault="00F53F1D"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Atbalstīto p</w:t>
            </w:r>
            <w:r w:rsidR="003442BE" w:rsidRPr="00233A55">
              <w:rPr>
                <w:rFonts w:ascii="Times New Roman" w:eastAsia="Times New Roman" w:hAnsi="Times New Roman" w:cs="Times New Roman"/>
                <w:sz w:val="20"/>
                <w:szCs w:val="20"/>
              </w:rPr>
              <w:t>rivātmāju ēku platība (viena dzīvokļa mājas un divu dzīvokļu mājas) –</w:t>
            </w:r>
            <w:r w:rsidR="00981B10" w:rsidRPr="00233A55">
              <w:rPr>
                <w:rFonts w:ascii="Times New Roman" w:eastAsia="Times New Roman" w:hAnsi="Times New Roman" w:cs="Times New Roman"/>
                <w:sz w:val="20"/>
                <w:szCs w:val="20"/>
              </w:rPr>
              <w:t>319 783</w:t>
            </w:r>
            <w:r w:rsidRPr="00233A55">
              <w:rPr>
                <w:rFonts w:ascii="Times New Roman" w:eastAsia="Times New Roman" w:hAnsi="Times New Roman" w:cs="Times New Roman"/>
                <w:sz w:val="20"/>
                <w:szCs w:val="20"/>
              </w:rPr>
              <w:t xml:space="preserve"> </w:t>
            </w:r>
            <w:r w:rsidR="003442BE" w:rsidRPr="00233A55">
              <w:rPr>
                <w:rFonts w:ascii="Times New Roman" w:eastAsia="Times New Roman" w:hAnsi="Times New Roman" w:cs="Times New Roman"/>
                <w:sz w:val="20"/>
                <w:szCs w:val="20"/>
              </w:rPr>
              <w:t>m</w:t>
            </w:r>
            <w:r w:rsidR="003442BE"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(skat. augstāk aprēķinus pie RCO 18);</w:t>
            </w:r>
          </w:p>
          <w:p w14:paraId="41556AC3" w14:textId="77777777" w:rsidR="00F53F1D" w:rsidRPr="00233A55" w:rsidRDefault="00F53F1D" w:rsidP="003442BE">
            <w:pPr>
              <w:jc w:val="both"/>
              <w:rPr>
                <w:rFonts w:ascii="Times New Roman" w:eastAsia="Times New Roman" w:hAnsi="Times New Roman" w:cs="Times New Roman"/>
                <w:sz w:val="20"/>
                <w:szCs w:val="20"/>
              </w:rPr>
            </w:pPr>
          </w:p>
          <w:p w14:paraId="46A6555B"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Primārās enerģijas patēriņš (apkurei, apkurei, karstā ūdens apgādei, mehāniskajai ventilācijai, dzesēšanai, apgaismojumam) – 153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w:t>
            </w:r>
          </w:p>
          <w:p w14:paraId="76255953"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Minētais lielums aprēķināts, izmantojot Centrālās statistikas pārvaldes datus par dažāda veida energoresursu patēriņu mājsaimniecībās (2019. gada dati), kā arī datus par privātmāju ēku platības īpatsvaru kopējā mājokļu platībā.</w:t>
            </w:r>
          </w:p>
          <w:p w14:paraId="7550D934" w14:textId="77777777" w:rsidR="003442BE" w:rsidRPr="00233A55" w:rsidRDefault="003442BE" w:rsidP="003442BE">
            <w:pPr>
              <w:rPr>
                <w:rFonts w:ascii="Times New Roman" w:hAnsi="Times New Roman" w:cs="Times New Roman"/>
                <w:sz w:val="20"/>
                <w:szCs w:val="20"/>
              </w:rPr>
            </w:pPr>
          </w:p>
          <w:p w14:paraId="39A98498" w14:textId="536E9BDC" w:rsidR="003442BE" w:rsidRPr="004E6644" w:rsidRDefault="003442BE" w:rsidP="003442BE">
            <w:pPr>
              <w:pStyle w:val="ListParagraph"/>
              <w:numPr>
                <w:ilvl w:val="0"/>
                <w:numId w:val="22"/>
              </w:numPr>
              <w:contextualSpacing w:val="0"/>
              <w:rPr>
                <w:rFonts w:ascii="Times New Roman" w:hAnsi="Times New Roman" w:cs="Times New Roman"/>
                <w:sz w:val="20"/>
                <w:szCs w:val="20"/>
              </w:rPr>
            </w:pPr>
            <w:r w:rsidRPr="004E6644">
              <w:rPr>
                <w:rFonts w:ascii="Times New Roman" w:hAnsi="Times New Roman" w:cs="Times New Roman"/>
                <w:sz w:val="20"/>
                <w:szCs w:val="20"/>
              </w:rPr>
              <w:t>Valsts ēkās:</w:t>
            </w:r>
          </w:p>
          <w:p w14:paraId="1012BA4F" w14:textId="77777777" w:rsidR="00F53F1D" w:rsidRPr="004E6644" w:rsidRDefault="00F53F1D" w:rsidP="00F53F1D">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Bāzes vērtība primārās enerģijas patēriņam:</w:t>
            </w:r>
          </w:p>
          <w:p w14:paraId="39821069" w14:textId="01479E6C" w:rsidR="00F53F1D" w:rsidRPr="004E6644" w:rsidRDefault="00E21DF2" w:rsidP="00F53F1D">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508 786</w:t>
            </w:r>
            <w:r w:rsidR="00F53F1D" w:rsidRPr="004E6644">
              <w:rPr>
                <w:rFonts w:ascii="Times New Roman" w:eastAsia="Times New Roman" w:hAnsi="Times New Roman" w:cs="Times New Roman"/>
                <w:sz w:val="20"/>
                <w:szCs w:val="20"/>
              </w:rPr>
              <w:t xml:space="preserve"> m2 x 140 </w:t>
            </w:r>
            <w:proofErr w:type="spellStart"/>
            <w:r w:rsidR="00F53F1D" w:rsidRPr="004E6644">
              <w:rPr>
                <w:rFonts w:ascii="Times New Roman" w:eastAsia="Times New Roman" w:hAnsi="Times New Roman" w:cs="Times New Roman"/>
                <w:sz w:val="20"/>
                <w:szCs w:val="20"/>
              </w:rPr>
              <w:t>kWh</w:t>
            </w:r>
            <w:proofErr w:type="spellEnd"/>
            <w:r w:rsidR="00F53F1D" w:rsidRPr="004E6644">
              <w:rPr>
                <w:rFonts w:ascii="Times New Roman" w:eastAsia="Times New Roman" w:hAnsi="Times New Roman" w:cs="Times New Roman"/>
                <w:sz w:val="20"/>
                <w:szCs w:val="20"/>
              </w:rPr>
              <w:t xml:space="preserve">/m2 gadā = </w:t>
            </w:r>
            <w:r w:rsidRPr="004E6644">
              <w:rPr>
                <w:rFonts w:ascii="Times New Roman" w:eastAsia="Times New Roman" w:hAnsi="Times New Roman" w:cs="Times New Roman"/>
                <w:sz w:val="20"/>
                <w:szCs w:val="20"/>
              </w:rPr>
              <w:t>71 230 040</w:t>
            </w:r>
            <w:r w:rsidR="00F53F1D" w:rsidRPr="004E6644">
              <w:rPr>
                <w:rFonts w:ascii="Times New Roman" w:eastAsia="Times New Roman" w:hAnsi="Times New Roman" w:cs="Times New Roman"/>
                <w:sz w:val="20"/>
                <w:szCs w:val="20"/>
              </w:rPr>
              <w:t xml:space="preserve"> </w:t>
            </w:r>
            <w:proofErr w:type="spellStart"/>
            <w:r w:rsidR="00F53F1D" w:rsidRPr="004E6644">
              <w:rPr>
                <w:rFonts w:ascii="Times New Roman" w:eastAsia="Times New Roman" w:hAnsi="Times New Roman" w:cs="Times New Roman"/>
                <w:sz w:val="20"/>
                <w:szCs w:val="20"/>
              </w:rPr>
              <w:t>kWh</w:t>
            </w:r>
            <w:proofErr w:type="spellEnd"/>
            <w:r w:rsidR="00F53F1D" w:rsidRPr="004E6644">
              <w:rPr>
                <w:rFonts w:ascii="Times New Roman" w:eastAsia="Times New Roman" w:hAnsi="Times New Roman" w:cs="Times New Roman"/>
                <w:sz w:val="20"/>
                <w:szCs w:val="20"/>
              </w:rPr>
              <w:t>/gadā.</w:t>
            </w:r>
          </w:p>
          <w:p w14:paraId="4DBC7053" w14:textId="77777777" w:rsidR="00F53F1D" w:rsidRPr="004E6644" w:rsidRDefault="00F53F1D" w:rsidP="00F53F1D">
            <w:pPr>
              <w:jc w:val="both"/>
              <w:rPr>
                <w:rFonts w:ascii="Times New Roman" w:eastAsia="Times New Roman" w:hAnsi="Times New Roman" w:cs="Times New Roman"/>
                <w:sz w:val="20"/>
                <w:szCs w:val="20"/>
              </w:rPr>
            </w:pPr>
          </w:p>
          <w:p w14:paraId="512DF45F" w14:textId="77777777" w:rsidR="00F53F1D" w:rsidRPr="004E6644" w:rsidRDefault="00F53F1D" w:rsidP="00F53F1D">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Primārās enerģijas patēriņa samazinājums:</w:t>
            </w:r>
          </w:p>
          <w:p w14:paraId="6B04C0A4" w14:textId="178A74D2" w:rsidR="00F53F1D" w:rsidRPr="004E6644" w:rsidRDefault="00F53F1D" w:rsidP="00F53F1D">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Tiek plānots </w:t>
            </w:r>
            <w:r w:rsidR="00B01E94" w:rsidRPr="004E6644">
              <w:rPr>
                <w:rFonts w:ascii="Times New Roman" w:eastAsia="Times New Roman" w:hAnsi="Times New Roman" w:cs="Times New Roman"/>
                <w:sz w:val="20"/>
                <w:szCs w:val="20"/>
              </w:rPr>
              <w:t>30</w:t>
            </w:r>
            <w:r w:rsidRPr="004E6644">
              <w:rPr>
                <w:rFonts w:ascii="Times New Roman" w:eastAsia="Times New Roman" w:hAnsi="Times New Roman" w:cs="Times New Roman"/>
                <w:sz w:val="20"/>
                <w:szCs w:val="20"/>
              </w:rPr>
              <w:t>% ietaupījums.</w:t>
            </w:r>
          </w:p>
          <w:p w14:paraId="555E1A17" w14:textId="77777777" w:rsidR="00F53F1D" w:rsidRPr="004E6644" w:rsidRDefault="00F53F1D" w:rsidP="00F53F1D">
            <w:pPr>
              <w:rPr>
                <w:rFonts w:ascii="Times New Roman" w:hAnsi="Times New Roman" w:cs="Times New Roman"/>
                <w:sz w:val="20"/>
                <w:szCs w:val="20"/>
              </w:rPr>
            </w:pPr>
          </w:p>
          <w:p w14:paraId="375099DB" w14:textId="348506BB" w:rsidR="003442BE" w:rsidRPr="004E6644" w:rsidRDefault="003442BE" w:rsidP="003442BE">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Sasniedzamā vērtība primārās enerģijas patēriņam:</w:t>
            </w:r>
          </w:p>
          <w:p w14:paraId="6E60012F" w14:textId="7FF3CCB8" w:rsidR="00F53F1D" w:rsidRPr="004E6644" w:rsidRDefault="00E21DF2" w:rsidP="003442BE">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71 230 040</w:t>
            </w:r>
            <w:r w:rsidR="00F53F1D" w:rsidRPr="004E6644">
              <w:rPr>
                <w:rFonts w:ascii="Times New Roman" w:eastAsia="Times New Roman" w:hAnsi="Times New Roman" w:cs="Times New Roman"/>
                <w:sz w:val="20"/>
                <w:szCs w:val="20"/>
              </w:rPr>
              <w:t xml:space="preserve"> – </w:t>
            </w:r>
            <w:r w:rsidR="00B01E94" w:rsidRPr="004E6644">
              <w:rPr>
                <w:rFonts w:ascii="Times New Roman" w:eastAsia="Times New Roman" w:hAnsi="Times New Roman" w:cs="Times New Roman"/>
                <w:sz w:val="20"/>
                <w:szCs w:val="20"/>
              </w:rPr>
              <w:t>30</w:t>
            </w:r>
            <w:r w:rsidR="00F53F1D" w:rsidRPr="004E6644">
              <w:rPr>
                <w:rFonts w:ascii="Times New Roman" w:eastAsia="Times New Roman" w:hAnsi="Times New Roman" w:cs="Times New Roman"/>
                <w:sz w:val="20"/>
                <w:szCs w:val="20"/>
              </w:rPr>
              <w:t xml:space="preserve">% = </w:t>
            </w:r>
            <w:r w:rsidRPr="004E6644">
              <w:rPr>
                <w:rFonts w:ascii="Times New Roman" w:eastAsia="Times New Roman" w:hAnsi="Times New Roman" w:cs="Times New Roman"/>
                <w:sz w:val="20"/>
                <w:szCs w:val="20"/>
              </w:rPr>
              <w:t>49 861 028</w:t>
            </w:r>
            <w:r w:rsidR="00F53F1D" w:rsidRPr="004E6644">
              <w:rPr>
                <w:rFonts w:ascii="Times New Roman" w:eastAsia="Times New Roman" w:hAnsi="Times New Roman" w:cs="Times New Roman"/>
                <w:sz w:val="20"/>
                <w:szCs w:val="20"/>
              </w:rPr>
              <w:t xml:space="preserve"> </w:t>
            </w:r>
            <w:proofErr w:type="spellStart"/>
            <w:r w:rsidR="00F53F1D" w:rsidRPr="004E6644">
              <w:rPr>
                <w:rFonts w:ascii="Times New Roman" w:eastAsia="Times New Roman" w:hAnsi="Times New Roman" w:cs="Times New Roman"/>
                <w:sz w:val="20"/>
                <w:szCs w:val="20"/>
              </w:rPr>
              <w:t>kWh</w:t>
            </w:r>
            <w:proofErr w:type="spellEnd"/>
            <w:r w:rsidR="00F53F1D" w:rsidRPr="004E6644">
              <w:rPr>
                <w:rFonts w:ascii="Times New Roman" w:eastAsia="Times New Roman" w:hAnsi="Times New Roman" w:cs="Times New Roman"/>
                <w:sz w:val="20"/>
                <w:szCs w:val="20"/>
              </w:rPr>
              <w:t>/gadā.</w:t>
            </w:r>
          </w:p>
          <w:p w14:paraId="54F121A7" w14:textId="77777777" w:rsidR="003442BE" w:rsidRPr="004E6644" w:rsidRDefault="003442BE" w:rsidP="003442BE">
            <w:pPr>
              <w:jc w:val="both"/>
              <w:rPr>
                <w:rFonts w:ascii="Times New Roman" w:eastAsia="Times New Roman" w:hAnsi="Times New Roman" w:cs="Times New Roman"/>
                <w:color w:val="000000" w:themeColor="text1"/>
                <w:sz w:val="20"/>
                <w:szCs w:val="20"/>
              </w:rPr>
            </w:pPr>
            <w:r w:rsidRPr="004E6644">
              <w:rPr>
                <w:rFonts w:ascii="Times New Roman" w:eastAsia="Times New Roman" w:hAnsi="Times New Roman" w:cs="Times New Roman"/>
                <w:sz w:val="20"/>
                <w:szCs w:val="20"/>
              </w:rPr>
              <w:t>Aprēķinu pieņēmumi:</w:t>
            </w:r>
          </w:p>
          <w:p w14:paraId="41A4E9DF" w14:textId="4701B035" w:rsidR="003442BE" w:rsidRPr="004E6644" w:rsidRDefault="00F53F1D" w:rsidP="003442BE">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Atbalstīto v</w:t>
            </w:r>
            <w:r w:rsidR="003442BE" w:rsidRPr="004E6644">
              <w:rPr>
                <w:rFonts w:ascii="Times New Roman" w:eastAsia="Times New Roman" w:hAnsi="Times New Roman" w:cs="Times New Roman"/>
                <w:sz w:val="20"/>
                <w:szCs w:val="20"/>
              </w:rPr>
              <w:t xml:space="preserve">alsts ēku platība – </w:t>
            </w:r>
            <w:r w:rsidR="00E21DF2" w:rsidRPr="004E6644">
              <w:rPr>
                <w:rFonts w:ascii="Times New Roman" w:eastAsia="Times New Roman" w:hAnsi="Times New Roman" w:cs="Times New Roman"/>
                <w:sz w:val="20"/>
                <w:szCs w:val="20"/>
              </w:rPr>
              <w:t>508 786</w:t>
            </w:r>
            <w:r w:rsidRPr="004E6644">
              <w:rPr>
                <w:rFonts w:ascii="Times New Roman" w:eastAsia="Times New Roman" w:hAnsi="Times New Roman" w:cs="Times New Roman"/>
                <w:sz w:val="20"/>
                <w:szCs w:val="20"/>
              </w:rPr>
              <w:t xml:space="preserve"> </w:t>
            </w:r>
            <w:r w:rsidR="003442BE" w:rsidRPr="004E6644">
              <w:rPr>
                <w:rFonts w:ascii="Times New Roman" w:eastAsia="Times New Roman" w:hAnsi="Times New Roman" w:cs="Times New Roman"/>
                <w:sz w:val="20"/>
                <w:szCs w:val="20"/>
              </w:rPr>
              <w:t xml:space="preserve"> m</w:t>
            </w:r>
            <w:r w:rsidR="003442BE" w:rsidRPr="004E6644">
              <w:rPr>
                <w:rFonts w:ascii="Times New Roman" w:eastAsia="Times New Roman" w:hAnsi="Times New Roman" w:cs="Times New Roman"/>
                <w:sz w:val="20"/>
                <w:szCs w:val="20"/>
                <w:vertAlign w:val="superscript"/>
              </w:rPr>
              <w:t>2</w:t>
            </w:r>
            <w:r w:rsidR="003442BE" w:rsidRPr="004E6644">
              <w:rPr>
                <w:rFonts w:ascii="Times New Roman" w:eastAsia="Times New Roman" w:hAnsi="Times New Roman" w:cs="Times New Roman"/>
                <w:sz w:val="20"/>
                <w:szCs w:val="20"/>
              </w:rPr>
              <w:t>;</w:t>
            </w:r>
            <w:r w:rsidRPr="004E6644">
              <w:rPr>
                <w:rFonts w:ascii="Times New Roman" w:eastAsia="Times New Roman" w:hAnsi="Times New Roman" w:cs="Times New Roman"/>
                <w:sz w:val="20"/>
                <w:szCs w:val="20"/>
              </w:rPr>
              <w:t xml:space="preserve"> (skat. augstāk aprēķinus pie RCO 19); </w:t>
            </w:r>
          </w:p>
          <w:p w14:paraId="6EACE08F" w14:textId="77777777" w:rsidR="003442BE" w:rsidRPr="004E6644" w:rsidRDefault="003442BE" w:rsidP="003442BE">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 xml:space="preserve">Primārās enerģijas patēriņš (apkurei, apkurei, karstā ūdens apgādei, mehāniskajai ventilācijai, dzesēšanai, apgaismojumam) – 140 </w:t>
            </w:r>
            <w:proofErr w:type="spellStart"/>
            <w:r w:rsidRPr="004E6644">
              <w:rPr>
                <w:rFonts w:ascii="Times New Roman" w:eastAsia="Times New Roman" w:hAnsi="Times New Roman" w:cs="Times New Roman"/>
                <w:sz w:val="20"/>
                <w:szCs w:val="20"/>
              </w:rPr>
              <w:t>kWh</w:t>
            </w:r>
            <w:proofErr w:type="spellEnd"/>
            <w:r w:rsidRPr="004E6644">
              <w:rPr>
                <w:rFonts w:ascii="Times New Roman" w:eastAsia="Times New Roman" w:hAnsi="Times New Roman" w:cs="Times New Roman"/>
                <w:sz w:val="20"/>
                <w:szCs w:val="20"/>
              </w:rPr>
              <w:t>/m</w:t>
            </w:r>
            <w:r w:rsidRPr="004E6644">
              <w:rPr>
                <w:rFonts w:ascii="Times New Roman" w:eastAsia="Times New Roman" w:hAnsi="Times New Roman" w:cs="Times New Roman"/>
                <w:sz w:val="20"/>
                <w:szCs w:val="20"/>
                <w:vertAlign w:val="superscript"/>
              </w:rPr>
              <w:t>2</w:t>
            </w:r>
            <w:r w:rsidRPr="004E6644">
              <w:rPr>
                <w:rStyle w:val="FootnoteReference"/>
                <w:rFonts w:ascii="Times New Roman" w:eastAsia="Times New Roman" w:hAnsi="Times New Roman" w:cs="Times New Roman"/>
                <w:sz w:val="20"/>
                <w:szCs w:val="20"/>
              </w:rPr>
              <w:t xml:space="preserve"> </w:t>
            </w:r>
            <w:r w:rsidRPr="004E6644">
              <w:rPr>
                <w:rStyle w:val="FootnoteReference"/>
                <w:rFonts w:ascii="Times New Roman" w:eastAsia="Times New Roman" w:hAnsi="Times New Roman" w:cs="Times New Roman"/>
                <w:sz w:val="20"/>
                <w:szCs w:val="20"/>
              </w:rPr>
              <w:footnoteReference w:id="17"/>
            </w:r>
            <w:r w:rsidRPr="004E6644">
              <w:rPr>
                <w:rFonts w:ascii="Times New Roman" w:eastAsia="Times New Roman" w:hAnsi="Times New Roman" w:cs="Times New Roman"/>
                <w:sz w:val="20"/>
                <w:szCs w:val="20"/>
              </w:rPr>
              <w:t>.</w:t>
            </w:r>
          </w:p>
          <w:p w14:paraId="6270F374" w14:textId="77777777" w:rsidR="00AF1E37" w:rsidRPr="004E6644" w:rsidRDefault="00AF1E37" w:rsidP="00976496">
            <w:pPr>
              <w:pStyle w:val="ListParagraph"/>
              <w:contextualSpacing w:val="0"/>
              <w:rPr>
                <w:rFonts w:ascii="Times New Roman" w:eastAsiaTheme="minorEastAsia" w:hAnsi="Times New Roman" w:cs="Times New Roman"/>
                <w:sz w:val="20"/>
                <w:szCs w:val="20"/>
              </w:rPr>
            </w:pPr>
          </w:p>
          <w:p w14:paraId="5886B203" w14:textId="4A1D7527" w:rsidR="00976496" w:rsidRPr="004E6644" w:rsidRDefault="00976496" w:rsidP="00976496">
            <w:pPr>
              <w:pStyle w:val="ListParagraph"/>
              <w:numPr>
                <w:ilvl w:val="0"/>
                <w:numId w:val="22"/>
              </w:num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Energoefektivitātes paaugstināšana centralizētajā, lokālajā un individuālajā siltumapgādē.</w:t>
            </w:r>
          </w:p>
          <w:p w14:paraId="457A196A" w14:textId="77777777" w:rsidR="00F53F1D" w:rsidRPr="004E6644" w:rsidRDefault="00F53F1D" w:rsidP="00F53F1D">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Bāzes vērtība primārās enerģijas patēriņam:</w:t>
            </w:r>
          </w:p>
          <w:p w14:paraId="782DCF19" w14:textId="1EE928C0" w:rsidR="00F53F1D" w:rsidRPr="00233A55" w:rsidRDefault="005D5B7F" w:rsidP="00F53F1D">
            <w:pPr>
              <w:jc w:val="both"/>
              <w:rPr>
                <w:rFonts w:ascii="Times New Roman" w:eastAsia="Times New Roman" w:hAnsi="Times New Roman" w:cs="Times New Roman"/>
                <w:sz w:val="20"/>
                <w:szCs w:val="20"/>
              </w:rPr>
            </w:pPr>
            <w:r w:rsidRPr="004E6644">
              <w:rPr>
                <w:rFonts w:ascii="Times New Roman" w:eastAsia="Times New Roman" w:hAnsi="Times New Roman" w:cs="Times New Roman"/>
                <w:sz w:val="20"/>
                <w:szCs w:val="20"/>
              </w:rPr>
              <w:t>34 272 726</w:t>
            </w:r>
            <w:r w:rsidR="00F53F1D" w:rsidRPr="004E6644">
              <w:rPr>
                <w:rFonts w:ascii="Times New Roman" w:eastAsia="Times New Roman" w:hAnsi="Times New Roman" w:cs="Times New Roman"/>
                <w:sz w:val="20"/>
                <w:szCs w:val="20"/>
              </w:rPr>
              <w:t xml:space="preserve"> </w:t>
            </w:r>
            <w:proofErr w:type="spellStart"/>
            <w:r w:rsidR="00F53F1D" w:rsidRPr="004E6644">
              <w:rPr>
                <w:rFonts w:ascii="Times New Roman" w:eastAsia="Times New Roman" w:hAnsi="Times New Roman" w:cs="Times New Roman"/>
                <w:sz w:val="20"/>
                <w:szCs w:val="20"/>
              </w:rPr>
              <w:t>kWh</w:t>
            </w:r>
            <w:proofErr w:type="spellEnd"/>
            <w:r w:rsidR="00F53F1D" w:rsidRPr="004E6644">
              <w:rPr>
                <w:rFonts w:ascii="Times New Roman" w:eastAsia="Times New Roman" w:hAnsi="Times New Roman" w:cs="Times New Roman"/>
                <w:sz w:val="20"/>
                <w:szCs w:val="20"/>
              </w:rPr>
              <w:t>/gadā</w:t>
            </w:r>
            <w:r w:rsidR="00F53F1D" w:rsidRPr="00233A55">
              <w:rPr>
                <w:rFonts w:ascii="Times New Roman" w:eastAsia="Times New Roman" w:hAnsi="Times New Roman" w:cs="Times New Roman"/>
                <w:sz w:val="20"/>
                <w:szCs w:val="20"/>
              </w:rPr>
              <w:t>.</w:t>
            </w:r>
          </w:p>
          <w:p w14:paraId="106ED8E3" w14:textId="77777777" w:rsidR="00F53F1D" w:rsidRPr="00233A55" w:rsidRDefault="00F53F1D" w:rsidP="00F53F1D">
            <w:pPr>
              <w:jc w:val="both"/>
              <w:rPr>
                <w:rFonts w:ascii="Times New Roman" w:eastAsia="Times New Roman" w:hAnsi="Times New Roman" w:cs="Times New Roman"/>
                <w:sz w:val="20"/>
                <w:szCs w:val="20"/>
              </w:rPr>
            </w:pPr>
          </w:p>
          <w:p w14:paraId="07833809" w14:textId="77777777"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Primārās enerģijas patēriņa samazinājums:</w:t>
            </w:r>
          </w:p>
          <w:p w14:paraId="50097441" w14:textId="71CD189A"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Tiek plānots </w:t>
            </w:r>
            <w:r w:rsidR="001F5E31" w:rsidRPr="00233A55">
              <w:rPr>
                <w:rFonts w:ascii="Times New Roman" w:eastAsia="Times New Roman" w:hAnsi="Times New Roman" w:cs="Times New Roman"/>
                <w:sz w:val="20"/>
                <w:szCs w:val="20"/>
              </w:rPr>
              <w:t>30</w:t>
            </w:r>
            <w:r w:rsidRPr="00233A55">
              <w:rPr>
                <w:rFonts w:ascii="Times New Roman" w:eastAsia="Times New Roman" w:hAnsi="Times New Roman" w:cs="Times New Roman"/>
                <w:sz w:val="20"/>
                <w:szCs w:val="20"/>
              </w:rPr>
              <w:t xml:space="preserve">% ietaupījums, kas sastādīs </w:t>
            </w:r>
            <w:r w:rsidR="009B46CB" w:rsidRPr="00233A55">
              <w:rPr>
                <w:rFonts w:ascii="Times New Roman" w:eastAsia="Times New Roman" w:hAnsi="Times New Roman" w:cs="Times New Roman"/>
                <w:sz w:val="20"/>
                <w:szCs w:val="20"/>
              </w:rPr>
              <w:t>56 550 000</w:t>
            </w:r>
            <w:r w:rsidRPr="00233A55">
              <w:rPr>
                <w:rFonts w:ascii="Times New Roman" w:eastAsia="Times New Roman" w:hAnsi="Times New Roman" w:cs="Times New Roman"/>
                <w:sz w:val="20"/>
                <w:szCs w:val="20"/>
              </w:rPr>
              <w:t xml:space="preserve"> / 5500 x 1000  = </w:t>
            </w:r>
            <w:r w:rsidR="009B46CB" w:rsidRPr="00233A55">
              <w:rPr>
                <w:rFonts w:ascii="Times New Roman" w:eastAsia="Times New Roman" w:hAnsi="Times New Roman" w:cs="Times New Roman"/>
                <w:sz w:val="20"/>
                <w:szCs w:val="20"/>
              </w:rPr>
              <w:t>10 281 818</w:t>
            </w:r>
            <w:r w:rsidRPr="00233A55">
              <w:rPr>
                <w:rFonts w:ascii="Times New Roman" w:eastAsia="Times New Roman" w:hAnsi="Times New Roman" w:cs="Times New Roman"/>
                <w:sz w:val="20"/>
                <w:szCs w:val="20"/>
              </w:rPr>
              <w:t xml:space="preserve">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/gadā.</w:t>
            </w:r>
          </w:p>
          <w:p w14:paraId="15BDCA4A" w14:textId="77777777" w:rsidR="00F53F1D" w:rsidRPr="00233A55" w:rsidRDefault="00F53F1D" w:rsidP="00F53F1D">
            <w:pPr>
              <w:jc w:val="both"/>
              <w:rPr>
                <w:rFonts w:ascii="Times New Roman" w:eastAsia="Times New Roman" w:hAnsi="Times New Roman" w:cs="Times New Roman"/>
                <w:sz w:val="20"/>
                <w:szCs w:val="20"/>
              </w:rPr>
            </w:pPr>
          </w:p>
          <w:p w14:paraId="2D064935" w14:textId="77777777"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Sasniedzamā vērtība primārās enerģijas patēriņam:</w:t>
            </w:r>
          </w:p>
          <w:p w14:paraId="6533454D" w14:textId="7BC96372" w:rsidR="00F53F1D" w:rsidRPr="00233A55" w:rsidRDefault="005D5B7F"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34 272 726</w:t>
            </w:r>
            <w:r w:rsidR="00F53F1D" w:rsidRPr="00233A55">
              <w:rPr>
                <w:rFonts w:ascii="Times New Roman" w:eastAsia="Times New Roman" w:hAnsi="Times New Roman" w:cs="Times New Roman"/>
                <w:sz w:val="20"/>
                <w:szCs w:val="20"/>
              </w:rPr>
              <w:t xml:space="preserve"> – </w:t>
            </w:r>
            <w:r w:rsidR="009B46CB" w:rsidRPr="00233A55">
              <w:rPr>
                <w:rFonts w:ascii="Times New Roman" w:eastAsia="Times New Roman" w:hAnsi="Times New Roman" w:cs="Times New Roman"/>
                <w:sz w:val="20"/>
                <w:szCs w:val="20"/>
              </w:rPr>
              <w:t>10 281 818</w:t>
            </w:r>
            <w:r w:rsidR="00F53F1D" w:rsidRPr="00233A55">
              <w:rPr>
                <w:rFonts w:ascii="Times New Roman" w:eastAsia="Times New Roman" w:hAnsi="Times New Roman" w:cs="Times New Roman"/>
                <w:sz w:val="20"/>
                <w:szCs w:val="20"/>
              </w:rPr>
              <w:t xml:space="preserve"> = </w:t>
            </w:r>
            <w:r w:rsidR="00640185" w:rsidRPr="00233A55">
              <w:rPr>
                <w:rFonts w:ascii="Times New Roman" w:eastAsia="Times New Roman" w:hAnsi="Times New Roman" w:cs="Times New Roman"/>
                <w:sz w:val="20"/>
                <w:szCs w:val="20"/>
              </w:rPr>
              <w:t>23 990 908</w:t>
            </w:r>
            <w:r w:rsidR="00F53F1D" w:rsidRPr="00233A55">
              <w:rPr>
                <w:rFonts w:ascii="Times New Roman" w:eastAsia="Times New Roman" w:hAnsi="Times New Roman" w:cs="Times New Roman"/>
                <w:sz w:val="20"/>
                <w:szCs w:val="20"/>
              </w:rPr>
              <w:t xml:space="preserve"> </w:t>
            </w:r>
            <w:proofErr w:type="spellStart"/>
            <w:r w:rsidR="00F53F1D" w:rsidRPr="00233A55">
              <w:rPr>
                <w:rFonts w:ascii="Times New Roman" w:eastAsia="Times New Roman" w:hAnsi="Times New Roman" w:cs="Times New Roman"/>
                <w:sz w:val="20"/>
                <w:szCs w:val="20"/>
              </w:rPr>
              <w:t>kWh</w:t>
            </w:r>
            <w:proofErr w:type="spellEnd"/>
            <w:r w:rsidR="00F53F1D" w:rsidRPr="00233A55">
              <w:rPr>
                <w:rFonts w:ascii="Times New Roman" w:eastAsia="Times New Roman" w:hAnsi="Times New Roman" w:cs="Times New Roman"/>
                <w:sz w:val="20"/>
                <w:szCs w:val="20"/>
              </w:rPr>
              <w:t>/gadā.</w:t>
            </w:r>
          </w:p>
          <w:p w14:paraId="5F8C9776" w14:textId="011C513A" w:rsidR="00F53F1D" w:rsidRPr="00233A55" w:rsidRDefault="00F53F1D" w:rsidP="00F53F1D">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Aprēķinu pieņēmumi:</w:t>
            </w:r>
          </w:p>
          <w:p w14:paraId="2F9B6EF2" w14:textId="5DB1859C"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Kopējais finansējums sastādīs </w:t>
            </w:r>
            <w:r w:rsidR="009B46CB" w:rsidRPr="00233A55">
              <w:rPr>
                <w:rFonts w:ascii="Times New Roman" w:eastAsia="Times New Roman" w:hAnsi="Times New Roman" w:cs="Times New Roman"/>
                <w:sz w:val="20"/>
                <w:szCs w:val="20"/>
              </w:rPr>
              <w:t>56 550 000</w:t>
            </w:r>
            <w:r w:rsidRPr="00233A55">
              <w:rPr>
                <w:rFonts w:ascii="Times New Roman" w:eastAsia="Times New Roman" w:hAnsi="Times New Roman" w:cs="Times New Roman"/>
                <w:sz w:val="20"/>
                <w:szCs w:val="20"/>
              </w:rPr>
              <w:t xml:space="preserve"> EUR. </w:t>
            </w:r>
          </w:p>
          <w:p w14:paraId="78FC1506" w14:textId="77777777"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Aptuveni 5500 EUR ieguldījums energoefektivitātes pasākumos rada 1000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 xml:space="preserve"> (1 </w:t>
            </w:r>
            <w:proofErr w:type="spellStart"/>
            <w:r w:rsidRPr="00233A55">
              <w:rPr>
                <w:rFonts w:ascii="Times New Roman" w:eastAsia="Times New Roman" w:hAnsi="Times New Roman" w:cs="Times New Roman"/>
                <w:sz w:val="20"/>
                <w:szCs w:val="20"/>
              </w:rPr>
              <w:t>MWh</w:t>
            </w:r>
            <w:proofErr w:type="spellEnd"/>
            <w:r w:rsidRPr="00233A55">
              <w:rPr>
                <w:rFonts w:ascii="Times New Roman" w:eastAsia="Times New Roman" w:hAnsi="Times New Roman" w:cs="Times New Roman"/>
                <w:sz w:val="20"/>
                <w:szCs w:val="20"/>
              </w:rPr>
              <w:t xml:space="preserve">) energoresursu ietaupījumu gadā. </w:t>
            </w:r>
            <w:proofErr w:type="spellStart"/>
            <w:r w:rsidRPr="00233A55">
              <w:rPr>
                <w:rFonts w:ascii="Times New Roman" w:eastAsia="Times New Roman" w:hAnsi="Times New Roman" w:cs="Times New Roman"/>
                <w:sz w:val="20"/>
                <w:szCs w:val="20"/>
              </w:rPr>
              <w:t>Energoietaupījums</w:t>
            </w:r>
            <w:proofErr w:type="spellEnd"/>
            <w:r w:rsidRPr="00233A55">
              <w:rPr>
                <w:rFonts w:ascii="Times New Roman" w:eastAsia="Times New Roman" w:hAnsi="Times New Roman" w:cs="Times New Roman"/>
                <w:sz w:val="20"/>
                <w:szCs w:val="20"/>
              </w:rPr>
              <w:t xml:space="preserve"> vidēji sastādīs 20%.</w:t>
            </w:r>
          </w:p>
          <w:p w14:paraId="79BF8295" w14:textId="77777777"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Pieņēmumi noteikti, ņemot vērā </w:t>
            </w:r>
            <w:proofErr w:type="spellStart"/>
            <w:r w:rsidRPr="00233A55">
              <w:rPr>
                <w:rFonts w:ascii="Times New Roman" w:eastAsia="Times New Roman" w:hAnsi="Times New Roman" w:cs="Times New Roman"/>
                <w:sz w:val="20"/>
                <w:szCs w:val="20"/>
              </w:rPr>
              <w:t>Altum</w:t>
            </w:r>
            <w:proofErr w:type="spellEnd"/>
            <w:r w:rsidRPr="00233A55">
              <w:rPr>
                <w:rFonts w:ascii="Times New Roman" w:eastAsia="Times New Roman" w:hAnsi="Times New Roman" w:cs="Times New Roman"/>
                <w:sz w:val="20"/>
                <w:szCs w:val="20"/>
              </w:rPr>
              <w:t xml:space="preserve"> līdzšinējo pieredzi uzņēmumu energoefektivitātes  programmas rezultātus.</w:t>
            </w:r>
          </w:p>
          <w:p w14:paraId="01197CB4" w14:textId="77777777" w:rsidR="00976496" w:rsidRPr="00650F14" w:rsidRDefault="00976496" w:rsidP="00976496">
            <w:pPr>
              <w:jc w:val="both"/>
              <w:rPr>
                <w:rFonts w:ascii="Times New Roman" w:eastAsia="Times New Roman" w:hAnsi="Times New Roman" w:cs="Times New Roman"/>
                <w:sz w:val="20"/>
                <w:szCs w:val="20"/>
              </w:rPr>
            </w:pPr>
          </w:p>
          <w:p w14:paraId="49D1C6A7" w14:textId="3269516C" w:rsidR="00976496" w:rsidRPr="00233A55" w:rsidRDefault="00976496" w:rsidP="00976496">
            <w:pPr>
              <w:pStyle w:val="ListParagraph"/>
              <w:numPr>
                <w:ilvl w:val="0"/>
                <w:numId w:val="22"/>
              </w:num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Energoefektivitātes paaugstināšana rūpniecībā un komersantos</w:t>
            </w:r>
          </w:p>
          <w:p w14:paraId="4B8519CD" w14:textId="77777777"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Bāzes vērtība primārās enerģijas patēriņam:</w:t>
            </w:r>
          </w:p>
          <w:p w14:paraId="4C3BB001" w14:textId="77F910BC" w:rsidR="00F53F1D" w:rsidRPr="00233A55" w:rsidRDefault="007D3B72"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26 363 633</w:t>
            </w:r>
            <w:r w:rsidR="00F53F1D" w:rsidRPr="00233A55">
              <w:rPr>
                <w:rFonts w:ascii="Times New Roman" w:eastAsia="Times New Roman" w:hAnsi="Times New Roman" w:cs="Times New Roman"/>
                <w:sz w:val="20"/>
                <w:szCs w:val="20"/>
              </w:rPr>
              <w:t xml:space="preserve"> </w:t>
            </w:r>
            <w:proofErr w:type="spellStart"/>
            <w:r w:rsidR="00F53F1D" w:rsidRPr="00233A55">
              <w:rPr>
                <w:rFonts w:ascii="Times New Roman" w:eastAsia="Times New Roman" w:hAnsi="Times New Roman" w:cs="Times New Roman"/>
                <w:sz w:val="20"/>
                <w:szCs w:val="20"/>
              </w:rPr>
              <w:t>kWh</w:t>
            </w:r>
            <w:proofErr w:type="spellEnd"/>
            <w:r w:rsidR="00F53F1D" w:rsidRPr="00233A55">
              <w:rPr>
                <w:rFonts w:ascii="Times New Roman" w:eastAsia="Times New Roman" w:hAnsi="Times New Roman" w:cs="Times New Roman"/>
                <w:sz w:val="20"/>
                <w:szCs w:val="20"/>
              </w:rPr>
              <w:t>/gadā.</w:t>
            </w:r>
          </w:p>
          <w:p w14:paraId="28DBEABC" w14:textId="77777777" w:rsidR="00F53F1D" w:rsidRPr="00233A55" w:rsidRDefault="00F53F1D" w:rsidP="00F53F1D">
            <w:pPr>
              <w:jc w:val="both"/>
              <w:rPr>
                <w:rFonts w:ascii="Times New Roman" w:eastAsia="Times New Roman" w:hAnsi="Times New Roman" w:cs="Times New Roman"/>
                <w:sz w:val="20"/>
                <w:szCs w:val="20"/>
              </w:rPr>
            </w:pPr>
          </w:p>
          <w:p w14:paraId="17C8F602" w14:textId="77777777"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Primārās enerģijas patēriņa samazinājums:</w:t>
            </w:r>
          </w:p>
          <w:p w14:paraId="139257B0" w14:textId="2903F41C"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Tiek plānots </w:t>
            </w:r>
            <w:r w:rsidR="007D3B72" w:rsidRPr="00233A55">
              <w:rPr>
                <w:rFonts w:ascii="Times New Roman" w:eastAsia="Times New Roman" w:hAnsi="Times New Roman" w:cs="Times New Roman"/>
                <w:sz w:val="20"/>
                <w:szCs w:val="20"/>
              </w:rPr>
              <w:t>30</w:t>
            </w:r>
            <w:r w:rsidRPr="00233A55">
              <w:rPr>
                <w:rFonts w:ascii="Times New Roman" w:eastAsia="Times New Roman" w:hAnsi="Times New Roman" w:cs="Times New Roman"/>
                <w:sz w:val="20"/>
                <w:szCs w:val="20"/>
              </w:rPr>
              <w:t xml:space="preserve">% ietaupījums, kas sastādīs </w:t>
            </w:r>
            <w:r w:rsidR="00D70A2A" w:rsidRPr="00233A55">
              <w:rPr>
                <w:rFonts w:ascii="Times New Roman" w:eastAsia="Times New Roman" w:hAnsi="Times New Roman" w:cs="Times New Roman"/>
                <w:sz w:val="20"/>
                <w:szCs w:val="20"/>
              </w:rPr>
              <w:t>43 500 000</w:t>
            </w:r>
            <w:r w:rsidRPr="00233A55">
              <w:rPr>
                <w:rFonts w:ascii="Times New Roman" w:eastAsia="Times New Roman" w:hAnsi="Times New Roman" w:cs="Times New Roman"/>
                <w:sz w:val="20"/>
                <w:szCs w:val="20"/>
              </w:rPr>
              <w:t xml:space="preserve"> / 5500 x 1000  = </w:t>
            </w:r>
            <w:r w:rsidR="00365858" w:rsidRPr="00233A55">
              <w:rPr>
                <w:rFonts w:ascii="Times New Roman" w:eastAsia="Times New Roman" w:hAnsi="Times New Roman" w:cs="Times New Roman"/>
                <w:sz w:val="20"/>
                <w:szCs w:val="20"/>
              </w:rPr>
              <w:t>7 909 090</w:t>
            </w:r>
            <w:r w:rsidRPr="00233A55">
              <w:rPr>
                <w:rFonts w:ascii="Times New Roman" w:eastAsia="Times New Roman" w:hAnsi="Times New Roman" w:cs="Times New Roman"/>
                <w:sz w:val="20"/>
                <w:szCs w:val="20"/>
              </w:rPr>
              <w:t xml:space="preserve">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/gadā.</w:t>
            </w:r>
          </w:p>
          <w:p w14:paraId="703AADD0" w14:textId="77777777" w:rsidR="00F53F1D" w:rsidRPr="00233A55" w:rsidRDefault="00F53F1D" w:rsidP="00F53F1D">
            <w:pPr>
              <w:jc w:val="both"/>
              <w:rPr>
                <w:rFonts w:ascii="Times New Roman" w:eastAsia="Times New Roman" w:hAnsi="Times New Roman" w:cs="Times New Roman"/>
                <w:sz w:val="20"/>
                <w:szCs w:val="20"/>
              </w:rPr>
            </w:pPr>
          </w:p>
          <w:p w14:paraId="162AEB38" w14:textId="77777777"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Sasniedzamā vērtība primārās enerģijas patēriņam:</w:t>
            </w:r>
          </w:p>
          <w:p w14:paraId="078E7121" w14:textId="2014D97E" w:rsidR="00F53F1D" w:rsidRPr="00233A55" w:rsidRDefault="007D3B72"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26 363 633</w:t>
            </w:r>
            <w:r w:rsidR="00F53F1D" w:rsidRPr="00233A55">
              <w:rPr>
                <w:rFonts w:ascii="Times New Roman" w:eastAsia="Times New Roman" w:hAnsi="Times New Roman" w:cs="Times New Roman"/>
                <w:sz w:val="20"/>
                <w:szCs w:val="20"/>
              </w:rPr>
              <w:t xml:space="preserve"> – </w:t>
            </w:r>
            <w:r w:rsidR="00365858" w:rsidRPr="00233A55">
              <w:rPr>
                <w:rFonts w:ascii="Times New Roman" w:eastAsia="Times New Roman" w:hAnsi="Times New Roman" w:cs="Times New Roman"/>
                <w:sz w:val="20"/>
                <w:szCs w:val="20"/>
              </w:rPr>
              <w:t>7 909 090</w:t>
            </w:r>
            <w:r w:rsidR="00F53F1D" w:rsidRPr="00233A55">
              <w:rPr>
                <w:rFonts w:ascii="Times New Roman" w:eastAsia="Times New Roman" w:hAnsi="Times New Roman" w:cs="Times New Roman"/>
                <w:sz w:val="20"/>
                <w:szCs w:val="20"/>
              </w:rPr>
              <w:t xml:space="preserve"> = </w:t>
            </w:r>
            <w:r w:rsidRPr="00233A55">
              <w:rPr>
                <w:rFonts w:ascii="Times New Roman" w:eastAsia="Times New Roman" w:hAnsi="Times New Roman" w:cs="Times New Roman"/>
                <w:sz w:val="20"/>
                <w:szCs w:val="20"/>
              </w:rPr>
              <w:t>18 454 543</w:t>
            </w:r>
            <w:r w:rsidR="00F53F1D" w:rsidRPr="00233A55">
              <w:rPr>
                <w:rFonts w:ascii="Times New Roman" w:eastAsia="Times New Roman" w:hAnsi="Times New Roman" w:cs="Times New Roman"/>
                <w:sz w:val="20"/>
                <w:szCs w:val="20"/>
              </w:rPr>
              <w:t xml:space="preserve"> </w:t>
            </w:r>
            <w:proofErr w:type="spellStart"/>
            <w:r w:rsidR="00F53F1D" w:rsidRPr="00233A55">
              <w:rPr>
                <w:rFonts w:ascii="Times New Roman" w:eastAsia="Times New Roman" w:hAnsi="Times New Roman" w:cs="Times New Roman"/>
                <w:sz w:val="20"/>
                <w:szCs w:val="20"/>
              </w:rPr>
              <w:t>kWh</w:t>
            </w:r>
            <w:proofErr w:type="spellEnd"/>
            <w:r w:rsidR="00F53F1D" w:rsidRPr="00233A55">
              <w:rPr>
                <w:rFonts w:ascii="Times New Roman" w:eastAsia="Times New Roman" w:hAnsi="Times New Roman" w:cs="Times New Roman"/>
                <w:sz w:val="20"/>
                <w:szCs w:val="20"/>
              </w:rPr>
              <w:t>/gadā.</w:t>
            </w:r>
          </w:p>
          <w:p w14:paraId="7E96B1C9" w14:textId="77777777" w:rsidR="00F53F1D" w:rsidRPr="00233A55" w:rsidRDefault="00F53F1D" w:rsidP="00F53F1D">
            <w:pPr>
              <w:jc w:val="both"/>
              <w:rPr>
                <w:rFonts w:ascii="Times New Roman" w:eastAsia="Times New Roman" w:hAnsi="Times New Roman" w:cs="Times New Roman"/>
                <w:sz w:val="20"/>
                <w:szCs w:val="20"/>
              </w:rPr>
            </w:pPr>
          </w:p>
          <w:p w14:paraId="762F7210" w14:textId="77777777" w:rsidR="00F53F1D" w:rsidRPr="00233A55" w:rsidRDefault="00F53F1D" w:rsidP="00F53F1D">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Aprēķinu pieņēmumi:</w:t>
            </w:r>
          </w:p>
          <w:p w14:paraId="1537CE5F" w14:textId="3B0E135E" w:rsidR="00F53F1D" w:rsidRPr="00233A55" w:rsidRDefault="00F53F1D" w:rsidP="00F53F1D">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Kopējais finansējums sastādīs </w:t>
            </w:r>
            <w:r w:rsidR="00D70A2A" w:rsidRPr="00233A55">
              <w:rPr>
                <w:rFonts w:ascii="Times New Roman" w:eastAsia="Times New Roman" w:hAnsi="Times New Roman" w:cs="Times New Roman"/>
                <w:sz w:val="20"/>
                <w:szCs w:val="20"/>
              </w:rPr>
              <w:t>43 500 000</w:t>
            </w:r>
            <w:r w:rsidRPr="00233A55">
              <w:rPr>
                <w:rFonts w:ascii="Times New Roman" w:eastAsia="Times New Roman" w:hAnsi="Times New Roman" w:cs="Times New Roman"/>
                <w:sz w:val="20"/>
                <w:szCs w:val="20"/>
              </w:rPr>
              <w:t xml:space="preserve"> EUR.</w:t>
            </w:r>
          </w:p>
          <w:p w14:paraId="63F7E470" w14:textId="5AE87D48" w:rsidR="00F53F1D" w:rsidRPr="00233A55" w:rsidRDefault="00F53F1D" w:rsidP="00541875">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Aptuveni 5500 EUR ieguldījums energoefektivitātes pasākumos (ēkās un iekārtas) rada 1000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 xml:space="preserve"> (1 </w:t>
            </w:r>
            <w:proofErr w:type="spellStart"/>
            <w:r w:rsidRPr="00233A55">
              <w:rPr>
                <w:rFonts w:ascii="Times New Roman" w:eastAsia="Times New Roman" w:hAnsi="Times New Roman" w:cs="Times New Roman"/>
                <w:sz w:val="20"/>
                <w:szCs w:val="20"/>
              </w:rPr>
              <w:t>MWh</w:t>
            </w:r>
            <w:proofErr w:type="spellEnd"/>
            <w:r w:rsidRPr="00233A55">
              <w:rPr>
                <w:rFonts w:ascii="Times New Roman" w:eastAsia="Times New Roman" w:hAnsi="Times New Roman" w:cs="Times New Roman"/>
                <w:sz w:val="20"/>
                <w:szCs w:val="20"/>
              </w:rPr>
              <w:t xml:space="preserve">) energoresursu ietaupījumu gadā. </w:t>
            </w:r>
            <w:proofErr w:type="spellStart"/>
            <w:r w:rsidRPr="00233A55">
              <w:rPr>
                <w:rFonts w:ascii="Times New Roman" w:eastAsia="Times New Roman" w:hAnsi="Times New Roman" w:cs="Times New Roman"/>
                <w:sz w:val="20"/>
                <w:szCs w:val="20"/>
              </w:rPr>
              <w:t>Energoietaupījums</w:t>
            </w:r>
            <w:proofErr w:type="spellEnd"/>
            <w:r w:rsidRPr="00233A55">
              <w:rPr>
                <w:rFonts w:ascii="Times New Roman" w:eastAsia="Times New Roman" w:hAnsi="Times New Roman" w:cs="Times New Roman"/>
                <w:sz w:val="20"/>
                <w:szCs w:val="20"/>
              </w:rPr>
              <w:t xml:space="preserve"> vidēji sastādīs </w:t>
            </w:r>
            <w:r w:rsidR="007D3B72" w:rsidRPr="00233A55">
              <w:rPr>
                <w:rFonts w:ascii="Times New Roman" w:eastAsia="Times New Roman" w:hAnsi="Times New Roman" w:cs="Times New Roman"/>
                <w:sz w:val="20"/>
                <w:szCs w:val="20"/>
              </w:rPr>
              <w:t>30</w:t>
            </w:r>
            <w:r w:rsidRPr="00233A55">
              <w:rPr>
                <w:rFonts w:ascii="Times New Roman" w:eastAsia="Times New Roman" w:hAnsi="Times New Roman" w:cs="Times New Roman"/>
                <w:sz w:val="20"/>
                <w:szCs w:val="20"/>
              </w:rPr>
              <w:t>%.</w:t>
            </w:r>
          </w:p>
          <w:p w14:paraId="0D655C74" w14:textId="33E143EF" w:rsidR="00F53F1D" w:rsidRPr="00233A55" w:rsidRDefault="00F53F1D" w:rsidP="00541875">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lastRenderedPageBreak/>
              <w:t xml:space="preserve">Pieņēmumi noteikti, ņemot vērā </w:t>
            </w:r>
            <w:proofErr w:type="spellStart"/>
            <w:r w:rsidRPr="00233A55">
              <w:rPr>
                <w:rFonts w:ascii="Times New Roman" w:eastAsia="Times New Roman" w:hAnsi="Times New Roman" w:cs="Times New Roman"/>
                <w:sz w:val="20"/>
                <w:szCs w:val="20"/>
              </w:rPr>
              <w:t>Altum</w:t>
            </w:r>
            <w:proofErr w:type="spellEnd"/>
            <w:r w:rsidRPr="00233A55">
              <w:rPr>
                <w:rFonts w:ascii="Times New Roman" w:eastAsia="Times New Roman" w:hAnsi="Times New Roman" w:cs="Times New Roman"/>
                <w:sz w:val="20"/>
                <w:szCs w:val="20"/>
              </w:rPr>
              <w:t xml:space="preserve"> līdzšinējo pieredzi uzņēmumu energoefektivitātes  programmas rezultātus.</w:t>
            </w:r>
          </w:p>
          <w:p w14:paraId="2738C087" w14:textId="77777777" w:rsidR="00976496" w:rsidRPr="00233A55" w:rsidRDefault="00976496" w:rsidP="00976496">
            <w:pPr>
              <w:jc w:val="both"/>
              <w:rPr>
                <w:rFonts w:ascii="Times New Roman" w:eastAsia="Times New Roman" w:hAnsi="Times New Roman" w:cs="Times New Roman"/>
                <w:sz w:val="20"/>
                <w:szCs w:val="20"/>
              </w:rPr>
            </w:pPr>
          </w:p>
          <w:p w14:paraId="473EB975" w14:textId="77777777" w:rsidR="00976496" w:rsidRPr="00233A55" w:rsidRDefault="00976496" w:rsidP="00976496">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Piezīme: Svarīgi ņemt vērā, ka izvēlētā atbalsta forma ietekmēs kopējo nacionālo finansējumu, no kā atkarīga sasniedzamā enerģijas ietaupījuma vērtība. Atbilstoši izvēlētajai atbalsta intensitātei nepieciešams veikt pārrēķinu.</w:t>
            </w:r>
          </w:p>
          <w:p w14:paraId="23DF2ED6" w14:textId="41D224D6" w:rsidR="003442BE" w:rsidRPr="00233A55" w:rsidRDefault="003442BE" w:rsidP="003E04C2">
            <w:pPr>
              <w:rPr>
                <w:rFonts w:ascii="Times New Roman" w:eastAsiaTheme="minorEastAsia" w:hAnsi="Times New Roman" w:cs="Times New Roman"/>
                <w:sz w:val="20"/>
                <w:szCs w:val="20"/>
              </w:rPr>
            </w:pPr>
          </w:p>
          <w:p w14:paraId="44149ECF" w14:textId="77777777"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VARAM:</w:t>
            </w:r>
          </w:p>
          <w:p w14:paraId="7E8326B5" w14:textId="6471D38A" w:rsidR="003442BE" w:rsidRPr="00233A55" w:rsidRDefault="00386109"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Pašvaldību ēkas. </w:t>
            </w:r>
            <w:r w:rsidR="003442BE" w:rsidRPr="00233A55">
              <w:rPr>
                <w:rFonts w:ascii="Times New Roman" w:eastAsia="Times New Roman" w:hAnsi="Times New Roman" w:cs="Times New Roman"/>
                <w:sz w:val="20"/>
                <w:szCs w:val="20"/>
              </w:rPr>
              <w:t>Bāzes vērtība primārās enerģijas patēriņam:</w:t>
            </w:r>
          </w:p>
          <w:p w14:paraId="0870F933" w14:textId="706D5FAD" w:rsidR="003442BE" w:rsidRPr="00233A55" w:rsidRDefault="5546B2E6" w:rsidP="1C09F21C">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6 290 000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x 1</w:t>
            </w:r>
            <w:r w:rsidR="47701077" w:rsidRPr="00233A55">
              <w:rPr>
                <w:rFonts w:ascii="Times New Roman" w:eastAsia="Times New Roman" w:hAnsi="Times New Roman" w:cs="Times New Roman"/>
                <w:sz w:val="20"/>
                <w:szCs w:val="20"/>
              </w:rPr>
              <w:t>70</w:t>
            </w:r>
            <w:r w:rsidRPr="00233A55">
              <w:rPr>
                <w:rFonts w:ascii="Times New Roman" w:eastAsia="Times New Roman" w:hAnsi="Times New Roman" w:cs="Times New Roman"/>
                <w:sz w:val="20"/>
                <w:szCs w:val="20"/>
              </w:rPr>
              <w:t xml:space="preserve">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gadā</w:t>
            </w:r>
            <w:r w:rsidR="56CFCA7F" w:rsidRPr="00233A55">
              <w:rPr>
                <w:rFonts w:ascii="Times New Roman" w:eastAsia="Times New Roman" w:hAnsi="Times New Roman" w:cs="Times New Roman"/>
                <w:sz w:val="20"/>
                <w:szCs w:val="20"/>
              </w:rPr>
              <w:t xml:space="preserve"> x 0,2 </w:t>
            </w:r>
            <w:r w:rsidRPr="00233A55">
              <w:rPr>
                <w:rFonts w:ascii="Times New Roman" w:eastAsia="Times New Roman" w:hAnsi="Times New Roman" w:cs="Times New Roman"/>
                <w:sz w:val="20"/>
                <w:szCs w:val="20"/>
              </w:rPr>
              <w:t xml:space="preserve">= </w:t>
            </w:r>
            <w:r w:rsidR="7EED7D97" w:rsidRPr="00233A55">
              <w:rPr>
                <w:rFonts w:ascii="Times New Roman" w:eastAsia="Times New Roman" w:hAnsi="Times New Roman" w:cs="Times New Roman"/>
                <w:sz w:val="20"/>
                <w:szCs w:val="20"/>
              </w:rPr>
              <w:t>213 860 000</w:t>
            </w:r>
            <w:r w:rsidRPr="00233A55">
              <w:rPr>
                <w:rFonts w:ascii="Times New Roman" w:eastAsia="Times New Roman" w:hAnsi="Times New Roman" w:cs="Times New Roman"/>
                <w:sz w:val="20"/>
                <w:szCs w:val="20"/>
              </w:rPr>
              <w:t xml:space="preserve">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/gadā.</w:t>
            </w:r>
          </w:p>
          <w:p w14:paraId="7114CE59"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Primārās enerģijas patēriņa samazinājums:</w:t>
            </w:r>
          </w:p>
          <w:p w14:paraId="463D2EB5" w14:textId="091EDD92" w:rsidR="003442BE" w:rsidRPr="00233A55" w:rsidRDefault="0E41032E" w:rsidP="1C09F21C">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31 071 429</w:t>
            </w:r>
            <w:r w:rsidR="177D9E3B" w:rsidRPr="00233A55">
              <w:rPr>
                <w:rFonts w:ascii="Times New Roman" w:hAnsi="Times New Roman"/>
                <w:sz w:val="20"/>
                <w:szCs w:val="20"/>
              </w:rPr>
              <w:t xml:space="preserve"> </w:t>
            </w:r>
            <w:r w:rsidR="5546B2E6" w:rsidRPr="00233A55">
              <w:rPr>
                <w:rFonts w:ascii="Times New Roman" w:eastAsia="Times New Roman" w:hAnsi="Times New Roman" w:cs="Times New Roman"/>
                <w:sz w:val="20"/>
                <w:szCs w:val="20"/>
              </w:rPr>
              <w:t>/ 333 eiro/m</w:t>
            </w:r>
            <w:r w:rsidR="5546B2E6" w:rsidRPr="00233A55">
              <w:rPr>
                <w:rFonts w:ascii="Times New Roman" w:eastAsia="Times New Roman" w:hAnsi="Times New Roman" w:cs="Times New Roman"/>
                <w:sz w:val="20"/>
                <w:szCs w:val="20"/>
                <w:vertAlign w:val="superscript"/>
              </w:rPr>
              <w:t>2</w:t>
            </w:r>
            <w:r w:rsidR="5546B2E6" w:rsidRPr="00233A55">
              <w:rPr>
                <w:rFonts w:ascii="Times New Roman" w:eastAsia="Times New Roman" w:hAnsi="Times New Roman" w:cs="Times New Roman"/>
                <w:sz w:val="20"/>
                <w:szCs w:val="20"/>
              </w:rPr>
              <w:t xml:space="preserve"> x (1</w:t>
            </w:r>
            <w:r w:rsidR="27644A9C" w:rsidRPr="00233A55">
              <w:rPr>
                <w:rFonts w:ascii="Times New Roman" w:eastAsia="Times New Roman" w:hAnsi="Times New Roman" w:cs="Times New Roman"/>
                <w:sz w:val="20"/>
                <w:szCs w:val="20"/>
              </w:rPr>
              <w:t>70</w:t>
            </w:r>
            <w:r w:rsidR="5546B2E6" w:rsidRPr="00233A55">
              <w:rPr>
                <w:rFonts w:ascii="Times New Roman" w:eastAsia="Times New Roman" w:hAnsi="Times New Roman" w:cs="Times New Roman"/>
                <w:sz w:val="20"/>
                <w:szCs w:val="20"/>
              </w:rPr>
              <w:t xml:space="preserve"> </w:t>
            </w:r>
            <w:proofErr w:type="spellStart"/>
            <w:r w:rsidR="5546B2E6" w:rsidRPr="00233A55">
              <w:rPr>
                <w:rFonts w:ascii="Times New Roman" w:eastAsia="Times New Roman" w:hAnsi="Times New Roman" w:cs="Times New Roman"/>
                <w:sz w:val="20"/>
                <w:szCs w:val="20"/>
              </w:rPr>
              <w:t>kWh</w:t>
            </w:r>
            <w:proofErr w:type="spellEnd"/>
            <w:r w:rsidR="5546B2E6" w:rsidRPr="00233A55">
              <w:rPr>
                <w:rFonts w:ascii="Times New Roman" w:eastAsia="Times New Roman" w:hAnsi="Times New Roman" w:cs="Times New Roman"/>
                <w:sz w:val="20"/>
                <w:szCs w:val="20"/>
              </w:rPr>
              <w:t>/m</w:t>
            </w:r>
            <w:r w:rsidR="5546B2E6" w:rsidRPr="00233A55">
              <w:rPr>
                <w:rFonts w:ascii="Times New Roman" w:eastAsia="Times New Roman" w:hAnsi="Times New Roman" w:cs="Times New Roman"/>
                <w:sz w:val="20"/>
                <w:szCs w:val="20"/>
                <w:vertAlign w:val="superscript"/>
              </w:rPr>
              <w:t>2</w:t>
            </w:r>
            <w:r w:rsidR="5546B2E6" w:rsidRPr="00233A55">
              <w:rPr>
                <w:rFonts w:ascii="Times New Roman" w:eastAsia="Times New Roman" w:hAnsi="Times New Roman" w:cs="Times New Roman"/>
                <w:sz w:val="20"/>
                <w:szCs w:val="20"/>
              </w:rPr>
              <w:t xml:space="preserve"> gadā x </w:t>
            </w:r>
            <w:r w:rsidR="1F09ACCD" w:rsidRPr="00233A55">
              <w:rPr>
                <w:rFonts w:ascii="Times New Roman" w:eastAsia="Times New Roman" w:hAnsi="Times New Roman" w:cs="Times New Roman"/>
                <w:sz w:val="20"/>
                <w:szCs w:val="20"/>
              </w:rPr>
              <w:t>3</w:t>
            </w:r>
            <w:r w:rsidR="5546B2E6" w:rsidRPr="00233A55">
              <w:rPr>
                <w:rFonts w:ascii="Times New Roman" w:eastAsia="Times New Roman" w:hAnsi="Times New Roman" w:cs="Times New Roman"/>
                <w:sz w:val="20"/>
                <w:szCs w:val="20"/>
              </w:rPr>
              <w:t xml:space="preserve">0%) x </w:t>
            </w:r>
            <w:r w:rsidR="4888172C" w:rsidRPr="00233A55">
              <w:rPr>
                <w:rFonts w:ascii="Times New Roman" w:eastAsia="Times New Roman" w:hAnsi="Times New Roman" w:cs="Times New Roman"/>
                <w:sz w:val="20"/>
                <w:szCs w:val="20"/>
              </w:rPr>
              <w:t>0,2</w:t>
            </w:r>
            <w:r w:rsidR="5546B2E6" w:rsidRPr="00233A55">
              <w:rPr>
                <w:rFonts w:ascii="Times New Roman" w:eastAsia="Times New Roman" w:hAnsi="Times New Roman" w:cs="Times New Roman"/>
                <w:sz w:val="20"/>
                <w:szCs w:val="20"/>
              </w:rPr>
              <w:t xml:space="preserve"> = </w:t>
            </w:r>
            <w:r w:rsidR="1F9F6913" w:rsidRPr="00233A55">
              <w:rPr>
                <w:rFonts w:ascii="Times New Roman" w:eastAsia="Times New Roman" w:hAnsi="Times New Roman" w:cs="Times New Roman"/>
                <w:sz w:val="20"/>
                <w:szCs w:val="20"/>
              </w:rPr>
              <w:t>951 737</w:t>
            </w:r>
            <w:r w:rsidR="5546B2E6" w:rsidRPr="00233A55">
              <w:rPr>
                <w:rFonts w:ascii="Times New Roman" w:eastAsia="Times New Roman" w:hAnsi="Times New Roman" w:cs="Times New Roman"/>
                <w:sz w:val="20"/>
                <w:szCs w:val="20"/>
              </w:rPr>
              <w:t xml:space="preserve"> </w:t>
            </w:r>
            <w:proofErr w:type="spellStart"/>
            <w:r w:rsidR="5546B2E6" w:rsidRPr="00233A55">
              <w:rPr>
                <w:rFonts w:ascii="Times New Roman" w:eastAsia="Times New Roman" w:hAnsi="Times New Roman" w:cs="Times New Roman"/>
                <w:sz w:val="20"/>
                <w:szCs w:val="20"/>
              </w:rPr>
              <w:t>kWh</w:t>
            </w:r>
            <w:proofErr w:type="spellEnd"/>
            <w:r w:rsidR="5546B2E6" w:rsidRPr="00233A55">
              <w:rPr>
                <w:rFonts w:ascii="Times New Roman" w:eastAsia="Times New Roman" w:hAnsi="Times New Roman" w:cs="Times New Roman"/>
                <w:sz w:val="20"/>
                <w:szCs w:val="20"/>
              </w:rPr>
              <w:t>/gadā.</w:t>
            </w:r>
          </w:p>
          <w:p w14:paraId="6EF3F9A5" w14:textId="77777777" w:rsidR="00AF1E37" w:rsidRPr="00233A55" w:rsidRDefault="00AF1E37" w:rsidP="003442BE">
            <w:pPr>
              <w:jc w:val="both"/>
              <w:rPr>
                <w:rFonts w:ascii="Times New Roman" w:eastAsia="Times New Roman" w:hAnsi="Times New Roman" w:cs="Times New Roman"/>
                <w:sz w:val="20"/>
                <w:szCs w:val="20"/>
              </w:rPr>
            </w:pPr>
          </w:p>
          <w:p w14:paraId="3435B1B1" w14:textId="6FE2E83A"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Sasniedzamā vērtība primārās enerģijas patēriņam:</w:t>
            </w:r>
          </w:p>
          <w:p w14:paraId="0AEEA846" w14:textId="4D45F6E9" w:rsidR="003442BE" w:rsidRPr="00233A55" w:rsidRDefault="00DB514E" w:rsidP="1C09F21C">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213 860 000</w:t>
            </w:r>
            <w:r w:rsidR="5546B2E6" w:rsidRPr="00233A55">
              <w:rPr>
                <w:rFonts w:ascii="Times New Roman" w:eastAsia="Times New Roman" w:hAnsi="Times New Roman" w:cs="Times New Roman"/>
                <w:sz w:val="20"/>
                <w:szCs w:val="20"/>
              </w:rPr>
              <w:t xml:space="preserve"> </w:t>
            </w:r>
            <w:proofErr w:type="spellStart"/>
            <w:r w:rsidR="5546B2E6" w:rsidRPr="00233A55">
              <w:rPr>
                <w:rFonts w:ascii="Times New Roman" w:eastAsia="Times New Roman" w:hAnsi="Times New Roman" w:cs="Times New Roman"/>
                <w:sz w:val="20"/>
                <w:szCs w:val="20"/>
              </w:rPr>
              <w:t>kWh</w:t>
            </w:r>
            <w:proofErr w:type="spellEnd"/>
            <w:r w:rsidR="5546B2E6" w:rsidRPr="00233A55">
              <w:rPr>
                <w:rFonts w:ascii="Times New Roman" w:eastAsia="Times New Roman" w:hAnsi="Times New Roman" w:cs="Times New Roman"/>
                <w:sz w:val="20"/>
                <w:szCs w:val="20"/>
              </w:rPr>
              <w:t xml:space="preserve"> gadā </w:t>
            </w:r>
            <w:r w:rsidR="251588CE" w:rsidRPr="00233A55">
              <w:rPr>
                <w:rFonts w:ascii="Times New Roman" w:eastAsia="Times New Roman" w:hAnsi="Times New Roman" w:cs="Times New Roman"/>
                <w:sz w:val="20"/>
                <w:szCs w:val="20"/>
              </w:rPr>
              <w:t>-</w:t>
            </w:r>
            <w:r w:rsidR="5546B2E6" w:rsidRPr="00233A55">
              <w:rPr>
                <w:rFonts w:ascii="Times New Roman" w:eastAsia="Times New Roman" w:hAnsi="Times New Roman" w:cs="Times New Roman"/>
                <w:sz w:val="20"/>
                <w:szCs w:val="20"/>
              </w:rPr>
              <w:t xml:space="preserve"> </w:t>
            </w:r>
            <w:r w:rsidR="41BBDFFB" w:rsidRPr="00233A55">
              <w:rPr>
                <w:rFonts w:ascii="Times New Roman" w:eastAsia="Times New Roman" w:hAnsi="Times New Roman" w:cs="Times New Roman"/>
                <w:sz w:val="20"/>
                <w:szCs w:val="20"/>
              </w:rPr>
              <w:t>951 737</w:t>
            </w:r>
            <w:r w:rsidR="5546B2E6" w:rsidRPr="00233A55">
              <w:rPr>
                <w:rFonts w:ascii="Times New Roman" w:eastAsia="Times New Roman" w:hAnsi="Times New Roman" w:cs="Times New Roman"/>
                <w:sz w:val="20"/>
                <w:szCs w:val="20"/>
              </w:rPr>
              <w:t xml:space="preserve"> </w:t>
            </w:r>
            <w:proofErr w:type="spellStart"/>
            <w:r w:rsidR="5546B2E6" w:rsidRPr="00233A55">
              <w:rPr>
                <w:rFonts w:ascii="Times New Roman" w:eastAsia="Times New Roman" w:hAnsi="Times New Roman" w:cs="Times New Roman"/>
                <w:sz w:val="20"/>
                <w:szCs w:val="20"/>
              </w:rPr>
              <w:t>kWh</w:t>
            </w:r>
            <w:proofErr w:type="spellEnd"/>
            <w:r w:rsidR="5546B2E6" w:rsidRPr="00233A55">
              <w:rPr>
                <w:rFonts w:ascii="Times New Roman" w:eastAsia="Times New Roman" w:hAnsi="Times New Roman" w:cs="Times New Roman"/>
                <w:sz w:val="20"/>
                <w:szCs w:val="20"/>
              </w:rPr>
              <w:t xml:space="preserve">/gadā = </w:t>
            </w:r>
            <w:r w:rsidR="66CBE5D4" w:rsidRPr="00233A55">
              <w:rPr>
                <w:rFonts w:ascii="Times New Roman" w:eastAsia="Times New Roman" w:hAnsi="Times New Roman" w:cs="Times New Roman"/>
                <w:sz w:val="20"/>
                <w:szCs w:val="20"/>
              </w:rPr>
              <w:t>212 908 263</w:t>
            </w:r>
            <w:r w:rsidR="5546B2E6" w:rsidRPr="00233A55">
              <w:rPr>
                <w:rFonts w:ascii="Times New Roman" w:eastAsia="Times New Roman" w:hAnsi="Times New Roman" w:cs="Times New Roman"/>
                <w:sz w:val="20"/>
                <w:szCs w:val="20"/>
              </w:rPr>
              <w:t xml:space="preserve"> </w:t>
            </w:r>
            <w:proofErr w:type="spellStart"/>
            <w:r w:rsidR="5546B2E6" w:rsidRPr="00233A55">
              <w:rPr>
                <w:rFonts w:ascii="Times New Roman" w:eastAsia="Times New Roman" w:hAnsi="Times New Roman" w:cs="Times New Roman"/>
                <w:sz w:val="20"/>
                <w:szCs w:val="20"/>
              </w:rPr>
              <w:t>kWh</w:t>
            </w:r>
            <w:proofErr w:type="spellEnd"/>
            <w:r w:rsidR="5546B2E6" w:rsidRPr="00233A55">
              <w:rPr>
                <w:rFonts w:ascii="Times New Roman" w:eastAsia="Times New Roman" w:hAnsi="Times New Roman" w:cs="Times New Roman"/>
                <w:sz w:val="20"/>
                <w:szCs w:val="20"/>
              </w:rPr>
              <w:t>/gadā</w:t>
            </w:r>
          </w:p>
          <w:p w14:paraId="7EB4CC2F" w14:textId="77777777" w:rsidR="00AF1E37" w:rsidRPr="00233A55" w:rsidRDefault="00AF1E37" w:rsidP="003442BE">
            <w:pPr>
              <w:jc w:val="both"/>
              <w:rPr>
                <w:rFonts w:ascii="Times New Roman" w:eastAsia="Times New Roman" w:hAnsi="Times New Roman" w:cs="Times New Roman"/>
                <w:sz w:val="20"/>
                <w:szCs w:val="20"/>
              </w:rPr>
            </w:pPr>
          </w:p>
          <w:p w14:paraId="00BA3829" w14:textId="276F9506" w:rsidR="003442BE" w:rsidRPr="00233A55" w:rsidRDefault="003442BE" w:rsidP="003442BE">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Aprēķinu pieņēmumi:</w:t>
            </w:r>
          </w:p>
          <w:p w14:paraId="03092F40" w14:textId="101E1A3F" w:rsidR="003442BE" w:rsidRPr="00233A55" w:rsidRDefault="5546B2E6" w:rsidP="1C09F21C">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Pašvaldību ēku kopējā platība – 6 290 000 m2</w:t>
            </w:r>
            <w:r w:rsidR="003442BE" w:rsidRPr="00233A55">
              <w:rPr>
                <w:rFonts w:ascii="Times New Roman" w:eastAsia="Times New Roman" w:hAnsi="Times New Roman" w:cs="Times New Roman"/>
                <w:sz w:val="20"/>
                <w:szCs w:val="20"/>
                <w:vertAlign w:val="superscript"/>
              </w:rPr>
              <w:footnoteReference w:id="18"/>
            </w:r>
            <w:r w:rsidR="0887C568" w:rsidRPr="00233A55">
              <w:rPr>
                <w:rFonts w:ascii="Times New Roman" w:eastAsia="Times New Roman" w:hAnsi="Times New Roman" w:cs="Times New Roman"/>
                <w:sz w:val="20"/>
                <w:szCs w:val="20"/>
              </w:rPr>
              <w:t xml:space="preserve">. </w:t>
            </w:r>
            <w:r w:rsidRPr="00233A55">
              <w:rPr>
                <w:rFonts w:ascii="Times New Roman" w:eastAsia="Times New Roman" w:hAnsi="Times New Roman" w:cs="Times New Roman"/>
                <w:sz w:val="20"/>
                <w:szCs w:val="20"/>
              </w:rPr>
              <w:t xml:space="preserve">Vidējais īpatnējais enerģijas patēriņš </w:t>
            </w:r>
            <w:r w:rsidR="00F766FF" w:rsidRPr="00233A55">
              <w:rPr>
                <w:rFonts w:ascii="Times New Roman" w:eastAsia="Times New Roman" w:hAnsi="Times New Roman" w:cs="Times New Roman"/>
                <w:sz w:val="20"/>
                <w:szCs w:val="20"/>
              </w:rPr>
              <w:t xml:space="preserve">ēkai </w:t>
            </w:r>
            <w:r w:rsidRPr="00233A55">
              <w:rPr>
                <w:rFonts w:ascii="Times New Roman" w:eastAsia="Times New Roman" w:hAnsi="Times New Roman" w:cs="Times New Roman"/>
                <w:sz w:val="20"/>
                <w:szCs w:val="20"/>
              </w:rPr>
              <w:t xml:space="preserve">– </w:t>
            </w:r>
            <w:r w:rsidR="3AC3A94B" w:rsidRPr="00233A55">
              <w:rPr>
                <w:rFonts w:ascii="Times New Roman" w:eastAsia="Times New Roman" w:hAnsi="Times New Roman" w:cs="Times New Roman"/>
                <w:sz w:val="20"/>
                <w:szCs w:val="20"/>
              </w:rPr>
              <w:t xml:space="preserve">170 </w:t>
            </w:r>
            <w:proofErr w:type="spellStart"/>
            <w:r w:rsidR="3AC3A94B" w:rsidRPr="00233A55">
              <w:rPr>
                <w:rFonts w:ascii="Times New Roman" w:eastAsia="Times New Roman" w:hAnsi="Times New Roman" w:cs="Times New Roman"/>
                <w:sz w:val="20"/>
                <w:szCs w:val="20"/>
              </w:rPr>
              <w:t>kWh</w:t>
            </w:r>
            <w:proofErr w:type="spellEnd"/>
            <w:r w:rsidR="3AC3A94B" w:rsidRPr="00233A55">
              <w:rPr>
                <w:rFonts w:ascii="Times New Roman" w:eastAsia="Times New Roman" w:hAnsi="Times New Roman" w:cs="Times New Roman"/>
                <w:sz w:val="20"/>
                <w:szCs w:val="20"/>
              </w:rPr>
              <w:t>/m</w:t>
            </w:r>
            <w:r w:rsidR="3AC3A94B" w:rsidRPr="00233A55">
              <w:rPr>
                <w:rFonts w:ascii="Times New Roman" w:eastAsia="Times New Roman" w:hAnsi="Times New Roman" w:cs="Times New Roman"/>
                <w:sz w:val="20"/>
                <w:szCs w:val="20"/>
                <w:vertAlign w:val="superscript"/>
              </w:rPr>
              <w:t>2</w:t>
            </w:r>
            <w:r w:rsidR="3AC3A94B" w:rsidRPr="00233A55">
              <w:rPr>
                <w:rFonts w:ascii="Times New Roman" w:eastAsia="Times New Roman" w:hAnsi="Times New Roman" w:cs="Times New Roman"/>
                <w:sz w:val="20"/>
                <w:szCs w:val="20"/>
              </w:rPr>
              <w:t xml:space="preserve"> (t.sk. vidējais īpatnējais enerģijas patēriņš apkurei – </w:t>
            </w:r>
            <w:r w:rsidRPr="00233A55">
              <w:rPr>
                <w:rFonts w:ascii="Times New Roman" w:eastAsia="Times New Roman" w:hAnsi="Times New Roman" w:cs="Times New Roman"/>
                <w:sz w:val="20"/>
                <w:szCs w:val="20"/>
              </w:rPr>
              <w:t xml:space="preserve">139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gadā atbilstoši Būvniecības valsts kontroles biroja datiem 2019. gadā</w:t>
            </w:r>
            <w:r w:rsidR="1BE26301" w:rsidRPr="00233A55">
              <w:rPr>
                <w:rFonts w:ascii="Times New Roman" w:eastAsia="Times New Roman" w:hAnsi="Times New Roman" w:cs="Times New Roman"/>
                <w:sz w:val="20"/>
                <w:szCs w:val="20"/>
              </w:rPr>
              <w:t>)</w:t>
            </w:r>
            <w:r w:rsidRPr="00233A55">
              <w:rPr>
                <w:rFonts w:ascii="Times New Roman" w:eastAsia="Times New Roman" w:hAnsi="Times New Roman" w:cs="Times New Roman"/>
                <w:sz w:val="20"/>
                <w:szCs w:val="20"/>
              </w:rPr>
              <w:t>.</w:t>
            </w:r>
          </w:p>
          <w:p w14:paraId="12666021"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Energoefektivitātes pasākumu veikšanas izmaksas – 333 eiro/m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ņemot vērā VARAM 2020. gada aprīļa aptauju par pašvaldību primārajiem ieguldījumiem pašvaldību ēkās un 2014.-2020. gada plānošanas perioda 4.2.2. SAM pabeigto projektu datus.</w:t>
            </w:r>
          </w:p>
          <w:p w14:paraId="7C828199" w14:textId="031E51CC" w:rsidR="003442BE" w:rsidRPr="00233A55" w:rsidRDefault="5546B2E6"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Vidējais primārās enerģijas ietaupījums uz vienu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pēc renovācijas – </w:t>
            </w:r>
            <w:r w:rsidR="00A343B3" w:rsidRPr="00233A55">
              <w:rPr>
                <w:rFonts w:ascii="Times New Roman" w:eastAsia="Times New Roman" w:hAnsi="Times New Roman" w:cs="Times New Roman"/>
                <w:sz w:val="20"/>
                <w:szCs w:val="20"/>
              </w:rPr>
              <w:t>10,2</w:t>
            </w:r>
            <w:r w:rsidR="1F09ACCD" w:rsidRPr="00233A55">
              <w:rPr>
                <w:rFonts w:ascii="Times New Roman" w:eastAsia="Times New Roman" w:hAnsi="Times New Roman" w:cs="Times New Roman"/>
                <w:sz w:val="20"/>
                <w:szCs w:val="20"/>
              </w:rPr>
              <w:t xml:space="preserve"> </w:t>
            </w:r>
            <w:r w:rsidRPr="00233A55">
              <w:rPr>
                <w:rFonts w:ascii="Times New Roman" w:eastAsia="Times New Roman" w:hAnsi="Times New Roman" w:cs="Times New Roman"/>
                <w:sz w:val="20"/>
                <w:szCs w:val="20"/>
              </w:rPr>
              <w:t xml:space="preserve">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gadā, kas aprēķināts, pieņemot, ka tiks ietaupīti </w:t>
            </w:r>
            <w:r w:rsidR="1F09ACCD" w:rsidRPr="00233A55">
              <w:rPr>
                <w:rFonts w:ascii="Times New Roman" w:eastAsia="Times New Roman" w:hAnsi="Times New Roman" w:cs="Times New Roman"/>
                <w:sz w:val="20"/>
                <w:szCs w:val="20"/>
              </w:rPr>
              <w:t>3</w:t>
            </w:r>
            <w:r w:rsidRPr="00233A55">
              <w:rPr>
                <w:rFonts w:ascii="Times New Roman" w:eastAsia="Times New Roman" w:hAnsi="Times New Roman" w:cs="Times New Roman"/>
                <w:sz w:val="20"/>
                <w:szCs w:val="20"/>
              </w:rPr>
              <w:t xml:space="preserve">0% no vidējā </w:t>
            </w:r>
            <w:r w:rsidR="00C22480" w:rsidRPr="00233A55">
              <w:rPr>
                <w:rFonts w:ascii="Times New Roman" w:eastAsia="Times New Roman" w:hAnsi="Times New Roman" w:cs="Times New Roman"/>
                <w:sz w:val="20"/>
                <w:szCs w:val="20"/>
              </w:rPr>
              <w:t xml:space="preserve">ēkas </w:t>
            </w:r>
            <w:r w:rsidRPr="00233A55">
              <w:rPr>
                <w:rFonts w:ascii="Times New Roman" w:eastAsia="Times New Roman" w:hAnsi="Times New Roman" w:cs="Times New Roman"/>
                <w:sz w:val="20"/>
                <w:szCs w:val="20"/>
              </w:rPr>
              <w:t xml:space="preserve">īpatnējā </w:t>
            </w:r>
            <w:r w:rsidR="00C94D79" w:rsidRPr="00233A55">
              <w:rPr>
                <w:rFonts w:ascii="Times New Roman" w:eastAsia="Times New Roman" w:hAnsi="Times New Roman" w:cs="Times New Roman"/>
                <w:sz w:val="20"/>
                <w:szCs w:val="20"/>
              </w:rPr>
              <w:t xml:space="preserve">enerģijas </w:t>
            </w:r>
            <w:r w:rsidRPr="00233A55">
              <w:rPr>
                <w:rFonts w:ascii="Times New Roman" w:eastAsia="Times New Roman" w:hAnsi="Times New Roman" w:cs="Times New Roman"/>
                <w:sz w:val="20"/>
                <w:szCs w:val="20"/>
              </w:rPr>
              <w:t>patēriņa (1</w:t>
            </w:r>
            <w:r w:rsidR="407880E3" w:rsidRPr="00233A55">
              <w:rPr>
                <w:rFonts w:ascii="Times New Roman" w:eastAsia="Times New Roman" w:hAnsi="Times New Roman" w:cs="Times New Roman"/>
                <w:sz w:val="20"/>
                <w:szCs w:val="20"/>
              </w:rPr>
              <w:t>70</w:t>
            </w:r>
            <w:r w:rsidRPr="00233A55">
              <w:rPr>
                <w:rFonts w:ascii="Times New Roman" w:eastAsia="Times New Roman" w:hAnsi="Times New Roman" w:cs="Times New Roman"/>
                <w:sz w:val="20"/>
                <w:szCs w:val="20"/>
              </w:rPr>
              <w:t xml:space="preserve">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gadā).</w:t>
            </w:r>
          </w:p>
          <w:p w14:paraId="35B2D790" w14:textId="2932A77C" w:rsidR="003442BE" w:rsidRPr="00233A55" w:rsidRDefault="5546B2E6"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Primārās enerģijas </w:t>
            </w:r>
            <w:r w:rsidR="008923B2" w:rsidRPr="00233A55">
              <w:rPr>
                <w:rFonts w:ascii="Times New Roman" w:eastAsia="Times New Roman" w:hAnsi="Times New Roman" w:cs="Times New Roman"/>
                <w:sz w:val="20"/>
                <w:szCs w:val="20"/>
              </w:rPr>
              <w:t xml:space="preserve">faktors </w:t>
            </w:r>
            <w:r w:rsidR="00A343B3" w:rsidRPr="00233A55">
              <w:rPr>
                <w:rFonts w:ascii="Times New Roman" w:eastAsia="Times New Roman" w:hAnsi="Times New Roman" w:cs="Times New Roman"/>
                <w:sz w:val="20"/>
                <w:szCs w:val="20"/>
              </w:rPr>
              <w:t>neatjaunojamo energores</w:t>
            </w:r>
            <w:r w:rsidR="008923B2" w:rsidRPr="00233A55">
              <w:rPr>
                <w:rFonts w:ascii="Times New Roman" w:eastAsia="Times New Roman" w:hAnsi="Times New Roman" w:cs="Times New Roman"/>
                <w:sz w:val="20"/>
                <w:szCs w:val="20"/>
              </w:rPr>
              <w:t>ursu daļai</w:t>
            </w:r>
            <w:r w:rsidRPr="00233A55">
              <w:rPr>
                <w:rFonts w:ascii="Times New Roman" w:eastAsia="Times New Roman" w:hAnsi="Times New Roman" w:cs="Times New Roman"/>
                <w:sz w:val="20"/>
                <w:szCs w:val="20"/>
              </w:rPr>
              <w:t xml:space="preserve"> – </w:t>
            </w:r>
            <w:r w:rsidR="3919AD05" w:rsidRPr="00233A55">
              <w:rPr>
                <w:rFonts w:ascii="Times New Roman" w:eastAsia="Times New Roman" w:hAnsi="Times New Roman" w:cs="Times New Roman"/>
                <w:sz w:val="20"/>
                <w:szCs w:val="20"/>
              </w:rPr>
              <w:t>0,2</w:t>
            </w:r>
            <w:r w:rsidR="00143279" w:rsidRPr="00233A55">
              <w:rPr>
                <w:rStyle w:val="FootnoteReference"/>
                <w:rFonts w:ascii="Times New Roman" w:eastAsia="Times New Roman" w:hAnsi="Times New Roman" w:cs="Times New Roman"/>
                <w:sz w:val="20"/>
                <w:szCs w:val="20"/>
              </w:rPr>
              <w:footnoteReference w:id="19"/>
            </w:r>
            <w:r w:rsidRPr="00233A55">
              <w:rPr>
                <w:rFonts w:ascii="Times New Roman" w:eastAsia="Times New Roman" w:hAnsi="Times New Roman" w:cs="Times New Roman"/>
                <w:sz w:val="20"/>
                <w:szCs w:val="20"/>
              </w:rPr>
              <w:t xml:space="preserve">. </w:t>
            </w:r>
          </w:p>
          <w:p w14:paraId="661D4795" w14:textId="77777777" w:rsidR="003442BE" w:rsidRPr="00233A55" w:rsidRDefault="003442BE" w:rsidP="003442BE">
            <w:pPr>
              <w:rPr>
                <w:rFonts w:ascii="Times New Roman" w:eastAsia="Times New Roman" w:hAnsi="Times New Roman" w:cs="Times New Roman"/>
                <w:sz w:val="20"/>
                <w:szCs w:val="20"/>
              </w:rPr>
            </w:pPr>
          </w:p>
          <w:p w14:paraId="0C501DE9" w14:textId="3AA54E1A"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IZM:</w:t>
            </w:r>
          </w:p>
          <w:p w14:paraId="2585B5D9"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Bāzes vērtība primārās enerģijas patēriņam:</w:t>
            </w:r>
          </w:p>
          <w:p w14:paraId="159DFB69" w14:textId="2C6D600A" w:rsidR="003442BE" w:rsidRDefault="003442BE" w:rsidP="003442BE">
            <w:pPr>
              <w:jc w:val="both"/>
              <w:rPr>
                <w:rFonts w:ascii="Times New Roman" w:hAnsi="Times New Roman" w:cs="Times New Roman"/>
                <w:sz w:val="20"/>
                <w:szCs w:val="20"/>
                <w:lang w:eastAsia="lv-LV"/>
              </w:rPr>
            </w:pPr>
            <w:r w:rsidRPr="00233A55">
              <w:rPr>
                <w:rFonts w:ascii="Times New Roman" w:eastAsia="Times New Roman" w:hAnsi="Times New Roman" w:cs="Times New Roman"/>
                <w:sz w:val="20"/>
                <w:szCs w:val="20"/>
              </w:rPr>
              <w:t>385 090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x 148 </w:t>
            </w:r>
            <w:proofErr w:type="spellStart"/>
            <w:r w:rsidRPr="00233A55">
              <w:rPr>
                <w:rFonts w:ascii="Times New Roman" w:hAnsi="Times New Roman" w:cs="Times New Roman"/>
                <w:sz w:val="20"/>
                <w:szCs w:val="20"/>
                <w:lang w:eastAsia="lv-LV"/>
              </w:rPr>
              <w:t>kWh</w:t>
            </w:r>
            <w:proofErr w:type="spellEnd"/>
            <w:r w:rsidRPr="00233A55">
              <w:rPr>
                <w:rFonts w:ascii="Times New Roman" w:hAnsi="Times New Roman" w:cs="Times New Roman"/>
                <w:sz w:val="20"/>
                <w:szCs w:val="20"/>
                <w:lang w:eastAsia="lv-LV"/>
              </w:rPr>
              <w:t>/m</w:t>
            </w:r>
            <w:r w:rsidRPr="00233A55">
              <w:rPr>
                <w:rFonts w:ascii="Times New Roman" w:hAnsi="Times New Roman" w:cs="Times New Roman"/>
                <w:sz w:val="20"/>
                <w:szCs w:val="20"/>
                <w:vertAlign w:val="superscript"/>
                <w:lang w:eastAsia="lv-LV"/>
              </w:rPr>
              <w:t>2</w:t>
            </w:r>
            <w:r w:rsidRPr="00233A55">
              <w:rPr>
                <w:rFonts w:ascii="Times New Roman" w:hAnsi="Times New Roman" w:cs="Times New Roman"/>
                <w:sz w:val="20"/>
                <w:szCs w:val="20"/>
                <w:lang w:eastAsia="lv-LV"/>
              </w:rPr>
              <w:t xml:space="preserve"> gadā = </w:t>
            </w:r>
            <w:r w:rsidR="00E0188D">
              <w:rPr>
                <w:rFonts w:ascii="Times New Roman" w:hAnsi="Times New Roman" w:cs="Times New Roman"/>
                <w:sz w:val="20"/>
                <w:szCs w:val="20"/>
                <w:lang w:eastAsia="lv-LV"/>
              </w:rPr>
              <w:t>56 993 320</w:t>
            </w:r>
            <w:r w:rsidRPr="00233A55">
              <w:rPr>
                <w:rFonts w:ascii="Times New Roman" w:hAnsi="Times New Roman" w:cs="Times New Roman"/>
                <w:sz w:val="20"/>
                <w:szCs w:val="20"/>
              </w:rPr>
              <w:t xml:space="preserve"> </w:t>
            </w:r>
            <w:proofErr w:type="spellStart"/>
            <w:r w:rsidRPr="00233A55">
              <w:rPr>
                <w:rFonts w:ascii="Times New Roman" w:hAnsi="Times New Roman" w:cs="Times New Roman"/>
                <w:sz w:val="20"/>
                <w:szCs w:val="20"/>
                <w:lang w:eastAsia="lv-LV"/>
              </w:rPr>
              <w:t>kWh</w:t>
            </w:r>
            <w:proofErr w:type="spellEnd"/>
            <w:r w:rsidRPr="00233A55">
              <w:rPr>
                <w:rFonts w:ascii="Times New Roman" w:hAnsi="Times New Roman" w:cs="Times New Roman"/>
                <w:sz w:val="20"/>
                <w:szCs w:val="20"/>
                <w:lang w:eastAsia="lv-LV"/>
              </w:rPr>
              <w:t>/gadā.</w:t>
            </w:r>
          </w:p>
          <w:p w14:paraId="24EA7EB4" w14:textId="77777777" w:rsidR="00AF1E37" w:rsidRPr="00233A55" w:rsidRDefault="00AF1E37" w:rsidP="003442BE">
            <w:pPr>
              <w:jc w:val="both"/>
              <w:rPr>
                <w:rFonts w:ascii="Times New Roman" w:eastAsia="Times New Roman" w:hAnsi="Times New Roman" w:cs="Times New Roman"/>
                <w:sz w:val="20"/>
                <w:szCs w:val="20"/>
              </w:rPr>
            </w:pPr>
          </w:p>
          <w:p w14:paraId="68C299BF" w14:textId="159F411B" w:rsidR="003442BE"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Primārās enerģijas patēriņa samazinājums:</w:t>
            </w:r>
            <w:r w:rsidR="00216C97">
              <w:rPr>
                <w:rFonts w:ascii="Times New Roman" w:eastAsia="Times New Roman" w:hAnsi="Times New Roman" w:cs="Times New Roman"/>
                <w:sz w:val="20"/>
                <w:szCs w:val="20"/>
              </w:rPr>
              <w:t xml:space="preserve"> </w:t>
            </w:r>
          </w:p>
          <w:p w14:paraId="31FE0232" w14:textId="428528A6" w:rsidR="00216C97" w:rsidRDefault="00216C97" w:rsidP="003442BE">
            <w:pPr>
              <w:jc w:val="both"/>
              <w:rPr>
                <w:rFonts w:ascii="Times New Roman" w:eastAsia="Times New Roman" w:hAnsi="Times New Roman" w:cs="Times New Roman"/>
                <w:sz w:val="20"/>
                <w:szCs w:val="20"/>
              </w:rPr>
            </w:pPr>
            <w:r w:rsidRPr="00216C97">
              <w:rPr>
                <w:rFonts w:ascii="Times New Roman" w:eastAsia="Times New Roman" w:hAnsi="Times New Roman" w:cs="Times New Roman"/>
                <w:sz w:val="20"/>
                <w:szCs w:val="20"/>
              </w:rPr>
              <w:t>(</w:t>
            </w:r>
            <w:r w:rsidR="0047408E">
              <w:rPr>
                <w:rFonts w:ascii="Times New Roman" w:eastAsia="Times New Roman" w:hAnsi="Times New Roman" w:cs="Times New Roman"/>
                <w:sz w:val="20"/>
                <w:szCs w:val="20"/>
              </w:rPr>
              <w:t xml:space="preserve">11 483 000 </w:t>
            </w:r>
            <w:r w:rsidR="00DF51FA">
              <w:rPr>
                <w:rFonts w:ascii="Times New Roman" w:eastAsia="Times New Roman" w:hAnsi="Times New Roman" w:cs="Times New Roman"/>
                <w:sz w:val="20"/>
                <w:szCs w:val="20"/>
              </w:rPr>
              <w:t>EUR</w:t>
            </w:r>
            <w:r w:rsidRPr="00216C97">
              <w:rPr>
                <w:rFonts w:ascii="Times New Roman" w:eastAsia="Times New Roman" w:hAnsi="Times New Roman" w:cs="Times New Roman"/>
                <w:sz w:val="20"/>
                <w:szCs w:val="20"/>
              </w:rPr>
              <w:t xml:space="preserve"> /500 </w:t>
            </w:r>
            <w:r w:rsidR="00DF51FA">
              <w:rPr>
                <w:rFonts w:ascii="Times New Roman" w:eastAsia="Times New Roman" w:hAnsi="Times New Roman" w:cs="Times New Roman"/>
                <w:sz w:val="20"/>
                <w:szCs w:val="20"/>
              </w:rPr>
              <w:t>EUR</w:t>
            </w:r>
            <w:r w:rsidRPr="00216C97">
              <w:rPr>
                <w:rFonts w:ascii="Times New Roman" w:eastAsia="Times New Roman" w:hAnsi="Times New Roman" w:cs="Times New Roman"/>
                <w:sz w:val="20"/>
                <w:szCs w:val="20"/>
              </w:rPr>
              <w:t xml:space="preserve">/m2 x (148 </w:t>
            </w:r>
            <w:proofErr w:type="spellStart"/>
            <w:r w:rsidRPr="00216C97">
              <w:rPr>
                <w:rFonts w:ascii="Times New Roman" w:eastAsia="Times New Roman" w:hAnsi="Times New Roman" w:cs="Times New Roman"/>
                <w:sz w:val="20"/>
                <w:szCs w:val="20"/>
              </w:rPr>
              <w:t>kWh</w:t>
            </w:r>
            <w:proofErr w:type="spellEnd"/>
            <w:r w:rsidRPr="00216C97">
              <w:rPr>
                <w:rFonts w:ascii="Times New Roman" w:eastAsia="Times New Roman" w:hAnsi="Times New Roman" w:cs="Times New Roman"/>
                <w:sz w:val="20"/>
                <w:szCs w:val="20"/>
              </w:rPr>
              <w:t xml:space="preserve">/m2 gadā x </w:t>
            </w:r>
            <w:r w:rsidR="0047408E">
              <w:rPr>
                <w:rFonts w:ascii="Times New Roman" w:eastAsia="Times New Roman" w:hAnsi="Times New Roman" w:cs="Times New Roman"/>
                <w:sz w:val="20"/>
                <w:szCs w:val="20"/>
              </w:rPr>
              <w:t>3</w:t>
            </w:r>
            <w:r w:rsidRPr="00216C97">
              <w:rPr>
                <w:rFonts w:ascii="Times New Roman" w:eastAsia="Times New Roman" w:hAnsi="Times New Roman" w:cs="Times New Roman"/>
                <w:sz w:val="20"/>
                <w:szCs w:val="20"/>
              </w:rPr>
              <w:t xml:space="preserve">0%) x </w:t>
            </w:r>
            <w:r w:rsidR="00DF51FA">
              <w:rPr>
                <w:rFonts w:ascii="Times New Roman" w:eastAsia="Times New Roman" w:hAnsi="Times New Roman" w:cs="Times New Roman"/>
                <w:sz w:val="20"/>
                <w:szCs w:val="20"/>
              </w:rPr>
              <w:t>0,2</w:t>
            </w:r>
            <w:r w:rsidRPr="00216C97">
              <w:rPr>
                <w:rFonts w:ascii="Times New Roman" w:eastAsia="Times New Roman" w:hAnsi="Times New Roman" w:cs="Times New Roman"/>
                <w:sz w:val="20"/>
                <w:szCs w:val="20"/>
              </w:rPr>
              <w:t xml:space="preserve"> = </w:t>
            </w:r>
            <w:r w:rsidR="00DF51FA">
              <w:rPr>
                <w:rFonts w:ascii="Times New Roman" w:eastAsia="Times New Roman" w:hAnsi="Times New Roman" w:cs="Times New Roman"/>
                <w:sz w:val="20"/>
                <w:szCs w:val="20"/>
              </w:rPr>
              <w:t>203 938</w:t>
            </w:r>
            <w:r w:rsidR="0047408E">
              <w:rPr>
                <w:rFonts w:ascii="Times New Roman" w:eastAsia="Times New Roman" w:hAnsi="Times New Roman" w:cs="Times New Roman"/>
                <w:sz w:val="20"/>
                <w:szCs w:val="20"/>
              </w:rPr>
              <w:t xml:space="preserve"> </w:t>
            </w:r>
            <w:r w:rsidRPr="00216C97">
              <w:rPr>
                <w:rFonts w:ascii="Times New Roman" w:eastAsia="Times New Roman" w:hAnsi="Times New Roman" w:cs="Times New Roman"/>
                <w:sz w:val="20"/>
                <w:szCs w:val="20"/>
              </w:rPr>
              <w:t xml:space="preserve"> </w:t>
            </w:r>
            <w:proofErr w:type="spellStart"/>
            <w:r w:rsidRPr="00216C97">
              <w:rPr>
                <w:rFonts w:ascii="Times New Roman" w:eastAsia="Times New Roman" w:hAnsi="Times New Roman" w:cs="Times New Roman"/>
                <w:sz w:val="20"/>
                <w:szCs w:val="20"/>
              </w:rPr>
              <w:t>kWh</w:t>
            </w:r>
            <w:proofErr w:type="spellEnd"/>
            <w:r w:rsidRPr="00216C97">
              <w:rPr>
                <w:rFonts w:ascii="Times New Roman" w:eastAsia="Times New Roman" w:hAnsi="Times New Roman" w:cs="Times New Roman"/>
                <w:sz w:val="20"/>
                <w:szCs w:val="20"/>
              </w:rPr>
              <w:t>/gadā.</w:t>
            </w:r>
          </w:p>
          <w:p w14:paraId="57BAB815" w14:textId="77777777" w:rsidR="00216C97" w:rsidRDefault="00216C97" w:rsidP="003442BE">
            <w:pPr>
              <w:jc w:val="both"/>
              <w:rPr>
                <w:rFonts w:ascii="Times New Roman" w:eastAsia="Times New Roman" w:hAnsi="Times New Roman" w:cs="Times New Roman"/>
                <w:sz w:val="20"/>
                <w:szCs w:val="20"/>
              </w:rPr>
            </w:pPr>
          </w:p>
          <w:p w14:paraId="397E97D2" w14:textId="16064AA3"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Sasniedzamā vērtība primārās enerģijas patēriņam:</w:t>
            </w:r>
          </w:p>
          <w:p w14:paraId="48932F87" w14:textId="38CF3C26" w:rsidR="003442BE" w:rsidRDefault="00E0188D" w:rsidP="003442BE">
            <w:pPr>
              <w:jc w:val="both"/>
              <w:rPr>
                <w:rFonts w:ascii="Times New Roman" w:eastAsia="Times New Roman" w:hAnsi="Times New Roman" w:cs="Times New Roman"/>
                <w:sz w:val="20"/>
                <w:szCs w:val="20"/>
              </w:rPr>
            </w:pPr>
            <w:r>
              <w:rPr>
                <w:rFonts w:ascii="Times New Roman" w:hAnsi="Times New Roman" w:cs="Times New Roman"/>
                <w:sz w:val="20"/>
                <w:szCs w:val="20"/>
                <w:lang w:eastAsia="lv-LV"/>
              </w:rPr>
              <w:t>56 993 320</w:t>
            </w:r>
            <w:r w:rsidRPr="00233A55">
              <w:rPr>
                <w:rFonts w:ascii="Times New Roman" w:hAnsi="Times New Roman" w:cs="Times New Roman"/>
                <w:sz w:val="20"/>
                <w:szCs w:val="20"/>
              </w:rPr>
              <w:t xml:space="preserve"> </w:t>
            </w:r>
            <w:proofErr w:type="spellStart"/>
            <w:r w:rsidR="003442BE" w:rsidRPr="00233A55">
              <w:rPr>
                <w:rFonts w:ascii="Times New Roman" w:eastAsia="Times New Roman" w:hAnsi="Times New Roman" w:cs="Times New Roman"/>
                <w:sz w:val="20"/>
                <w:szCs w:val="20"/>
              </w:rPr>
              <w:t>kWh</w:t>
            </w:r>
            <w:proofErr w:type="spellEnd"/>
            <w:r w:rsidR="003442BE" w:rsidRPr="00233A55">
              <w:rPr>
                <w:rFonts w:ascii="Times New Roman" w:eastAsia="Times New Roman" w:hAnsi="Times New Roman" w:cs="Times New Roman"/>
                <w:sz w:val="20"/>
                <w:szCs w:val="20"/>
              </w:rPr>
              <w:t xml:space="preserve"> gadā</w:t>
            </w:r>
            <w:r w:rsidR="00572FAD">
              <w:rPr>
                <w:rFonts w:ascii="Times New Roman" w:eastAsia="Times New Roman" w:hAnsi="Times New Roman" w:cs="Times New Roman"/>
                <w:sz w:val="20"/>
                <w:szCs w:val="20"/>
              </w:rPr>
              <w:t xml:space="preserve"> -</w:t>
            </w:r>
            <w:r w:rsidR="003442BE" w:rsidRPr="00233A55">
              <w:rPr>
                <w:rFonts w:ascii="Times New Roman" w:eastAsia="Times New Roman" w:hAnsi="Times New Roman" w:cs="Times New Roman"/>
                <w:sz w:val="20"/>
                <w:szCs w:val="20"/>
              </w:rPr>
              <w:t xml:space="preserve">  </w:t>
            </w:r>
            <w:r w:rsidR="00DF51FA">
              <w:rPr>
                <w:rFonts w:ascii="Times New Roman" w:eastAsia="Times New Roman" w:hAnsi="Times New Roman" w:cs="Times New Roman"/>
                <w:sz w:val="20"/>
                <w:szCs w:val="20"/>
              </w:rPr>
              <w:t xml:space="preserve">203 938 </w:t>
            </w:r>
            <w:r>
              <w:rPr>
                <w:rFonts w:ascii="Times New Roman" w:eastAsia="Times New Roman" w:hAnsi="Times New Roman" w:cs="Times New Roman"/>
                <w:sz w:val="20"/>
                <w:szCs w:val="20"/>
              </w:rPr>
              <w:t xml:space="preserve"> </w:t>
            </w:r>
            <w:proofErr w:type="spellStart"/>
            <w:r w:rsidR="003442BE" w:rsidRPr="00233A55">
              <w:rPr>
                <w:rFonts w:ascii="Times New Roman" w:eastAsia="Times New Roman" w:hAnsi="Times New Roman" w:cs="Times New Roman"/>
                <w:sz w:val="20"/>
                <w:szCs w:val="20"/>
              </w:rPr>
              <w:t>kWh</w:t>
            </w:r>
            <w:proofErr w:type="spellEnd"/>
            <w:r w:rsidR="003442BE" w:rsidRPr="00233A55">
              <w:rPr>
                <w:rFonts w:ascii="Times New Roman" w:eastAsia="Times New Roman" w:hAnsi="Times New Roman" w:cs="Times New Roman"/>
                <w:sz w:val="20"/>
                <w:szCs w:val="20"/>
              </w:rPr>
              <w:t xml:space="preserve">/gadā = </w:t>
            </w:r>
            <w:r w:rsidR="00DF51FA">
              <w:rPr>
                <w:rFonts w:ascii="Times New Roman" w:eastAsia="Times New Roman" w:hAnsi="Times New Roman" w:cs="Times New Roman"/>
                <w:sz w:val="20"/>
                <w:szCs w:val="20"/>
              </w:rPr>
              <w:t>56 789 382</w:t>
            </w:r>
            <w:r w:rsidR="003442BE" w:rsidRPr="00233A55">
              <w:rPr>
                <w:rFonts w:ascii="Times New Roman" w:eastAsia="Times New Roman" w:hAnsi="Times New Roman" w:cs="Times New Roman"/>
                <w:sz w:val="20"/>
                <w:szCs w:val="20"/>
              </w:rPr>
              <w:t xml:space="preserve"> </w:t>
            </w:r>
            <w:proofErr w:type="spellStart"/>
            <w:r w:rsidR="003442BE" w:rsidRPr="00233A55">
              <w:rPr>
                <w:rFonts w:ascii="Times New Roman" w:eastAsia="Times New Roman" w:hAnsi="Times New Roman" w:cs="Times New Roman"/>
                <w:sz w:val="20"/>
                <w:szCs w:val="20"/>
              </w:rPr>
              <w:t>kWh</w:t>
            </w:r>
            <w:proofErr w:type="spellEnd"/>
            <w:r w:rsidR="003442BE" w:rsidRPr="00233A55">
              <w:rPr>
                <w:rFonts w:ascii="Times New Roman" w:eastAsia="Times New Roman" w:hAnsi="Times New Roman" w:cs="Times New Roman"/>
                <w:sz w:val="20"/>
                <w:szCs w:val="20"/>
              </w:rPr>
              <w:t>/gadā.</w:t>
            </w:r>
          </w:p>
          <w:p w14:paraId="16E39FF3" w14:textId="77777777" w:rsidR="00F96F2E" w:rsidRPr="00233A55" w:rsidRDefault="00F96F2E" w:rsidP="003442BE">
            <w:pPr>
              <w:jc w:val="both"/>
              <w:rPr>
                <w:rFonts w:ascii="Times New Roman" w:eastAsia="Times New Roman" w:hAnsi="Times New Roman" w:cs="Times New Roman"/>
                <w:sz w:val="20"/>
                <w:szCs w:val="20"/>
              </w:rPr>
            </w:pPr>
          </w:p>
          <w:p w14:paraId="51931885"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IZM PII un koledžu kopējā apkurināmā platība - 385 090</w:t>
            </w:r>
            <w:r w:rsidRPr="00233A55">
              <w:rPr>
                <w:rFonts w:ascii="Times New Roman" w:hAnsi="Times New Roman" w:cs="Times New Roman"/>
                <w:sz w:val="20"/>
                <w:szCs w:val="20"/>
              </w:rPr>
              <w:t xml:space="preserve"> </w:t>
            </w:r>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w:t>
            </w:r>
          </w:p>
          <w:p w14:paraId="1320954A"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Vidējais īpatnējais enerģijas patēriņš apkurei – 148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gadā izglītības iestādes, atbilstoši Būvniecības valsts kontroles biroja datiem 2019. gadā.</w:t>
            </w:r>
          </w:p>
          <w:p w14:paraId="640BEBBB"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Energoefektivitātes pasākumu veikšanas izmaksas – 500 EUR/m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ņemot vērā pasākuma komplekso pieeju energoefektivitātes paaugstināšanai, tostarp investīcijas viedā </w:t>
            </w:r>
            <w:proofErr w:type="spellStart"/>
            <w:r w:rsidRPr="00233A55">
              <w:rPr>
                <w:rFonts w:ascii="Times New Roman" w:eastAsia="Times New Roman" w:hAnsi="Times New Roman" w:cs="Times New Roman"/>
                <w:sz w:val="20"/>
                <w:szCs w:val="20"/>
              </w:rPr>
              <w:t>energovadībā</w:t>
            </w:r>
            <w:proofErr w:type="spellEnd"/>
            <w:r w:rsidRPr="00233A55">
              <w:rPr>
                <w:rFonts w:ascii="Times New Roman" w:eastAsia="Times New Roman" w:hAnsi="Times New Roman" w:cs="Times New Roman"/>
                <w:sz w:val="20"/>
                <w:szCs w:val="20"/>
              </w:rPr>
              <w:t xml:space="preserve">, videi draudzīgos ilgtermiņa apsaimniekošanas risinājumos enerģijas taupīšanai vai ieguvei no atjaunojamiem resursiem, balstoties uz 2014.-2020. gada plānošanas perioda būvniecības projektu izmaksu un būvdarbu pieredzi, PII iesniegtajiem investīciju pieprasījumiem. Projektu īstenošanas nosacījumu izstrādē tiks ņemti vērā </w:t>
            </w:r>
            <w:proofErr w:type="spellStart"/>
            <w:r w:rsidRPr="00233A55">
              <w:rPr>
                <w:rFonts w:ascii="Times New Roman" w:eastAsia="Times New Roman" w:hAnsi="Times New Roman" w:cs="Times New Roman"/>
                <w:sz w:val="20"/>
                <w:szCs w:val="20"/>
              </w:rPr>
              <w:t>izvērtējuma</w:t>
            </w:r>
            <w:proofErr w:type="spellEnd"/>
            <w:r w:rsidRPr="00233A55">
              <w:rPr>
                <w:rFonts w:ascii="Times New Roman" w:eastAsia="Times New Roman" w:hAnsi="Times New Roman" w:cs="Times New Roman"/>
                <w:sz w:val="20"/>
                <w:szCs w:val="20"/>
              </w:rPr>
              <w:t xml:space="preserve"> „Ilgtspējīgi risinājumi profesionālās izglītības iestāžu mācību vides un infrastruktūras izmantošanā un apsaimniekošanā” rezultāti. </w:t>
            </w:r>
          </w:p>
          <w:p w14:paraId="385F5973" w14:textId="0FF64193"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Vidējais primārās enerģijas ietaupījums uz vienu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pēc renovācijas – </w:t>
            </w:r>
            <w:r w:rsidR="00E50DE1">
              <w:rPr>
                <w:rFonts w:ascii="Times New Roman" w:eastAsia="Times New Roman" w:hAnsi="Times New Roman" w:cs="Times New Roman"/>
                <w:sz w:val="20"/>
                <w:szCs w:val="20"/>
              </w:rPr>
              <w:t>8,8</w:t>
            </w:r>
            <w:r w:rsidRPr="00233A55">
              <w:rPr>
                <w:rFonts w:ascii="Times New Roman" w:eastAsia="Times New Roman" w:hAnsi="Times New Roman" w:cs="Times New Roman"/>
                <w:sz w:val="20"/>
                <w:szCs w:val="20"/>
              </w:rPr>
              <w:t>_kWh/m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gadā, kas aprēķināts, pieņemot, ka tiks ietaupīti </w:t>
            </w:r>
            <w:r w:rsidR="004477E6">
              <w:rPr>
                <w:rFonts w:ascii="Times New Roman" w:eastAsia="Times New Roman" w:hAnsi="Times New Roman" w:cs="Times New Roman"/>
                <w:sz w:val="20"/>
                <w:szCs w:val="20"/>
              </w:rPr>
              <w:t>3</w:t>
            </w:r>
            <w:r w:rsidR="004477E6" w:rsidRPr="00233A55">
              <w:rPr>
                <w:rFonts w:ascii="Times New Roman" w:eastAsia="Times New Roman" w:hAnsi="Times New Roman" w:cs="Times New Roman"/>
                <w:sz w:val="20"/>
                <w:szCs w:val="20"/>
              </w:rPr>
              <w:t>0</w:t>
            </w:r>
            <w:r w:rsidRPr="00233A55">
              <w:rPr>
                <w:rFonts w:ascii="Times New Roman" w:eastAsia="Times New Roman" w:hAnsi="Times New Roman" w:cs="Times New Roman"/>
                <w:sz w:val="20"/>
                <w:szCs w:val="20"/>
              </w:rPr>
              <w:t xml:space="preserve">% no vidējā īpatnējā patēriņa apkurei (148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/m2 gadā).</w:t>
            </w:r>
          </w:p>
          <w:p w14:paraId="3CF75590" w14:textId="753E5029"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Primārās enerģijas koeficients – </w:t>
            </w:r>
            <w:r w:rsidR="00DF51FA">
              <w:rPr>
                <w:rFonts w:ascii="Times New Roman" w:eastAsia="Times New Roman" w:hAnsi="Times New Roman" w:cs="Times New Roman"/>
                <w:sz w:val="20"/>
                <w:szCs w:val="20"/>
              </w:rPr>
              <w:t>0,2</w:t>
            </w:r>
            <w:r w:rsidRPr="00233A55">
              <w:rPr>
                <w:rFonts w:ascii="Times New Roman" w:eastAsia="Times New Roman" w:hAnsi="Times New Roman" w:cs="Times New Roman"/>
                <w:sz w:val="20"/>
                <w:szCs w:val="20"/>
              </w:rPr>
              <w:t xml:space="preserve">. </w:t>
            </w:r>
          </w:p>
          <w:p w14:paraId="7B019512" w14:textId="5847EC3B" w:rsidR="003442BE" w:rsidRPr="00650F14"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Reizi gadā, apkopojot informāciju par atbalstītajiem projektiem no projektu atskaitēm/KPVIS sistēmas.</w:t>
            </w:r>
          </w:p>
        </w:tc>
      </w:tr>
      <w:tr w:rsidR="003442BE" w:rsidRPr="00233A55" w14:paraId="2AEA60DA" w14:textId="77777777" w:rsidTr="66C95113">
        <w:tc>
          <w:tcPr>
            <w:tcW w:w="1985" w:type="dxa"/>
            <w:vMerge/>
          </w:tcPr>
          <w:p w14:paraId="152E0EEB" w14:textId="16753DB6" w:rsidR="003442BE" w:rsidRPr="00650F14" w:rsidRDefault="003442BE" w:rsidP="003442BE">
            <w:pPr>
              <w:jc w:val="both"/>
              <w:rPr>
                <w:rFonts w:ascii="Times New Roman" w:eastAsia="Times New Roman" w:hAnsi="Times New Roman" w:cs="Times New Roman"/>
                <w:b/>
                <w:bCs/>
                <w:sz w:val="20"/>
                <w:szCs w:val="20"/>
              </w:rPr>
            </w:pPr>
          </w:p>
        </w:tc>
        <w:tc>
          <w:tcPr>
            <w:tcW w:w="7513" w:type="dxa"/>
          </w:tcPr>
          <w:p w14:paraId="13688DAC" w14:textId="77777777" w:rsidR="003442BE" w:rsidRPr="00233A55" w:rsidRDefault="003442BE" w:rsidP="003442BE">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Intervences loģika</w:t>
            </w:r>
          </w:p>
          <w:p w14:paraId="007C9972" w14:textId="3A57EAA3"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EM:</w:t>
            </w:r>
          </w:p>
          <w:p w14:paraId="16348D08" w14:textId="0D6C7071" w:rsidR="003E04C2" w:rsidRPr="00233A55" w:rsidRDefault="003E04C2" w:rsidP="003E04C2">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Ar plānotajiem ieguldījumiem paredzēts sniegt ieguldījumu</w:t>
            </w:r>
            <w:r w:rsidR="005C37E6">
              <w:rPr>
                <w:rFonts w:ascii="Times New Roman" w:eastAsia="Times New Roman" w:hAnsi="Times New Roman" w:cs="Times New Roman"/>
                <w:sz w:val="20"/>
                <w:szCs w:val="20"/>
              </w:rPr>
              <w:t xml:space="preserve"> </w:t>
            </w:r>
            <w:r w:rsidRPr="00233A55">
              <w:rPr>
                <w:rFonts w:ascii="Times New Roman" w:eastAsia="Times New Roman" w:hAnsi="Times New Roman" w:cs="Times New Roman"/>
                <w:sz w:val="20"/>
                <w:szCs w:val="20"/>
              </w:rPr>
              <w:t>sasniegt Nacionālajā enerģētikas un klimata plānā noteiktos mērķus sasniegšanā.</w:t>
            </w:r>
          </w:p>
          <w:p w14:paraId="47175499" w14:textId="77777777" w:rsidR="003442BE" w:rsidRPr="00233A55" w:rsidRDefault="003442BE" w:rsidP="003442BE">
            <w:pPr>
              <w:rPr>
                <w:rFonts w:ascii="Times New Roman" w:eastAsia="Times New Roman" w:hAnsi="Times New Roman" w:cs="Times New Roman"/>
                <w:sz w:val="20"/>
                <w:szCs w:val="20"/>
              </w:rPr>
            </w:pPr>
          </w:p>
          <w:p w14:paraId="65155589" w14:textId="77777777"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VARAM:</w:t>
            </w:r>
          </w:p>
          <w:p w14:paraId="539D2620" w14:textId="26D827BF" w:rsidR="003442BE" w:rsidRPr="00233A55" w:rsidRDefault="003442BE" w:rsidP="003442BE">
            <w:pPr>
              <w:jc w:val="both"/>
              <w:rPr>
                <w:rFonts w:ascii="Times New Roman" w:eastAsia="Times New Roman" w:hAnsi="Times New Roman" w:cs="Times New Roman"/>
                <w:color w:val="000000" w:themeColor="text1"/>
                <w:sz w:val="20"/>
                <w:szCs w:val="20"/>
              </w:rPr>
            </w:pPr>
            <w:r w:rsidRPr="00233A55">
              <w:rPr>
                <w:rFonts w:ascii="Times New Roman" w:eastAsia="Times New Roman" w:hAnsi="Times New Roman" w:cs="Times New Roman"/>
                <w:sz w:val="20"/>
                <w:szCs w:val="20"/>
              </w:rPr>
              <w:t>Saskaņā ar Reģionālās politikas pamatnostādnēs 2021.-2027.gadam norādīto, pēc piederības statusa Nekustamā īpašuma valsts kadastra informācijas sistēmā reģistrētas 4 967 pašvaldībām piederošas ēkas ar 6,29 milj. m</w:t>
            </w:r>
            <w:r w:rsidRPr="00233A55">
              <w:rPr>
                <w:rFonts w:ascii="Times New Roman" w:eastAsia="Times New Roman" w:hAnsi="Times New Roman" w:cs="Times New Roman"/>
                <w:sz w:val="20"/>
                <w:szCs w:val="20"/>
                <w:vertAlign w:val="superscript"/>
              </w:rPr>
              <w:t>2</w:t>
            </w:r>
            <w:r w:rsidRPr="00233A55">
              <w:rPr>
                <w:rFonts w:ascii="Times New Roman" w:eastAsia="Times New Roman" w:hAnsi="Times New Roman" w:cs="Times New Roman"/>
                <w:sz w:val="20"/>
                <w:szCs w:val="20"/>
              </w:rPr>
              <w:t xml:space="preserve"> platību, t.sk. izglītības un veselības aprūpes iestāžu ēkas. Kopumā nepieciešams samazināt primārās enerģijas patēriņu par 67 991 529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 xml:space="preserve">/gadā. Liela daļa no pašvaldību ēkām ir uzbūvētas pirms 2003.gada un prioritāri ir nepieciešams samazināt to enerģijas patēriņu, vienlaikus nodrošinot stabilu iekštelpu mikrovidi. Veicot ieguldījumus 2.1.1. SAM ietvaros, plānots primārās enerģijas patēriņa samazinājums </w:t>
            </w:r>
            <w:r w:rsidR="00143279" w:rsidRPr="00233A55">
              <w:rPr>
                <w:rFonts w:ascii="Times New Roman" w:eastAsia="Times New Roman" w:hAnsi="Times New Roman" w:cs="Times New Roman"/>
                <w:b/>
                <w:sz w:val="20"/>
                <w:szCs w:val="20"/>
              </w:rPr>
              <w:t xml:space="preserve">3 890 927 </w:t>
            </w:r>
            <w:r w:rsidR="00150F53" w:rsidRPr="00233A55">
              <w:rPr>
                <w:rFonts w:ascii="Times New Roman" w:eastAsia="Times New Roman" w:hAnsi="Times New Roman" w:cs="Times New Roman"/>
                <w:b/>
                <w:sz w:val="20"/>
                <w:szCs w:val="20"/>
              </w:rPr>
              <w:t xml:space="preserve">  </w:t>
            </w:r>
            <w:proofErr w:type="spellStart"/>
            <w:r w:rsidRPr="00233A55">
              <w:rPr>
                <w:rFonts w:ascii="Times New Roman" w:eastAsia="Times New Roman" w:hAnsi="Times New Roman" w:cs="Times New Roman"/>
                <w:sz w:val="20"/>
                <w:szCs w:val="20"/>
              </w:rPr>
              <w:t>kWh</w:t>
            </w:r>
            <w:proofErr w:type="spellEnd"/>
            <w:r w:rsidRPr="00233A55">
              <w:rPr>
                <w:rFonts w:ascii="Times New Roman" w:eastAsia="Times New Roman" w:hAnsi="Times New Roman" w:cs="Times New Roman"/>
                <w:sz w:val="20"/>
                <w:szCs w:val="20"/>
              </w:rPr>
              <w:t>/gadā.</w:t>
            </w:r>
          </w:p>
          <w:p w14:paraId="7E7F59E8" w14:textId="77777777" w:rsidR="003442BE" w:rsidRPr="00233A55" w:rsidRDefault="003442BE" w:rsidP="003442BE">
            <w:pPr>
              <w:rPr>
                <w:rFonts w:ascii="Times New Roman" w:eastAsia="Times New Roman" w:hAnsi="Times New Roman" w:cs="Times New Roman"/>
                <w:sz w:val="20"/>
                <w:szCs w:val="20"/>
              </w:rPr>
            </w:pPr>
          </w:p>
          <w:p w14:paraId="76A9241F" w14:textId="3F84F526"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IZM:</w:t>
            </w:r>
          </w:p>
          <w:p w14:paraId="22FEFADB" w14:textId="72961D3B" w:rsidR="003442BE" w:rsidRPr="00650F14" w:rsidRDefault="003442BE" w:rsidP="005B0F03">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Lielā daļā </w:t>
            </w:r>
            <w:r w:rsidRPr="00233A55">
              <w:rPr>
                <w:rFonts w:ascii="Times New Roman" w:eastAsia="Times New Roman" w:hAnsi="Times New Roman" w:cs="Times New Roman"/>
                <w:color w:val="000000" w:themeColor="text1"/>
                <w:sz w:val="20"/>
                <w:szCs w:val="20"/>
                <w:lang w:val="lv"/>
              </w:rPr>
              <w:t xml:space="preserve">profesionālās izglītības iestāžu un koledžu ir veikta infrastruktūras modernizēšana, cita starpā energoefektivitātes paaugstināšana.   Tomēr joprojām ir nepieciešams līdzsvarot energoefektivitāti ar integrētu atjaunošanu. Pasākuma ietvaros tiks veicināts energoefektīvs un ilgtspējīgs valsts izglītības iestāžu tīkls, kas demonstrē  racionāla enerģijas un citu vides resursu patēriņa veicināšanu un neitrālu ietekmi uz vidi. Veicot ieguldījumus 2.1.1.SAM ietvaros, plānots primārās enerģijas patēriņa samazinājums </w:t>
            </w:r>
            <w:r w:rsidR="00E50DE1">
              <w:rPr>
                <w:rFonts w:ascii="Times New Roman" w:eastAsia="Times New Roman" w:hAnsi="Times New Roman" w:cs="Times New Roman"/>
                <w:sz w:val="20"/>
                <w:szCs w:val="20"/>
              </w:rPr>
              <w:t xml:space="preserve">203 938  </w:t>
            </w:r>
            <w:proofErr w:type="spellStart"/>
            <w:r w:rsidRPr="00233A55">
              <w:rPr>
                <w:rFonts w:ascii="Times New Roman" w:eastAsia="Times New Roman" w:hAnsi="Times New Roman" w:cs="Times New Roman"/>
                <w:color w:val="000000" w:themeColor="text1"/>
                <w:sz w:val="20"/>
                <w:szCs w:val="20"/>
                <w:lang w:val="lv"/>
              </w:rPr>
              <w:t>kWh</w:t>
            </w:r>
            <w:proofErr w:type="spellEnd"/>
            <w:r w:rsidRPr="00233A55">
              <w:rPr>
                <w:rFonts w:ascii="Times New Roman" w:eastAsia="Times New Roman" w:hAnsi="Times New Roman" w:cs="Times New Roman"/>
                <w:color w:val="000000" w:themeColor="text1"/>
                <w:sz w:val="20"/>
                <w:szCs w:val="20"/>
                <w:lang w:val="lv"/>
              </w:rPr>
              <w:t>/gadā.</w:t>
            </w:r>
          </w:p>
        </w:tc>
      </w:tr>
      <w:tr w:rsidR="003442BE" w:rsidRPr="00233A55" w14:paraId="3BA23377" w14:textId="77777777" w:rsidTr="66C95113">
        <w:tc>
          <w:tcPr>
            <w:tcW w:w="1985" w:type="dxa"/>
          </w:tcPr>
          <w:p w14:paraId="2CFFAAB1" w14:textId="77777777" w:rsidR="003442BE" w:rsidRPr="00233A55" w:rsidRDefault="003442BE" w:rsidP="003442BE">
            <w:pPr>
              <w:jc w:val="both"/>
              <w:rPr>
                <w:rFonts w:ascii="Times New Roman" w:eastAsia="Times New Roman" w:hAnsi="Times New Roman" w:cs="Times New Roman"/>
                <w:b/>
                <w:bCs/>
                <w:sz w:val="20"/>
                <w:szCs w:val="20"/>
              </w:rPr>
            </w:pPr>
          </w:p>
        </w:tc>
        <w:tc>
          <w:tcPr>
            <w:tcW w:w="7513" w:type="dxa"/>
          </w:tcPr>
          <w:p w14:paraId="5A0AC0A3" w14:textId="77777777" w:rsidR="003442BE" w:rsidRPr="00233A55" w:rsidRDefault="003442BE" w:rsidP="003442BE">
            <w:pPr>
              <w:jc w:val="both"/>
              <w:rPr>
                <w:rFonts w:ascii="Times New Roman" w:hAnsi="Times New Roman" w:cs="Times New Roman"/>
                <w:b/>
                <w:bCs/>
                <w:iCs/>
                <w:sz w:val="20"/>
                <w:szCs w:val="20"/>
              </w:rPr>
            </w:pPr>
            <w:r w:rsidRPr="00233A55">
              <w:rPr>
                <w:rFonts w:ascii="Times New Roman" w:hAnsi="Times New Roman" w:cs="Times New Roman"/>
                <w:b/>
                <w:bCs/>
                <w:iCs/>
                <w:sz w:val="20"/>
                <w:szCs w:val="20"/>
              </w:rPr>
              <w:t>Iespējamie riski</w:t>
            </w:r>
          </w:p>
          <w:p w14:paraId="5DCACF96" w14:textId="24284B29" w:rsidR="003E04C2" w:rsidRPr="00233A55" w:rsidRDefault="003E04C2" w:rsidP="003E04C2">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EM:</w:t>
            </w:r>
          </w:p>
          <w:p w14:paraId="488A9C89" w14:textId="77777777" w:rsidR="003E04C2" w:rsidRPr="00233A55" w:rsidRDefault="003E04C2" w:rsidP="003E04C2">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Rādītāja sasniegšanas riski. Izmaksu sadārdzinājumu gadījumā pastāv iespēja ar piešķirto finansējuma apjomu sasniegt zemākus rādītājus.</w:t>
            </w:r>
          </w:p>
          <w:p w14:paraId="4972108A" w14:textId="77777777" w:rsidR="003442BE" w:rsidRPr="00233A55" w:rsidRDefault="003442BE" w:rsidP="003442BE">
            <w:pPr>
              <w:rPr>
                <w:rFonts w:ascii="Times New Roman" w:eastAsia="Times New Roman" w:hAnsi="Times New Roman" w:cs="Times New Roman"/>
                <w:sz w:val="20"/>
                <w:szCs w:val="20"/>
              </w:rPr>
            </w:pPr>
          </w:p>
          <w:p w14:paraId="335A474D" w14:textId="77777777"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VARAM:</w:t>
            </w:r>
          </w:p>
          <w:p w14:paraId="7AF0F0B3" w14:textId="77777777" w:rsidR="003442BE" w:rsidRPr="00233A55" w:rsidRDefault="003442BE" w:rsidP="003442BE">
            <w:pPr>
              <w:jc w:val="both"/>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 xml:space="preserve">Iespējams, datu neprecizitātes risks, ko var novērst, aicinot pašvaldības iesniegt detalizētu informāciju atbilstoši ēku </w:t>
            </w:r>
            <w:proofErr w:type="spellStart"/>
            <w:r w:rsidRPr="00233A55">
              <w:rPr>
                <w:rFonts w:ascii="Times New Roman" w:eastAsia="Times New Roman" w:hAnsi="Times New Roman" w:cs="Times New Roman"/>
                <w:sz w:val="20"/>
                <w:szCs w:val="20"/>
              </w:rPr>
              <w:t>energosertifikātos</w:t>
            </w:r>
            <w:proofErr w:type="spellEnd"/>
            <w:r w:rsidRPr="00233A55">
              <w:rPr>
                <w:rFonts w:ascii="Times New Roman" w:eastAsia="Times New Roman" w:hAnsi="Times New Roman" w:cs="Times New Roman"/>
                <w:sz w:val="20"/>
                <w:szCs w:val="20"/>
              </w:rPr>
              <w:t xml:space="preserve"> norādītajam.</w:t>
            </w:r>
          </w:p>
          <w:p w14:paraId="0C7F6B77" w14:textId="77777777" w:rsidR="003442BE" w:rsidRPr="00233A55" w:rsidRDefault="003442BE" w:rsidP="003442BE">
            <w:pPr>
              <w:rPr>
                <w:rFonts w:ascii="Times New Roman" w:eastAsia="Times New Roman" w:hAnsi="Times New Roman" w:cs="Times New Roman"/>
                <w:sz w:val="20"/>
                <w:szCs w:val="20"/>
              </w:rPr>
            </w:pPr>
          </w:p>
          <w:p w14:paraId="177B24F8" w14:textId="77777777"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sz w:val="20"/>
                <w:szCs w:val="20"/>
              </w:rPr>
              <w:t>IZM:</w:t>
            </w:r>
          </w:p>
          <w:p w14:paraId="67442090" w14:textId="325358E5" w:rsidR="003442BE" w:rsidRPr="00233A55" w:rsidRDefault="003442BE" w:rsidP="003442BE">
            <w:pPr>
              <w:rPr>
                <w:rFonts w:ascii="Times New Roman" w:eastAsia="Times New Roman" w:hAnsi="Times New Roman" w:cs="Times New Roman"/>
                <w:sz w:val="20"/>
                <w:szCs w:val="20"/>
              </w:rPr>
            </w:pPr>
            <w:r w:rsidRPr="00233A55">
              <w:rPr>
                <w:rFonts w:ascii="Times New Roman" w:eastAsia="Times New Roman" w:hAnsi="Times New Roman" w:cs="Times New Roman"/>
                <w:color w:val="000000" w:themeColor="text1"/>
                <w:sz w:val="20"/>
                <w:szCs w:val="20"/>
                <w:lang w:val="lv"/>
              </w:rPr>
              <w:t>Nozaru reformas, stratēģisko uzstādījumu, uzsvaru maiņa reformu, ārkārtas u.c. situāciju ietekmē, plānoto darbību izmaksu pieaugums.</w:t>
            </w:r>
            <w:r w:rsidRPr="00233A55">
              <w:rPr>
                <w:rFonts w:ascii="Times New Roman" w:eastAsia="Times New Roman" w:hAnsi="Times New Roman" w:cs="Times New Roman"/>
                <w:sz w:val="20"/>
                <w:szCs w:val="20"/>
              </w:rPr>
              <w:t xml:space="preserve"> Iespējams, datu neprecizitātes risks, ko var novērst, aicinot profesionālās izglītības iestādes un koledžas iesniegt detalizētu informāciju atbilstoši ēku </w:t>
            </w:r>
            <w:proofErr w:type="spellStart"/>
            <w:r w:rsidRPr="00233A55">
              <w:rPr>
                <w:rFonts w:ascii="Times New Roman" w:eastAsia="Times New Roman" w:hAnsi="Times New Roman" w:cs="Times New Roman"/>
                <w:sz w:val="20"/>
                <w:szCs w:val="20"/>
              </w:rPr>
              <w:t>energosertifikātos</w:t>
            </w:r>
            <w:proofErr w:type="spellEnd"/>
            <w:r w:rsidRPr="00233A55">
              <w:rPr>
                <w:rFonts w:ascii="Times New Roman" w:eastAsia="Times New Roman" w:hAnsi="Times New Roman" w:cs="Times New Roman"/>
                <w:sz w:val="20"/>
                <w:szCs w:val="20"/>
              </w:rPr>
              <w:t xml:space="preserve"> norādītajam.</w:t>
            </w:r>
          </w:p>
        </w:tc>
      </w:tr>
      <w:tr w:rsidR="00236F16" w:rsidRPr="003442BE" w14:paraId="4BC14288" w14:textId="77777777" w:rsidTr="66C95113">
        <w:tc>
          <w:tcPr>
            <w:tcW w:w="1985" w:type="dxa"/>
          </w:tcPr>
          <w:p w14:paraId="1C90319A" w14:textId="30F4F291" w:rsidR="00236F16" w:rsidRPr="00233A55" w:rsidRDefault="00236F16" w:rsidP="003442BE">
            <w:pPr>
              <w:jc w:val="both"/>
              <w:rPr>
                <w:rFonts w:ascii="Times New Roman" w:eastAsia="Times New Roman" w:hAnsi="Times New Roman" w:cs="Times New Roman"/>
                <w:b/>
                <w:bCs/>
                <w:sz w:val="20"/>
                <w:szCs w:val="20"/>
              </w:rPr>
            </w:pPr>
            <w:r w:rsidRPr="00233A55">
              <w:rPr>
                <w:rFonts w:ascii="Times New Roman" w:eastAsia="Times New Roman" w:hAnsi="Times New Roman" w:cs="Times New Roman"/>
                <w:b/>
                <w:bCs/>
                <w:sz w:val="20"/>
                <w:szCs w:val="20"/>
              </w:rPr>
              <w:t xml:space="preserve">Rādītāja sasniegšana </w:t>
            </w:r>
          </w:p>
        </w:tc>
        <w:tc>
          <w:tcPr>
            <w:tcW w:w="7513" w:type="dxa"/>
          </w:tcPr>
          <w:p w14:paraId="3790DED4" w14:textId="567112C6" w:rsidR="00236F16" w:rsidRPr="003442BE" w:rsidRDefault="00236F16" w:rsidP="003442BE">
            <w:pPr>
              <w:rPr>
                <w:rFonts w:ascii="Times New Roman" w:eastAsia="Times New Roman" w:hAnsi="Times New Roman" w:cs="Times New Roman"/>
                <w:color w:val="2F5496" w:themeColor="accent5" w:themeShade="BF"/>
                <w:sz w:val="20"/>
                <w:szCs w:val="20"/>
              </w:rPr>
            </w:pPr>
            <w:r w:rsidRPr="00233A55">
              <w:rPr>
                <w:rFonts w:ascii="Times New Roman" w:eastAsia="Times New Roman" w:hAnsi="Times New Roman" w:cs="Times New Roman"/>
                <w:sz w:val="20"/>
                <w:szCs w:val="20"/>
              </w:rPr>
              <w:t>Apstiprināts maksājuma pieprasījums, ar kuru tiek apstiprināti arī sasniegtie rādītāji</w:t>
            </w:r>
            <w:r w:rsidR="002138C0" w:rsidRPr="00233A55">
              <w:rPr>
                <w:rFonts w:ascii="Times New Roman" w:eastAsia="Times New Roman" w:hAnsi="Times New Roman" w:cs="Times New Roman"/>
                <w:sz w:val="20"/>
                <w:szCs w:val="20"/>
              </w:rPr>
              <w:t xml:space="preserve">, ko apliecina </w:t>
            </w:r>
            <w:proofErr w:type="spellStart"/>
            <w:r w:rsidR="002138C0" w:rsidRPr="00233A55">
              <w:rPr>
                <w:rFonts w:ascii="Times New Roman" w:eastAsia="Times New Roman" w:hAnsi="Times New Roman" w:cs="Times New Roman"/>
                <w:sz w:val="20"/>
                <w:szCs w:val="20"/>
              </w:rPr>
              <w:t>energosertifikāts</w:t>
            </w:r>
            <w:proofErr w:type="spellEnd"/>
            <w:r w:rsidR="002138C0" w:rsidRPr="00233A55">
              <w:rPr>
                <w:rFonts w:ascii="Times New Roman" w:eastAsia="Times New Roman" w:hAnsi="Times New Roman" w:cs="Times New Roman"/>
                <w:sz w:val="20"/>
                <w:szCs w:val="20"/>
              </w:rPr>
              <w:t>.</w:t>
            </w:r>
          </w:p>
        </w:tc>
      </w:tr>
    </w:tbl>
    <w:p w14:paraId="0BD9A469" w14:textId="77777777" w:rsidR="00392548" w:rsidRDefault="00392548" w:rsidP="00392548">
      <w:pPr>
        <w:spacing w:after="0" w:line="240" w:lineRule="auto"/>
        <w:ind w:left="-709"/>
        <w:rPr>
          <w:rFonts w:ascii="Times New Roman" w:eastAsia="Times New Roman" w:hAnsi="Times New Roman" w:cs="Times New Roman"/>
        </w:rPr>
      </w:pPr>
    </w:p>
    <w:p w14:paraId="1824C6D2" w14:textId="77777777" w:rsidR="00392548" w:rsidRDefault="00392548" w:rsidP="00392548">
      <w:pPr>
        <w:spacing w:after="0" w:line="240" w:lineRule="auto"/>
        <w:ind w:left="-709"/>
        <w:rPr>
          <w:rFonts w:ascii="Times New Roman" w:eastAsia="Times New Roman" w:hAnsi="Times New Roman" w:cs="Times New Roman"/>
        </w:rPr>
      </w:pPr>
    </w:p>
    <w:p w14:paraId="6E792288" w14:textId="6793A02B" w:rsidR="00392548" w:rsidRDefault="00F31083" w:rsidP="00392548">
      <w:pPr>
        <w:spacing w:after="0" w:line="240" w:lineRule="auto"/>
        <w:ind w:left="-709"/>
        <w:rPr>
          <w:rFonts w:ascii="Times New Roman" w:eastAsia="Times New Roman" w:hAnsi="Times New Roman" w:cs="Times New Roman"/>
          <w:b/>
          <w:bCs/>
        </w:rPr>
      </w:pPr>
      <w:r>
        <w:rPr>
          <w:rFonts w:ascii="Times New Roman" w:eastAsia="Times New Roman" w:hAnsi="Times New Roman" w:cs="Times New Roman"/>
          <w:b/>
          <w:bCs/>
        </w:rPr>
        <w:t>2.1.</w:t>
      </w:r>
      <w:r w:rsidR="00392548" w:rsidRPr="00392548">
        <w:rPr>
          <w:rFonts w:ascii="Times New Roman" w:eastAsia="Times New Roman" w:hAnsi="Times New Roman" w:cs="Times New Roman"/>
          <w:b/>
          <w:bCs/>
        </w:rPr>
        <w:t>1.SAM pasākumu ietvaros plānotie intervences kodi.</w:t>
      </w:r>
    </w:p>
    <w:p w14:paraId="19023824" w14:textId="0417C808" w:rsidR="00392548" w:rsidRDefault="00392548" w:rsidP="00392548">
      <w:pPr>
        <w:spacing w:after="0" w:line="240" w:lineRule="auto"/>
        <w:ind w:left="-709"/>
        <w:rPr>
          <w:rFonts w:ascii="Times New Roman" w:eastAsia="Times New Roman" w:hAnsi="Times New Roman" w:cs="Times New Roman"/>
          <w:b/>
          <w:bCs/>
        </w:rPr>
      </w:pPr>
    </w:p>
    <w:tbl>
      <w:tblPr>
        <w:tblW w:w="9073" w:type="dxa"/>
        <w:tblInd w:w="-714" w:type="dxa"/>
        <w:tblLook w:val="04A0" w:firstRow="1" w:lastRow="0" w:firstColumn="1" w:lastColumn="0" w:noHBand="0" w:noVBand="1"/>
      </w:tblPr>
      <w:tblGrid>
        <w:gridCol w:w="980"/>
        <w:gridCol w:w="1460"/>
        <w:gridCol w:w="661"/>
        <w:gridCol w:w="1123"/>
        <w:gridCol w:w="572"/>
        <w:gridCol w:w="1043"/>
        <w:gridCol w:w="572"/>
        <w:gridCol w:w="1043"/>
        <w:gridCol w:w="572"/>
        <w:gridCol w:w="1047"/>
      </w:tblGrid>
      <w:tr w:rsidR="004813AF" w:rsidRPr="004813AF" w14:paraId="3BF320C0" w14:textId="77777777" w:rsidTr="004813AF">
        <w:trPr>
          <w:trHeight w:val="780"/>
          <w:tblHeader/>
        </w:trPr>
        <w:tc>
          <w:tcPr>
            <w:tcW w:w="980" w:type="dxa"/>
            <w:tcBorders>
              <w:top w:val="single" w:sz="4" w:space="0" w:color="auto"/>
              <w:left w:val="single" w:sz="4" w:space="0" w:color="auto"/>
              <w:bottom w:val="single" w:sz="4" w:space="0" w:color="auto"/>
              <w:right w:val="single" w:sz="4" w:space="0" w:color="auto"/>
            </w:tcBorders>
            <w:shd w:val="clear" w:color="000000" w:fill="D9D9D9"/>
            <w:hideMark/>
          </w:tcPr>
          <w:p w14:paraId="264C85A1" w14:textId="77777777"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813AF">
              <w:rPr>
                <w:rFonts w:ascii="Times New Roman" w:eastAsia="Times New Roman" w:hAnsi="Times New Roman" w:cs="Times New Roman"/>
                <w:b/>
                <w:bCs/>
                <w:color w:val="000000"/>
                <w:sz w:val="16"/>
                <w:szCs w:val="16"/>
                <w:lang w:val="en-GB" w:eastAsia="en-GB" w:bidi="ne-NP"/>
              </w:rPr>
              <w:t>Pasākuma</w:t>
            </w:r>
            <w:proofErr w:type="spellEnd"/>
            <w:r w:rsidRPr="004813AF">
              <w:rPr>
                <w:rFonts w:ascii="Times New Roman" w:eastAsia="Times New Roman" w:hAnsi="Times New Roman" w:cs="Times New Roman"/>
                <w:b/>
                <w:bCs/>
                <w:color w:val="000000"/>
                <w:sz w:val="16"/>
                <w:szCs w:val="16"/>
                <w:lang w:val="en-GB" w:eastAsia="en-GB" w:bidi="ne-NP"/>
              </w:rPr>
              <w:t xml:space="preserve"> </w:t>
            </w:r>
            <w:proofErr w:type="spellStart"/>
            <w:r w:rsidRPr="004813AF">
              <w:rPr>
                <w:rFonts w:ascii="Times New Roman" w:eastAsia="Times New Roman" w:hAnsi="Times New Roman" w:cs="Times New Roman"/>
                <w:b/>
                <w:bCs/>
                <w:color w:val="000000"/>
                <w:sz w:val="16"/>
                <w:szCs w:val="16"/>
                <w:lang w:val="en-GB" w:eastAsia="en-GB" w:bidi="ne-NP"/>
              </w:rPr>
              <w:t>Nr</w:t>
            </w:r>
            <w:proofErr w:type="spellEnd"/>
            <w:r w:rsidRPr="004813AF">
              <w:rPr>
                <w:rFonts w:ascii="Times New Roman" w:eastAsia="Times New Roman" w:hAnsi="Times New Roman" w:cs="Times New Roman"/>
                <w:b/>
                <w:bCs/>
                <w:color w:val="000000"/>
                <w:sz w:val="16"/>
                <w:szCs w:val="16"/>
                <w:lang w:val="en-GB" w:eastAsia="en-GB" w:bidi="ne-NP"/>
              </w:rPr>
              <w:t>.</w:t>
            </w:r>
          </w:p>
        </w:tc>
        <w:tc>
          <w:tcPr>
            <w:tcW w:w="1460" w:type="dxa"/>
            <w:tcBorders>
              <w:top w:val="single" w:sz="4" w:space="0" w:color="auto"/>
              <w:left w:val="nil"/>
              <w:bottom w:val="single" w:sz="4" w:space="0" w:color="auto"/>
              <w:right w:val="single" w:sz="4" w:space="0" w:color="auto"/>
            </w:tcBorders>
            <w:shd w:val="clear" w:color="000000" w:fill="D9D9D9"/>
            <w:hideMark/>
          </w:tcPr>
          <w:p w14:paraId="60AF2CD4" w14:textId="77777777"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4813AF">
              <w:rPr>
                <w:rFonts w:ascii="Times New Roman" w:eastAsia="Times New Roman" w:hAnsi="Times New Roman" w:cs="Times New Roman"/>
                <w:b/>
                <w:bCs/>
                <w:color w:val="000000"/>
                <w:sz w:val="16"/>
                <w:szCs w:val="16"/>
                <w:lang w:val="en-GB" w:eastAsia="en-GB" w:bidi="ne-NP"/>
              </w:rPr>
              <w:t>Pasākuma</w:t>
            </w:r>
            <w:proofErr w:type="spellEnd"/>
            <w:r w:rsidRPr="004813AF">
              <w:rPr>
                <w:rFonts w:ascii="Times New Roman" w:eastAsia="Times New Roman" w:hAnsi="Times New Roman" w:cs="Times New Roman"/>
                <w:b/>
                <w:bCs/>
                <w:color w:val="000000"/>
                <w:sz w:val="16"/>
                <w:szCs w:val="16"/>
                <w:lang w:val="en-GB" w:eastAsia="en-GB" w:bidi="ne-NP"/>
              </w:rPr>
              <w:t xml:space="preserve"> </w:t>
            </w:r>
            <w:proofErr w:type="spellStart"/>
            <w:r w:rsidRPr="004813AF">
              <w:rPr>
                <w:rFonts w:ascii="Times New Roman" w:eastAsia="Times New Roman" w:hAnsi="Times New Roman" w:cs="Times New Roman"/>
                <w:b/>
                <w:bCs/>
                <w:color w:val="000000"/>
                <w:sz w:val="16"/>
                <w:szCs w:val="16"/>
                <w:lang w:val="en-GB" w:eastAsia="en-GB" w:bidi="ne-NP"/>
              </w:rPr>
              <w:t>nosaukums</w:t>
            </w:r>
            <w:proofErr w:type="spellEnd"/>
          </w:p>
        </w:tc>
        <w:tc>
          <w:tcPr>
            <w:tcW w:w="661" w:type="dxa"/>
            <w:tcBorders>
              <w:top w:val="single" w:sz="4" w:space="0" w:color="auto"/>
              <w:left w:val="nil"/>
              <w:bottom w:val="single" w:sz="4" w:space="0" w:color="auto"/>
              <w:right w:val="single" w:sz="4" w:space="0" w:color="auto"/>
            </w:tcBorders>
            <w:shd w:val="clear" w:color="000000" w:fill="D9D9D9"/>
            <w:hideMark/>
          </w:tcPr>
          <w:p w14:paraId="2FCD5C54" w14:textId="77777777" w:rsidR="004813AF" w:rsidRPr="004813AF" w:rsidRDefault="004813AF" w:rsidP="004813AF">
            <w:pPr>
              <w:spacing w:after="0" w:line="240" w:lineRule="auto"/>
              <w:jc w:val="center"/>
              <w:rPr>
                <w:rFonts w:ascii="Times New Roman" w:eastAsia="Times New Roman" w:hAnsi="Times New Roman" w:cs="Times New Roman"/>
                <w:b/>
                <w:bCs/>
                <w:sz w:val="16"/>
                <w:szCs w:val="16"/>
                <w:lang w:val="en-GB" w:eastAsia="en-GB" w:bidi="ne-NP"/>
              </w:rPr>
            </w:pPr>
            <w:proofErr w:type="spellStart"/>
            <w:r w:rsidRPr="004813AF">
              <w:rPr>
                <w:rFonts w:ascii="Times New Roman" w:eastAsia="Times New Roman" w:hAnsi="Times New Roman" w:cs="Times New Roman"/>
                <w:b/>
                <w:bCs/>
                <w:sz w:val="16"/>
                <w:szCs w:val="16"/>
                <w:lang w:val="en-GB" w:eastAsia="en-GB" w:bidi="ne-NP"/>
              </w:rPr>
              <w:t>Fonds</w:t>
            </w:r>
            <w:proofErr w:type="spellEnd"/>
          </w:p>
        </w:tc>
        <w:tc>
          <w:tcPr>
            <w:tcW w:w="1123" w:type="dxa"/>
            <w:tcBorders>
              <w:top w:val="single" w:sz="4" w:space="0" w:color="auto"/>
              <w:left w:val="nil"/>
              <w:bottom w:val="single" w:sz="4" w:space="0" w:color="auto"/>
              <w:right w:val="single" w:sz="4" w:space="0" w:color="auto"/>
            </w:tcBorders>
            <w:shd w:val="clear" w:color="000000" w:fill="E2EFDA"/>
            <w:hideMark/>
          </w:tcPr>
          <w:p w14:paraId="745BD1B6" w14:textId="77777777"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r w:rsidRPr="004813AF">
              <w:rPr>
                <w:rFonts w:ascii="Times New Roman" w:eastAsia="Times New Roman" w:hAnsi="Times New Roman" w:cs="Times New Roman"/>
                <w:b/>
                <w:bCs/>
                <w:color w:val="000000"/>
                <w:sz w:val="16"/>
                <w:szCs w:val="16"/>
                <w:lang w:val="en-GB" w:eastAsia="en-GB" w:bidi="ne-NP"/>
              </w:rPr>
              <w:t xml:space="preserve">ES </w:t>
            </w:r>
            <w:proofErr w:type="spellStart"/>
            <w:r w:rsidRPr="004813AF">
              <w:rPr>
                <w:rFonts w:ascii="Times New Roman" w:eastAsia="Times New Roman" w:hAnsi="Times New Roman" w:cs="Times New Roman"/>
                <w:b/>
                <w:bCs/>
                <w:color w:val="000000"/>
                <w:sz w:val="16"/>
                <w:szCs w:val="16"/>
                <w:lang w:val="en-GB" w:eastAsia="en-GB" w:bidi="ne-NP"/>
              </w:rPr>
              <w:t>fondu</w:t>
            </w:r>
            <w:proofErr w:type="spellEnd"/>
            <w:r w:rsidRPr="004813AF">
              <w:rPr>
                <w:rFonts w:ascii="Times New Roman" w:eastAsia="Times New Roman" w:hAnsi="Times New Roman" w:cs="Times New Roman"/>
                <w:b/>
                <w:bCs/>
                <w:color w:val="000000"/>
                <w:sz w:val="16"/>
                <w:szCs w:val="16"/>
                <w:lang w:val="en-GB" w:eastAsia="en-GB" w:bidi="ne-NP"/>
              </w:rPr>
              <w:t xml:space="preserve"> </w:t>
            </w:r>
            <w:proofErr w:type="spellStart"/>
            <w:r w:rsidRPr="004813AF">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01893319" w14:textId="172C0A5A"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077A02DA" w14:textId="77777777"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r w:rsidRPr="004813AF">
              <w:rPr>
                <w:rFonts w:ascii="Times New Roman" w:eastAsia="Times New Roman" w:hAnsi="Times New Roman" w:cs="Times New Roman"/>
                <w:b/>
                <w:bCs/>
                <w:color w:val="000000"/>
                <w:sz w:val="16"/>
                <w:szCs w:val="16"/>
                <w:lang w:val="en-GB" w:eastAsia="en-GB" w:bidi="ne-NP"/>
              </w:rPr>
              <w:t xml:space="preserve">ES </w:t>
            </w:r>
            <w:proofErr w:type="spellStart"/>
            <w:r w:rsidRPr="004813AF">
              <w:rPr>
                <w:rFonts w:ascii="Times New Roman" w:eastAsia="Times New Roman" w:hAnsi="Times New Roman" w:cs="Times New Roman"/>
                <w:b/>
                <w:bCs/>
                <w:color w:val="000000"/>
                <w:sz w:val="16"/>
                <w:szCs w:val="16"/>
                <w:lang w:val="en-GB" w:eastAsia="en-GB" w:bidi="ne-NP"/>
              </w:rPr>
              <w:t>fonda</w:t>
            </w:r>
            <w:proofErr w:type="spellEnd"/>
            <w:r w:rsidRPr="004813AF">
              <w:rPr>
                <w:rFonts w:ascii="Times New Roman" w:eastAsia="Times New Roman" w:hAnsi="Times New Roman" w:cs="Times New Roman"/>
                <w:b/>
                <w:bCs/>
                <w:color w:val="000000"/>
                <w:sz w:val="16"/>
                <w:szCs w:val="16"/>
                <w:lang w:val="en-GB" w:eastAsia="en-GB" w:bidi="ne-NP"/>
              </w:rPr>
              <w:t xml:space="preserve"> </w:t>
            </w:r>
            <w:proofErr w:type="spellStart"/>
            <w:r w:rsidRPr="004813AF">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6ECC2495" w14:textId="1C37CB85"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28A46719" w14:textId="77777777"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r w:rsidRPr="004813AF">
              <w:rPr>
                <w:rFonts w:ascii="Times New Roman" w:eastAsia="Times New Roman" w:hAnsi="Times New Roman" w:cs="Times New Roman"/>
                <w:b/>
                <w:bCs/>
                <w:color w:val="000000"/>
                <w:sz w:val="16"/>
                <w:szCs w:val="16"/>
                <w:lang w:val="en-GB" w:eastAsia="en-GB" w:bidi="ne-NP"/>
              </w:rPr>
              <w:t xml:space="preserve">ES </w:t>
            </w:r>
            <w:proofErr w:type="spellStart"/>
            <w:r w:rsidRPr="004813AF">
              <w:rPr>
                <w:rFonts w:ascii="Times New Roman" w:eastAsia="Times New Roman" w:hAnsi="Times New Roman" w:cs="Times New Roman"/>
                <w:b/>
                <w:bCs/>
                <w:color w:val="000000"/>
                <w:sz w:val="16"/>
                <w:szCs w:val="16"/>
                <w:lang w:val="en-GB" w:eastAsia="en-GB" w:bidi="ne-NP"/>
              </w:rPr>
              <w:t>fonda</w:t>
            </w:r>
            <w:proofErr w:type="spellEnd"/>
            <w:r w:rsidRPr="004813AF">
              <w:rPr>
                <w:rFonts w:ascii="Times New Roman" w:eastAsia="Times New Roman" w:hAnsi="Times New Roman" w:cs="Times New Roman"/>
                <w:b/>
                <w:bCs/>
                <w:color w:val="000000"/>
                <w:sz w:val="16"/>
                <w:szCs w:val="16"/>
                <w:lang w:val="en-GB" w:eastAsia="en-GB" w:bidi="ne-NP"/>
              </w:rPr>
              <w:t xml:space="preserve"> </w:t>
            </w:r>
            <w:proofErr w:type="spellStart"/>
            <w:r w:rsidRPr="004813AF">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4613E8CC" w14:textId="60DF9380"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7" w:type="dxa"/>
            <w:tcBorders>
              <w:top w:val="single" w:sz="4" w:space="0" w:color="auto"/>
              <w:left w:val="nil"/>
              <w:bottom w:val="single" w:sz="4" w:space="0" w:color="auto"/>
              <w:right w:val="single" w:sz="4" w:space="0" w:color="auto"/>
            </w:tcBorders>
            <w:shd w:val="clear" w:color="000000" w:fill="EDEDED"/>
            <w:hideMark/>
          </w:tcPr>
          <w:p w14:paraId="04D6B53A" w14:textId="77777777" w:rsidR="004813AF" w:rsidRPr="004813AF" w:rsidRDefault="004813AF" w:rsidP="004813AF">
            <w:pPr>
              <w:spacing w:after="0" w:line="240" w:lineRule="auto"/>
              <w:jc w:val="center"/>
              <w:rPr>
                <w:rFonts w:ascii="Times New Roman" w:eastAsia="Times New Roman" w:hAnsi="Times New Roman" w:cs="Times New Roman"/>
                <w:b/>
                <w:bCs/>
                <w:color w:val="000000"/>
                <w:sz w:val="16"/>
                <w:szCs w:val="16"/>
                <w:lang w:val="en-GB" w:eastAsia="en-GB" w:bidi="ne-NP"/>
              </w:rPr>
            </w:pPr>
            <w:r w:rsidRPr="004813AF">
              <w:rPr>
                <w:rFonts w:ascii="Times New Roman" w:eastAsia="Times New Roman" w:hAnsi="Times New Roman" w:cs="Times New Roman"/>
                <w:b/>
                <w:bCs/>
                <w:color w:val="000000"/>
                <w:sz w:val="16"/>
                <w:szCs w:val="16"/>
                <w:lang w:val="en-GB" w:eastAsia="en-GB" w:bidi="ne-NP"/>
              </w:rPr>
              <w:t xml:space="preserve">ES </w:t>
            </w:r>
            <w:proofErr w:type="spellStart"/>
            <w:r w:rsidRPr="004813AF">
              <w:rPr>
                <w:rFonts w:ascii="Times New Roman" w:eastAsia="Times New Roman" w:hAnsi="Times New Roman" w:cs="Times New Roman"/>
                <w:b/>
                <w:bCs/>
                <w:color w:val="000000"/>
                <w:sz w:val="16"/>
                <w:szCs w:val="16"/>
                <w:lang w:val="en-GB" w:eastAsia="en-GB" w:bidi="ne-NP"/>
              </w:rPr>
              <w:t>fonda</w:t>
            </w:r>
            <w:proofErr w:type="spellEnd"/>
            <w:r w:rsidRPr="004813AF">
              <w:rPr>
                <w:rFonts w:ascii="Times New Roman" w:eastAsia="Times New Roman" w:hAnsi="Times New Roman" w:cs="Times New Roman"/>
                <w:b/>
                <w:bCs/>
                <w:color w:val="000000"/>
                <w:sz w:val="16"/>
                <w:szCs w:val="16"/>
                <w:lang w:val="en-GB" w:eastAsia="en-GB" w:bidi="ne-NP"/>
              </w:rPr>
              <w:t xml:space="preserve"> </w:t>
            </w:r>
            <w:proofErr w:type="spellStart"/>
            <w:r w:rsidRPr="004813AF">
              <w:rPr>
                <w:rFonts w:ascii="Times New Roman" w:eastAsia="Times New Roman" w:hAnsi="Times New Roman" w:cs="Times New Roman"/>
                <w:b/>
                <w:bCs/>
                <w:color w:val="000000"/>
                <w:sz w:val="16"/>
                <w:szCs w:val="16"/>
                <w:lang w:val="en-GB" w:eastAsia="en-GB" w:bidi="ne-NP"/>
              </w:rPr>
              <w:t>finansējums</w:t>
            </w:r>
            <w:proofErr w:type="spellEnd"/>
          </w:p>
        </w:tc>
      </w:tr>
      <w:tr w:rsidR="004813AF" w:rsidRPr="004813AF" w14:paraId="48E51CE0"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793C45CE"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bookmarkStart w:id="3" w:name="_GoBack" w:colFirst="6" w:colLast="6"/>
            <w:r w:rsidRPr="004813AF">
              <w:rPr>
                <w:rFonts w:ascii="Times New Roman" w:eastAsia="Times New Roman" w:hAnsi="Times New Roman" w:cs="Times New Roman"/>
                <w:color w:val="000000"/>
                <w:sz w:val="16"/>
                <w:szCs w:val="16"/>
                <w:lang w:val="en-GB" w:eastAsia="en-GB" w:bidi="ne-NP"/>
              </w:rPr>
              <w:t>2.1.1.1.</w:t>
            </w:r>
          </w:p>
        </w:tc>
        <w:tc>
          <w:tcPr>
            <w:tcW w:w="1460" w:type="dxa"/>
            <w:tcBorders>
              <w:top w:val="nil"/>
              <w:left w:val="nil"/>
              <w:bottom w:val="single" w:sz="4" w:space="0" w:color="auto"/>
              <w:right w:val="single" w:sz="4" w:space="0" w:color="auto"/>
            </w:tcBorders>
            <w:shd w:val="clear" w:color="auto" w:fill="auto"/>
            <w:noWrap/>
            <w:hideMark/>
          </w:tcPr>
          <w:p w14:paraId="184EEACC"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roofErr w:type="spellStart"/>
            <w:r w:rsidRPr="004813AF">
              <w:rPr>
                <w:rFonts w:ascii="Times New Roman" w:eastAsia="Times New Roman" w:hAnsi="Times New Roman" w:cs="Times New Roman"/>
                <w:color w:val="000000"/>
                <w:sz w:val="16"/>
                <w:szCs w:val="16"/>
                <w:lang w:val="en-GB" w:eastAsia="en-GB" w:bidi="ne-NP"/>
              </w:rPr>
              <w:t>Energoefektivitātes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paaugstināšana</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dzīvojamās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ēkās</w:t>
            </w:r>
            <w:proofErr w:type="spellEnd"/>
            <w:r w:rsidRPr="004813AF">
              <w:rPr>
                <w:rFonts w:ascii="Times New Roman" w:eastAsia="Times New Roman" w:hAnsi="Times New Roman" w:cs="Times New Roman"/>
                <w:color w:val="000000"/>
                <w:sz w:val="16"/>
                <w:szCs w:val="16"/>
                <w:lang w:val="en-GB" w:eastAsia="en-GB" w:bidi="ne-NP"/>
              </w:rPr>
              <w:t xml:space="preserve">, t.sk. </w:t>
            </w:r>
            <w:proofErr w:type="spellStart"/>
            <w:r w:rsidRPr="004813AF">
              <w:rPr>
                <w:rFonts w:ascii="Times New Roman" w:eastAsia="Times New Roman" w:hAnsi="Times New Roman" w:cs="Times New Roman"/>
                <w:color w:val="000000"/>
                <w:sz w:val="16"/>
                <w:szCs w:val="16"/>
                <w:lang w:val="en-GB" w:eastAsia="en-GB" w:bidi="ne-NP"/>
              </w:rPr>
              <w:t>attīstot</w:t>
            </w:r>
            <w:proofErr w:type="spellEnd"/>
            <w:r w:rsidRPr="004813AF">
              <w:rPr>
                <w:rFonts w:ascii="Times New Roman" w:eastAsia="Times New Roman" w:hAnsi="Times New Roman" w:cs="Times New Roman"/>
                <w:color w:val="000000"/>
                <w:sz w:val="16"/>
                <w:szCs w:val="16"/>
                <w:lang w:val="en-GB" w:eastAsia="en-GB" w:bidi="ne-NP"/>
              </w:rPr>
              <w:t xml:space="preserve"> ESKO </w:t>
            </w:r>
            <w:proofErr w:type="spellStart"/>
            <w:r w:rsidRPr="004813AF">
              <w:rPr>
                <w:rFonts w:ascii="Times New Roman" w:eastAsia="Times New Roman" w:hAnsi="Times New Roman" w:cs="Times New Roman"/>
                <w:color w:val="000000"/>
                <w:sz w:val="16"/>
                <w:szCs w:val="16"/>
                <w:lang w:val="en-GB" w:eastAsia="en-GB" w:bidi="ne-NP"/>
              </w:rPr>
              <w:t>tirgu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daudzīvokļu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privātās</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neliela</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dzīvokļu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skaita</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ēku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kompleksos</w:t>
            </w:r>
            <w:proofErr w:type="spellEnd"/>
            <w:r w:rsidRPr="004813AF">
              <w:rPr>
                <w:rFonts w:ascii="Times New Roman" w:eastAsia="Times New Roman" w:hAnsi="Times New Roman" w:cs="Times New Roman"/>
                <w:color w:val="000000"/>
                <w:sz w:val="16"/>
                <w:szCs w:val="16"/>
                <w:lang w:val="en-GB" w:eastAsia="en-GB" w:bidi="ne-NP"/>
              </w:rPr>
              <w:t>)</w:t>
            </w:r>
          </w:p>
        </w:tc>
        <w:tc>
          <w:tcPr>
            <w:tcW w:w="661" w:type="dxa"/>
            <w:tcBorders>
              <w:top w:val="nil"/>
              <w:left w:val="nil"/>
              <w:bottom w:val="single" w:sz="4" w:space="0" w:color="auto"/>
              <w:right w:val="single" w:sz="4" w:space="0" w:color="auto"/>
            </w:tcBorders>
            <w:shd w:val="clear" w:color="auto" w:fill="auto"/>
            <w:noWrap/>
            <w:hideMark/>
          </w:tcPr>
          <w:p w14:paraId="553E5240"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ERAF</w:t>
            </w:r>
          </w:p>
        </w:tc>
        <w:tc>
          <w:tcPr>
            <w:tcW w:w="1123" w:type="dxa"/>
            <w:tcBorders>
              <w:top w:val="nil"/>
              <w:left w:val="nil"/>
              <w:bottom w:val="single" w:sz="4" w:space="0" w:color="auto"/>
              <w:right w:val="single" w:sz="4" w:space="0" w:color="auto"/>
            </w:tcBorders>
            <w:shd w:val="clear" w:color="auto" w:fill="auto"/>
            <w:noWrap/>
            <w:hideMark/>
          </w:tcPr>
          <w:p w14:paraId="52E6377E"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147 235 431</w:t>
            </w:r>
          </w:p>
        </w:tc>
        <w:tc>
          <w:tcPr>
            <w:tcW w:w="572" w:type="dxa"/>
            <w:tcBorders>
              <w:top w:val="nil"/>
              <w:left w:val="nil"/>
              <w:bottom w:val="single" w:sz="4" w:space="0" w:color="auto"/>
              <w:right w:val="single" w:sz="4" w:space="0" w:color="auto"/>
            </w:tcBorders>
            <w:shd w:val="clear" w:color="auto" w:fill="auto"/>
            <w:noWrap/>
            <w:hideMark/>
          </w:tcPr>
          <w:p w14:paraId="64EBB93C"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42</w:t>
            </w:r>
          </w:p>
        </w:tc>
        <w:tc>
          <w:tcPr>
            <w:tcW w:w="1043" w:type="dxa"/>
            <w:tcBorders>
              <w:top w:val="nil"/>
              <w:left w:val="nil"/>
              <w:bottom w:val="single" w:sz="4" w:space="0" w:color="auto"/>
              <w:right w:val="single" w:sz="4" w:space="0" w:color="auto"/>
            </w:tcBorders>
            <w:shd w:val="clear" w:color="auto" w:fill="auto"/>
            <w:noWrap/>
            <w:hideMark/>
          </w:tcPr>
          <w:p w14:paraId="422E122E"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102 870 335</w:t>
            </w:r>
          </w:p>
        </w:tc>
        <w:tc>
          <w:tcPr>
            <w:tcW w:w="572" w:type="dxa"/>
            <w:tcBorders>
              <w:top w:val="nil"/>
              <w:left w:val="nil"/>
              <w:bottom w:val="single" w:sz="4" w:space="0" w:color="auto"/>
              <w:right w:val="single" w:sz="4" w:space="0" w:color="auto"/>
            </w:tcBorders>
            <w:shd w:val="clear" w:color="auto" w:fill="auto"/>
            <w:noWrap/>
            <w:hideMark/>
          </w:tcPr>
          <w:p w14:paraId="7C7C5150"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52</w:t>
            </w:r>
          </w:p>
        </w:tc>
        <w:tc>
          <w:tcPr>
            <w:tcW w:w="1043" w:type="dxa"/>
            <w:tcBorders>
              <w:top w:val="nil"/>
              <w:left w:val="nil"/>
              <w:bottom w:val="single" w:sz="4" w:space="0" w:color="auto"/>
              <w:right w:val="single" w:sz="4" w:space="0" w:color="auto"/>
            </w:tcBorders>
            <w:shd w:val="clear" w:color="auto" w:fill="auto"/>
            <w:noWrap/>
            <w:hideMark/>
          </w:tcPr>
          <w:p w14:paraId="48486BC3"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44 365 096</w:t>
            </w:r>
          </w:p>
        </w:tc>
        <w:tc>
          <w:tcPr>
            <w:tcW w:w="572" w:type="dxa"/>
            <w:tcBorders>
              <w:top w:val="nil"/>
              <w:left w:val="nil"/>
              <w:bottom w:val="single" w:sz="4" w:space="0" w:color="auto"/>
              <w:right w:val="single" w:sz="4" w:space="0" w:color="auto"/>
            </w:tcBorders>
            <w:shd w:val="clear" w:color="auto" w:fill="auto"/>
            <w:noWrap/>
            <w:hideMark/>
          </w:tcPr>
          <w:p w14:paraId="1D5B01DE" w14:textId="5BFB459C"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c>
          <w:tcPr>
            <w:tcW w:w="1047" w:type="dxa"/>
            <w:tcBorders>
              <w:top w:val="nil"/>
              <w:left w:val="nil"/>
              <w:bottom w:val="single" w:sz="4" w:space="0" w:color="auto"/>
              <w:right w:val="single" w:sz="4" w:space="0" w:color="auto"/>
            </w:tcBorders>
            <w:shd w:val="clear" w:color="auto" w:fill="auto"/>
            <w:noWrap/>
            <w:hideMark/>
          </w:tcPr>
          <w:p w14:paraId="476355F3" w14:textId="51AA5D1E"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r>
      <w:bookmarkEnd w:id="3"/>
      <w:tr w:rsidR="004813AF" w:rsidRPr="004813AF" w14:paraId="65DA20E3"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18918FCD"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2.1.1.2.</w:t>
            </w:r>
          </w:p>
        </w:tc>
        <w:tc>
          <w:tcPr>
            <w:tcW w:w="1460" w:type="dxa"/>
            <w:tcBorders>
              <w:top w:val="nil"/>
              <w:left w:val="nil"/>
              <w:bottom w:val="single" w:sz="4" w:space="0" w:color="auto"/>
              <w:right w:val="single" w:sz="4" w:space="0" w:color="auto"/>
            </w:tcBorders>
            <w:shd w:val="clear" w:color="auto" w:fill="auto"/>
            <w:noWrap/>
            <w:hideMark/>
          </w:tcPr>
          <w:p w14:paraId="23465775"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 xml:space="preserve">AER </w:t>
            </w:r>
            <w:proofErr w:type="spellStart"/>
            <w:r w:rsidRPr="004813AF">
              <w:rPr>
                <w:rFonts w:ascii="Times New Roman" w:eastAsia="Times New Roman" w:hAnsi="Times New Roman" w:cs="Times New Roman"/>
                <w:color w:val="000000"/>
                <w:sz w:val="16"/>
                <w:szCs w:val="16"/>
                <w:lang w:val="en-GB" w:eastAsia="en-GB" w:bidi="ne-NP"/>
              </w:rPr>
              <w:t>izmantošana</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energoefektivitātes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paaugstināšana</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rūpniecībā</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komersantos</w:t>
            </w:r>
            <w:proofErr w:type="spellEnd"/>
          </w:p>
        </w:tc>
        <w:tc>
          <w:tcPr>
            <w:tcW w:w="661" w:type="dxa"/>
            <w:tcBorders>
              <w:top w:val="nil"/>
              <w:left w:val="nil"/>
              <w:bottom w:val="single" w:sz="4" w:space="0" w:color="auto"/>
              <w:right w:val="single" w:sz="4" w:space="0" w:color="auto"/>
            </w:tcBorders>
            <w:shd w:val="clear" w:color="auto" w:fill="auto"/>
            <w:noWrap/>
            <w:hideMark/>
          </w:tcPr>
          <w:p w14:paraId="7EFA2399"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ERAF</w:t>
            </w:r>
          </w:p>
        </w:tc>
        <w:tc>
          <w:tcPr>
            <w:tcW w:w="1123" w:type="dxa"/>
            <w:tcBorders>
              <w:top w:val="nil"/>
              <w:left w:val="nil"/>
              <w:bottom w:val="single" w:sz="4" w:space="0" w:color="auto"/>
              <w:right w:val="single" w:sz="4" w:space="0" w:color="auto"/>
            </w:tcBorders>
            <w:shd w:val="clear" w:color="auto" w:fill="auto"/>
            <w:noWrap/>
            <w:hideMark/>
          </w:tcPr>
          <w:p w14:paraId="5D349A11"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36 975 000</w:t>
            </w:r>
          </w:p>
        </w:tc>
        <w:tc>
          <w:tcPr>
            <w:tcW w:w="572" w:type="dxa"/>
            <w:tcBorders>
              <w:top w:val="nil"/>
              <w:left w:val="nil"/>
              <w:bottom w:val="single" w:sz="4" w:space="0" w:color="auto"/>
              <w:right w:val="single" w:sz="4" w:space="0" w:color="auto"/>
            </w:tcBorders>
            <w:shd w:val="clear" w:color="auto" w:fill="auto"/>
            <w:noWrap/>
            <w:hideMark/>
          </w:tcPr>
          <w:p w14:paraId="4607772F"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40</w:t>
            </w:r>
          </w:p>
        </w:tc>
        <w:tc>
          <w:tcPr>
            <w:tcW w:w="1043" w:type="dxa"/>
            <w:tcBorders>
              <w:top w:val="nil"/>
              <w:left w:val="nil"/>
              <w:bottom w:val="single" w:sz="4" w:space="0" w:color="auto"/>
              <w:right w:val="single" w:sz="4" w:space="0" w:color="auto"/>
            </w:tcBorders>
            <w:shd w:val="clear" w:color="auto" w:fill="auto"/>
            <w:noWrap/>
            <w:hideMark/>
          </w:tcPr>
          <w:p w14:paraId="27742D54"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29 580 000</w:t>
            </w:r>
          </w:p>
        </w:tc>
        <w:tc>
          <w:tcPr>
            <w:tcW w:w="572" w:type="dxa"/>
            <w:tcBorders>
              <w:top w:val="nil"/>
              <w:left w:val="nil"/>
              <w:bottom w:val="single" w:sz="4" w:space="0" w:color="auto"/>
              <w:right w:val="single" w:sz="4" w:space="0" w:color="auto"/>
            </w:tcBorders>
            <w:shd w:val="clear" w:color="auto" w:fill="auto"/>
            <w:noWrap/>
            <w:hideMark/>
          </w:tcPr>
          <w:p w14:paraId="2EFBAE88"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76</w:t>
            </w:r>
          </w:p>
        </w:tc>
        <w:tc>
          <w:tcPr>
            <w:tcW w:w="1043" w:type="dxa"/>
            <w:tcBorders>
              <w:top w:val="nil"/>
              <w:left w:val="nil"/>
              <w:bottom w:val="single" w:sz="4" w:space="0" w:color="auto"/>
              <w:right w:val="single" w:sz="4" w:space="0" w:color="auto"/>
            </w:tcBorders>
            <w:shd w:val="clear" w:color="auto" w:fill="auto"/>
            <w:noWrap/>
            <w:hideMark/>
          </w:tcPr>
          <w:p w14:paraId="08636808"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3 697 500</w:t>
            </w:r>
          </w:p>
        </w:tc>
        <w:tc>
          <w:tcPr>
            <w:tcW w:w="572" w:type="dxa"/>
            <w:tcBorders>
              <w:top w:val="nil"/>
              <w:left w:val="nil"/>
              <w:bottom w:val="single" w:sz="4" w:space="0" w:color="auto"/>
              <w:right w:val="single" w:sz="4" w:space="0" w:color="auto"/>
            </w:tcBorders>
            <w:shd w:val="clear" w:color="auto" w:fill="auto"/>
            <w:noWrap/>
            <w:hideMark/>
          </w:tcPr>
          <w:p w14:paraId="689ABF77"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75</w:t>
            </w:r>
          </w:p>
        </w:tc>
        <w:tc>
          <w:tcPr>
            <w:tcW w:w="1047" w:type="dxa"/>
            <w:tcBorders>
              <w:top w:val="nil"/>
              <w:left w:val="nil"/>
              <w:bottom w:val="single" w:sz="4" w:space="0" w:color="auto"/>
              <w:right w:val="single" w:sz="4" w:space="0" w:color="auto"/>
            </w:tcBorders>
            <w:shd w:val="clear" w:color="auto" w:fill="auto"/>
            <w:noWrap/>
            <w:hideMark/>
          </w:tcPr>
          <w:p w14:paraId="13B019CA"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3 697 500</w:t>
            </w:r>
          </w:p>
        </w:tc>
      </w:tr>
      <w:tr w:rsidR="004813AF" w:rsidRPr="004813AF" w14:paraId="1D7E218A"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7C2CA1BE"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2.1.1.3.</w:t>
            </w:r>
          </w:p>
        </w:tc>
        <w:tc>
          <w:tcPr>
            <w:tcW w:w="1460" w:type="dxa"/>
            <w:tcBorders>
              <w:top w:val="nil"/>
              <w:left w:val="nil"/>
              <w:bottom w:val="single" w:sz="4" w:space="0" w:color="auto"/>
              <w:right w:val="single" w:sz="4" w:space="0" w:color="auto"/>
            </w:tcBorders>
            <w:shd w:val="clear" w:color="auto" w:fill="auto"/>
            <w:noWrap/>
            <w:hideMark/>
          </w:tcPr>
          <w:p w14:paraId="5745EAD6"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 xml:space="preserve">AER </w:t>
            </w:r>
            <w:proofErr w:type="spellStart"/>
            <w:r w:rsidRPr="004813AF">
              <w:rPr>
                <w:rFonts w:ascii="Times New Roman" w:eastAsia="Times New Roman" w:hAnsi="Times New Roman" w:cs="Times New Roman"/>
                <w:color w:val="000000"/>
                <w:sz w:val="16"/>
                <w:szCs w:val="16"/>
                <w:lang w:val="en-GB" w:eastAsia="en-GB" w:bidi="ne-NP"/>
              </w:rPr>
              <w:t>izmantošana</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energoefektivitātes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paaugstināšana</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lokālajā</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individuālajā</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siltumapgādē</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aukstumapgādē</w:t>
            </w:r>
            <w:proofErr w:type="spellEnd"/>
          </w:p>
        </w:tc>
        <w:tc>
          <w:tcPr>
            <w:tcW w:w="661" w:type="dxa"/>
            <w:tcBorders>
              <w:top w:val="nil"/>
              <w:left w:val="nil"/>
              <w:bottom w:val="single" w:sz="4" w:space="0" w:color="auto"/>
              <w:right w:val="single" w:sz="4" w:space="0" w:color="auto"/>
            </w:tcBorders>
            <w:shd w:val="clear" w:color="auto" w:fill="auto"/>
            <w:noWrap/>
            <w:hideMark/>
          </w:tcPr>
          <w:p w14:paraId="6005B2E7"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ERAF</w:t>
            </w:r>
          </w:p>
        </w:tc>
        <w:tc>
          <w:tcPr>
            <w:tcW w:w="1123" w:type="dxa"/>
            <w:tcBorders>
              <w:top w:val="nil"/>
              <w:left w:val="nil"/>
              <w:bottom w:val="single" w:sz="4" w:space="0" w:color="auto"/>
              <w:right w:val="single" w:sz="4" w:space="0" w:color="auto"/>
            </w:tcBorders>
            <w:shd w:val="clear" w:color="auto" w:fill="auto"/>
            <w:noWrap/>
            <w:hideMark/>
          </w:tcPr>
          <w:p w14:paraId="55AD25CD"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48 067 500</w:t>
            </w:r>
          </w:p>
        </w:tc>
        <w:tc>
          <w:tcPr>
            <w:tcW w:w="572" w:type="dxa"/>
            <w:tcBorders>
              <w:top w:val="nil"/>
              <w:left w:val="nil"/>
              <w:bottom w:val="single" w:sz="4" w:space="0" w:color="auto"/>
              <w:right w:val="single" w:sz="4" w:space="0" w:color="auto"/>
            </w:tcBorders>
            <w:shd w:val="clear" w:color="auto" w:fill="auto"/>
            <w:noWrap/>
            <w:hideMark/>
          </w:tcPr>
          <w:p w14:paraId="6E901A2A"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55</w:t>
            </w:r>
          </w:p>
        </w:tc>
        <w:tc>
          <w:tcPr>
            <w:tcW w:w="1043" w:type="dxa"/>
            <w:tcBorders>
              <w:top w:val="nil"/>
              <w:left w:val="nil"/>
              <w:bottom w:val="single" w:sz="4" w:space="0" w:color="auto"/>
              <w:right w:val="single" w:sz="4" w:space="0" w:color="auto"/>
            </w:tcBorders>
            <w:shd w:val="clear" w:color="auto" w:fill="auto"/>
            <w:noWrap/>
            <w:hideMark/>
          </w:tcPr>
          <w:p w14:paraId="29489E4B"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48 067 500</w:t>
            </w:r>
          </w:p>
        </w:tc>
        <w:tc>
          <w:tcPr>
            <w:tcW w:w="572" w:type="dxa"/>
            <w:tcBorders>
              <w:top w:val="nil"/>
              <w:left w:val="nil"/>
              <w:bottom w:val="single" w:sz="4" w:space="0" w:color="auto"/>
              <w:right w:val="single" w:sz="4" w:space="0" w:color="auto"/>
            </w:tcBorders>
            <w:shd w:val="clear" w:color="auto" w:fill="auto"/>
            <w:noWrap/>
            <w:hideMark/>
          </w:tcPr>
          <w:p w14:paraId="61ED5F69" w14:textId="0FC333E0"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c>
          <w:tcPr>
            <w:tcW w:w="1043" w:type="dxa"/>
            <w:tcBorders>
              <w:top w:val="nil"/>
              <w:left w:val="nil"/>
              <w:bottom w:val="single" w:sz="4" w:space="0" w:color="auto"/>
              <w:right w:val="single" w:sz="4" w:space="0" w:color="auto"/>
            </w:tcBorders>
            <w:shd w:val="clear" w:color="auto" w:fill="auto"/>
            <w:noWrap/>
            <w:hideMark/>
          </w:tcPr>
          <w:p w14:paraId="6A7239E0" w14:textId="4EA9C209"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c>
          <w:tcPr>
            <w:tcW w:w="572" w:type="dxa"/>
            <w:tcBorders>
              <w:top w:val="nil"/>
              <w:left w:val="nil"/>
              <w:bottom w:val="single" w:sz="4" w:space="0" w:color="auto"/>
              <w:right w:val="single" w:sz="4" w:space="0" w:color="auto"/>
            </w:tcBorders>
            <w:shd w:val="clear" w:color="auto" w:fill="auto"/>
            <w:noWrap/>
            <w:hideMark/>
          </w:tcPr>
          <w:p w14:paraId="3B233472" w14:textId="6185ACCF"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c>
          <w:tcPr>
            <w:tcW w:w="1047" w:type="dxa"/>
            <w:tcBorders>
              <w:top w:val="nil"/>
              <w:left w:val="nil"/>
              <w:bottom w:val="single" w:sz="4" w:space="0" w:color="auto"/>
              <w:right w:val="single" w:sz="4" w:space="0" w:color="auto"/>
            </w:tcBorders>
            <w:shd w:val="clear" w:color="auto" w:fill="auto"/>
            <w:noWrap/>
            <w:hideMark/>
          </w:tcPr>
          <w:p w14:paraId="509FCCBC" w14:textId="60435D5C"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r>
      <w:tr w:rsidR="004813AF" w:rsidRPr="004813AF" w14:paraId="15796527"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0AD96B6D"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2.1.1.4.</w:t>
            </w:r>
          </w:p>
        </w:tc>
        <w:tc>
          <w:tcPr>
            <w:tcW w:w="1460" w:type="dxa"/>
            <w:tcBorders>
              <w:top w:val="nil"/>
              <w:left w:val="nil"/>
              <w:bottom w:val="single" w:sz="4" w:space="0" w:color="auto"/>
              <w:right w:val="single" w:sz="4" w:space="0" w:color="auto"/>
            </w:tcBorders>
            <w:shd w:val="clear" w:color="auto" w:fill="auto"/>
            <w:noWrap/>
            <w:hideMark/>
          </w:tcPr>
          <w:p w14:paraId="51FAE23A"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roofErr w:type="spellStart"/>
            <w:r w:rsidRPr="004813AF">
              <w:rPr>
                <w:rFonts w:ascii="Times New Roman" w:eastAsia="Times New Roman" w:hAnsi="Times New Roman" w:cs="Times New Roman"/>
                <w:color w:val="000000"/>
                <w:sz w:val="16"/>
                <w:szCs w:val="16"/>
                <w:lang w:val="en-GB" w:eastAsia="en-GB" w:bidi="ne-NP"/>
              </w:rPr>
              <w:t>Energoefektivitātes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paaugstināšana</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valsts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ēkās</w:t>
            </w:r>
            <w:proofErr w:type="spellEnd"/>
          </w:p>
        </w:tc>
        <w:tc>
          <w:tcPr>
            <w:tcW w:w="661" w:type="dxa"/>
            <w:tcBorders>
              <w:top w:val="nil"/>
              <w:left w:val="nil"/>
              <w:bottom w:val="single" w:sz="4" w:space="0" w:color="auto"/>
              <w:right w:val="single" w:sz="4" w:space="0" w:color="auto"/>
            </w:tcBorders>
            <w:shd w:val="clear" w:color="auto" w:fill="auto"/>
            <w:noWrap/>
            <w:hideMark/>
          </w:tcPr>
          <w:p w14:paraId="5CE38752"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ERAF</w:t>
            </w:r>
          </w:p>
        </w:tc>
        <w:tc>
          <w:tcPr>
            <w:tcW w:w="1123" w:type="dxa"/>
            <w:tcBorders>
              <w:top w:val="nil"/>
              <w:left w:val="nil"/>
              <w:bottom w:val="single" w:sz="4" w:space="0" w:color="auto"/>
              <w:right w:val="single" w:sz="4" w:space="0" w:color="auto"/>
            </w:tcBorders>
            <w:shd w:val="clear" w:color="auto" w:fill="auto"/>
            <w:noWrap/>
            <w:hideMark/>
          </w:tcPr>
          <w:p w14:paraId="1FCB2C28"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86 441 736</w:t>
            </w:r>
          </w:p>
        </w:tc>
        <w:tc>
          <w:tcPr>
            <w:tcW w:w="572" w:type="dxa"/>
            <w:tcBorders>
              <w:top w:val="nil"/>
              <w:left w:val="nil"/>
              <w:bottom w:val="single" w:sz="4" w:space="0" w:color="auto"/>
              <w:right w:val="single" w:sz="4" w:space="0" w:color="auto"/>
            </w:tcBorders>
            <w:shd w:val="clear" w:color="auto" w:fill="auto"/>
            <w:noWrap/>
            <w:hideMark/>
          </w:tcPr>
          <w:p w14:paraId="5069CC6D"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45</w:t>
            </w:r>
          </w:p>
        </w:tc>
        <w:tc>
          <w:tcPr>
            <w:tcW w:w="1043" w:type="dxa"/>
            <w:tcBorders>
              <w:top w:val="nil"/>
              <w:left w:val="nil"/>
              <w:bottom w:val="single" w:sz="4" w:space="0" w:color="auto"/>
              <w:right w:val="single" w:sz="4" w:space="0" w:color="auto"/>
            </w:tcBorders>
            <w:shd w:val="clear" w:color="auto" w:fill="auto"/>
            <w:noWrap/>
            <w:hideMark/>
          </w:tcPr>
          <w:p w14:paraId="05D45FE5"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50 945 736</w:t>
            </w:r>
          </w:p>
        </w:tc>
        <w:tc>
          <w:tcPr>
            <w:tcW w:w="572" w:type="dxa"/>
            <w:tcBorders>
              <w:top w:val="nil"/>
              <w:left w:val="nil"/>
              <w:bottom w:val="single" w:sz="4" w:space="0" w:color="auto"/>
              <w:right w:val="single" w:sz="4" w:space="0" w:color="auto"/>
            </w:tcBorders>
            <w:shd w:val="clear" w:color="auto" w:fill="auto"/>
            <w:noWrap/>
            <w:hideMark/>
          </w:tcPr>
          <w:p w14:paraId="3F6F960E"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52</w:t>
            </w:r>
          </w:p>
        </w:tc>
        <w:tc>
          <w:tcPr>
            <w:tcW w:w="1043" w:type="dxa"/>
            <w:tcBorders>
              <w:top w:val="nil"/>
              <w:left w:val="nil"/>
              <w:bottom w:val="single" w:sz="4" w:space="0" w:color="auto"/>
              <w:right w:val="single" w:sz="4" w:space="0" w:color="auto"/>
            </w:tcBorders>
            <w:shd w:val="clear" w:color="auto" w:fill="auto"/>
            <w:noWrap/>
            <w:hideMark/>
          </w:tcPr>
          <w:p w14:paraId="36DC63F7"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35 496 000</w:t>
            </w:r>
          </w:p>
        </w:tc>
        <w:tc>
          <w:tcPr>
            <w:tcW w:w="572" w:type="dxa"/>
            <w:tcBorders>
              <w:top w:val="nil"/>
              <w:left w:val="nil"/>
              <w:bottom w:val="single" w:sz="4" w:space="0" w:color="auto"/>
              <w:right w:val="single" w:sz="4" w:space="0" w:color="auto"/>
            </w:tcBorders>
            <w:shd w:val="clear" w:color="auto" w:fill="auto"/>
            <w:noWrap/>
            <w:hideMark/>
          </w:tcPr>
          <w:p w14:paraId="3FF3BC25" w14:textId="13617C4C"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p>
        </w:tc>
        <w:tc>
          <w:tcPr>
            <w:tcW w:w="1047" w:type="dxa"/>
            <w:tcBorders>
              <w:top w:val="nil"/>
              <w:left w:val="nil"/>
              <w:bottom w:val="single" w:sz="4" w:space="0" w:color="auto"/>
              <w:right w:val="single" w:sz="4" w:space="0" w:color="auto"/>
            </w:tcBorders>
            <w:shd w:val="clear" w:color="auto" w:fill="auto"/>
            <w:noWrap/>
            <w:hideMark/>
          </w:tcPr>
          <w:p w14:paraId="0485A0E0" w14:textId="1DEA3C5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r>
      <w:tr w:rsidR="004813AF" w:rsidRPr="004813AF" w14:paraId="402274A2"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6D2A5059"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2.1.1.5.</w:t>
            </w:r>
          </w:p>
        </w:tc>
        <w:tc>
          <w:tcPr>
            <w:tcW w:w="1460" w:type="dxa"/>
            <w:tcBorders>
              <w:top w:val="nil"/>
              <w:left w:val="nil"/>
              <w:bottom w:val="single" w:sz="4" w:space="0" w:color="auto"/>
              <w:right w:val="single" w:sz="4" w:space="0" w:color="auto"/>
            </w:tcBorders>
            <w:shd w:val="clear" w:color="auto" w:fill="auto"/>
            <w:noWrap/>
            <w:hideMark/>
          </w:tcPr>
          <w:p w14:paraId="0B59559B"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roofErr w:type="spellStart"/>
            <w:r w:rsidRPr="004813AF">
              <w:rPr>
                <w:rFonts w:ascii="Times New Roman" w:eastAsia="Times New Roman" w:hAnsi="Times New Roman" w:cs="Times New Roman"/>
                <w:color w:val="000000"/>
                <w:sz w:val="16"/>
                <w:szCs w:val="16"/>
                <w:lang w:val="en-GB" w:eastAsia="en-GB" w:bidi="ne-NP"/>
              </w:rPr>
              <w:t>Klimata</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neitrāli</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risinājumi</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lastRenderedPageBreak/>
              <w:t>profesionālās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izglītības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iestāžu</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koledžu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izglītības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programmās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vidē</w:t>
            </w:r>
            <w:proofErr w:type="spellEnd"/>
            <w:r w:rsidRPr="004813AF">
              <w:rPr>
                <w:rFonts w:ascii="Times New Roman" w:eastAsia="Times New Roman" w:hAnsi="Times New Roman" w:cs="Times New Roman"/>
                <w:color w:val="000000"/>
                <w:sz w:val="16"/>
                <w:szCs w:val="16"/>
                <w:lang w:val="en-GB" w:eastAsia="en-GB" w:bidi="ne-NP"/>
              </w:rPr>
              <w:t xml:space="preserve"> un </w:t>
            </w:r>
            <w:proofErr w:type="spellStart"/>
            <w:r w:rsidRPr="004813AF">
              <w:rPr>
                <w:rFonts w:ascii="Times New Roman" w:eastAsia="Times New Roman" w:hAnsi="Times New Roman" w:cs="Times New Roman"/>
                <w:color w:val="000000"/>
                <w:sz w:val="16"/>
                <w:szCs w:val="16"/>
                <w:lang w:val="en-GB" w:eastAsia="en-GB" w:bidi="ne-NP"/>
              </w:rPr>
              <w:t>infrastruktūrā</w:t>
            </w:r>
            <w:proofErr w:type="spellEnd"/>
          </w:p>
        </w:tc>
        <w:tc>
          <w:tcPr>
            <w:tcW w:w="661" w:type="dxa"/>
            <w:tcBorders>
              <w:top w:val="nil"/>
              <w:left w:val="nil"/>
              <w:bottom w:val="single" w:sz="4" w:space="0" w:color="auto"/>
              <w:right w:val="single" w:sz="4" w:space="0" w:color="auto"/>
            </w:tcBorders>
            <w:shd w:val="clear" w:color="auto" w:fill="auto"/>
            <w:noWrap/>
            <w:hideMark/>
          </w:tcPr>
          <w:p w14:paraId="12C99806"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lastRenderedPageBreak/>
              <w:t>ERAF</w:t>
            </w:r>
          </w:p>
        </w:tc>
        <w:tc>
          <w:tcPr>
            <w:tcW w:w="1123" w:type="dxa"/>
            <w:tcBorders>
              <w:top w:val="nil"/>
              <w:left w:val="nil"/>
              <w:bottom w:val="single" w:sz="4" w:space="0" w:color="auto"/>
              <w:right w:val="single" w:sz="4" w:space="0" w:color="auto"/>
            </w:tcBorders>
            <w:shd w:val="clear" w:color="auto" w:fill="auto"/>
            <w:noWrap/>
            <w:hideMark/>
          </w:tcPr>
          <w:p w14:paraId="5AD9E057"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16 269 000</w:t>
            </w:r>
          </w:p>
        </w:tc>
        <w:tc>
          <w:tcPr>
            <w:tcW w:w="572" w:type="dxa"/>
            <w:tcBorders>
              <w:top w:val="nil"/>
              <w:left w:val="nil"/>
              <w:bottom w:val="single" w:sz="4" w:space="0" w:color="auto"/>
              <w:right w:val="single" w:sz="4" w:space="0" w:color="auto"/>
            </w:tcBorders>
            <w:shd w:val="clear" w:color="auto" w:fill="auto"/>
            <w:noWrap/>
            <w:hideMark/>
          </w:tcPr>
          <w:p w14:paraId="7380525A"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44</w:t>
            </w:r>
          </w:p>
        </w:tc>
        <w:tc>
          <w:tcPr>
            <w:tcW w:w="1043" w:type="dxa"/>
            <w:tcBorders>
              <w:top w:val="nil"/>
              <w:left w:val="nil"/>
              <w:bottom w:val="single" w:sz="4" w:space="0" w:color="auto"/>
              <w:right w:val="single" w:sz="4" w:space="0" w:color="auto"/>
            </w:tcBorders>
            <w:shd w:val="clear" w:color="auto" w:fill="auto"/>
            <w:noWrap/>
            <w:hideMark/>
          </w:tcPr>
          <w:p w14:paraId="1CE4445A"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5 423 000</w:t>
            </w:r>
          </w:p>
        </w:tc>
        <w:tc>
          <w:tcPr>
            <w:tcW w:w="572" w:type="dxa"/>
            <w:tcBorders>
              <w:top w:val="nil"/>
              <w:left w:val="nil"/>
              <w:bottom w:val="single" w:sz="4" w:space="0" w:color="auto"/>
              <w:right w:val="single" w:sz="4" w:space="0" w:color="auto"/>
            </w:tcBorders>
            <w:shd w:val="clear" w:color="auto" w:fill="auto"/>
            <w:noWrap/>
            <w:hideMark/>
          </w:tcPr>
          <w:p w14:paraId="7C1EFBB2"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52</w:t>
            </w:r>
          </w:p>
        </w:tc>
        <w:tc>
          <w:tcPr>
            <w:tcW w:w="1043" w:type="dxa"/>
            <w:tcBorders>
              <w:top w:val="nil"/>
              <w:left w:val="nil"/>
              <w:bottom w:val="single" w:sz="4" w:space="0" w:color="auto"/>
              <w:right w:val="single" w:sz="4" w:space="0" w:color="auto"/>
            </w:tcBorders>
            <w:shd w:val="clear" w:color="auto" w:fill="auto"/>
            <w:noWrap/>
            <w:hideMark/>
          </w:tcPr>
          <w:p w14:paraId="4BAAD50C"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10 846 000</w:t>
            </w:r>
          </w:p>
        </w:tc>
        <w:tc>
          <w:tcPr>
            <w:tcW w:w="572" w:type="dxa"/>
            <w:tcBorders>
              <w:top w:val="nil"/>
              <w:left w:val="nil"/>
              <w:bottom w:val="single" w:sz="4" w:space="0" w:color="auto"/>
              <w:right w:val="single" w:sz="4" w:space="0" w:color="auto"/>
            </w:tcBorders>
            <w:shd w:val="clear" w:color="auto" w:fill="auto"/>
            <w:noWrap/>
            <w:hideMark/>
          </w:tcPr>
          <w:p w14:paraId="73BC1116" w14:textId="3E198915"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p>
        </w:tc>
        <w:tc>
          <w:tcPr>
            <w:tcW w:w="1047" w:type="dxa"/>
            <w:tcBorders>
              <w:top w:val="nil"/>
              <w:left w:val="nil"/>
              <w:bottom w:val="single" w:sz="4" w:space="0" w:color="auto"/>
              <w:right w:val="single" w:sz="4" w:space="0" w:color="auto"/>
            </w:tcBorders>
            <w:shd w:val="clear" w:color="auto" w:fill="auto"/>
            <w:noWrap/>
            <w:hideMark/>
          </w:tcPr>
          <w:p w14:paraId="10E87022" w14:textId="74ACBC4C"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r>
      <w:tr w:rsidR="004813AF" w:rsidRPr="004813AF" w14:paraId="016C09B1"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04E1521B"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2.1.1.6.</w:t>
            </w:r>
          </w:p>
        </w:tc>
        <w:tc>
          <w:tcPr>
            <w:tcW w:w="1460" w:type="dxa"/>
            <w:tcBorders>
              <w:top w:val="nil"/>
              <w:left w:val="nil"/>
              <w:bottom w:val="single" w:sz="4" w:space="0" w:color="auto"/>
              <w:right w:val="single" w:sz="4" w:space="0" w:color="auto"/>
            </w:tcBorders>
            <w:shd w:val="clear" w:color="auto" w:fill="auto"/>
            <w:noWrap/>
            <w:hideMark/>
          </w:tcPr>
          <w:p w14:paraId="531794D3"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roofErr w:type="spellStart"/>
            <w:r w:rsidRPr="004813AF">
              <w:rPr>
                <w:rFonts w:ascii="Times New Roman" w:eastAsia="Times New Roman" w:hAnsi="Times New Roman" w:cs="Times New Roman"/>
                <w:color w:val="000000"/>
                <w:sz w:val="16"/>
                <w:szCs w:val="16"/>
                <w:lang w:val="en-GB" w:eastAsia="en-GB" w:bidi="ne-NP"/>
              </w:rPr>
              <w:t>Pašvaldību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ēku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energoefektivitātes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paaugstināšana</w:t>
            </w:r>
            <w:proofErr w:type="spellEnd"/>
          </w:p>
        </w:tc>
        <w:tc>
          <w:tcPr>
            <w:tcW w:w="661" w:type="dxa"/>
            <w:tcBorders>
              <w:top w:val="nil"/>
              <w:left w:val="nil"/>
              <w:bottom w:val="single" w:sz="4" w:space="0" w:color="auto"/>
              <w:right w:val="single" w:sz="4" w:space="0" w:color="auto"/>
            </w:tcBorders>
            <w:shd w:val="clear" w:color="auto" w:fill="auto"/>
            <w:noWrap/>
            <w:hideMark/>
          </w:tcPr>
          <w:p w14:paraId="247CEF5B"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ERAF</w:t>
            </w:r>
          </w:p>
        </w:tc>
        <w:tc>
          <w:tcPr>
            <w:tcW w:w="1123" w:type="dxa"/>
            <w:tcBorders>
              <w:top w:val="nil"/>
              <w:left w:val="nil"/>
              <w:bottom w:val="single" w:sz="4" w:space="0" w:color="auto"/>
              <w:right w:val="single" w:sz="4" w:space="0" w:color="auto"/>
            </w:tcBorders>
            <w:shd w:val="clear" w:color="auto" w:fill="auto"/>
            <w:noWrap/>
            <w:hideMark/>
          </w:tcPr>
          <w:p w14:paraId="67F73140"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26 410 715</w:t>
            </w:r>
          </w:p>
        </w:tc>
        <w:tc>
          <w:tcPr>
            <w:tcW w:w="572" w:type="dxa"/>
            <w:tcBorders>
              <w:top w:val="nil"/>
              <w:left w:val="nil"/>
              <w:bottom w:val="single" w:sz="4" w:space="0" w:color="auto"/>
              <w:right w:val="single" w:sz="4" w:space="0" w:color="auto"/>
            </w:tcBorders>
            <w:shd w:val="clear" w:color="auto" w:fill="auto"/>
            <w:noWrap/>
            <w:hideMark/>
          </w:tcPr>
          <w:p w14:paraId="11295120"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45</w:t>
            </w:r>
          </w:p>
        </w:tc>
        <w:tc>
          <w:tcPr>
            <w:tcW w:w="1043" w:type="dxa"/>
            <w:tcBorders>
              <w:top w:val="nil"/>
              <w:left w:val="nil"/>
              <w:bottom w:val="single" w:sz="4" w:space="0" w:color="auto"/>
              <w:right w:val="single" w:sz="4" w:space="0" w:color="auto"/>
            </w:tcBorders>
            <w:shd w:val="clear" w:color="auto" w:fill="auto"/>
            <w:noWrap/>
            <w:hideMark/>
          </w:tcPr>
          <w:p w14:paraId="7919E92D"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26 410 715</w:t>
            </w:r>
          </w:p>
        </w:tc>
        <w:tc>
          <w:tcPr>
            <w:tcW w:w="572" w:type="dxa"/>
            <w:tcBorders>
              <w:top w:val="nil"/>
              <w:left w:val="nil"/>
              <w:bottom w:val="single" w:sz="4" w:space="0" w:color="auto"/>
              <w:right w:val="single" w:sz="4" w:space="0" w:color="auto"/>
            </w:tcBorders>
            <w:shd w:val="clear" w:color="auto" w:fill="auto"/>
            <w:noWrap/>
            <w:hideMark/>
          </w:tcPr>
          <w:p w14:paraId="72135828" w14:textId="21C0AF5D"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c>
          <w:tcPr>
            <w:tcW w:w="1043" w:type="dxa"/>
            <w:tcBorders>
              <w:top w:val="nil"/>
              <w:left w:val="nil"/>
              <w:bottom w:val="single" w:sz="4" w:space="0" w:color="auto"/>
              <w:right w:val="single" w:sz="4" w:space="0" w:color="auto"/>
            </w:tcBorders>
            <w:shd w:val="clear" w:color="auto" w:fill="auto"/>
            <w:noWrap/>
            <w:hideMark/>
          </w:tcPr>
          <w:p w14:paraId="6B29FDA0" w14:textId="78145115"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c>
          <w:tcPr>
            <w:tcW w:w="572" w:type="dxa"/>
            <w:tcBorders>
              <w:top w:val="nil"/>
              <w:left w:val="nil"/>
              <w:bottom w:val="single" w:sz="4" w:space="0" w:color="auto"/>
              <w:right w:val="single" w:sz="4" w:space="0" w:color="auto"/>
            </w:tcBorders>
            <w:shd w:val="clear" w:color="auto" w:fill="auto"/>
            <w:noWrap/>
            <w:hideMark/>
          </w:tcPr>
          <w:p w14:paraId="44F3D025" w14:textId="3E778BB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c>
          <w:tcPr>
            <w:tcW w:w="1047" w:type="dxa"/>
            <w:tcBorders>
              <w:top w:val="nil"/>
              <w:left w:val="nil"/>
              <w:bottom w:val="single" w:sz="4" w:space="0" w:color="auto"/>
              <w:right w:val="single" w:sz="4" w:space="0" w:color="auto"/>
            </w:tcBorders>
            <w:shd w:val="clear" w:color="auto" w:fill="auto"/>
            <w:noWrap/>
            <w:hideMark/>
          </w:tcPr>
          <w:p w14:paraId="5885005E" w14:textId="0B37B35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r>
      <w:tr w:rsidR="004813AF" w:rsidRPr="004813AF" w14:paraId="04DD2596"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28BC823A"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2.1.1.7.</w:t>
            </w:r>
          </w:p>
        </w:tc>
        <w:tc>
          <w:tcPr>
            <w:tcW w:w="1460" w:type="dxa"/>
            <w:tcBorders>
              <w:top w:val="nil"/>
              <w:left w:val="nil"/>
              <w:bottom w:val="single" w:sz="4" w:space="0" w:color="auto"/>
              <w:right w:val="single" w:sz="4" w:space="0" w:color="auto"/>
            </w:tcBorders>
            <w:shd w:val="clear" w:color="auto" w:fill="auto"/>
            <w:noWrap/>
            <w:hideMark/>
          </w:tcPr>
          <w:p w14:paraId="62DCA404"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roofErr w:type="spellStart"/>
            <w:r w:rsidRPr="004813AF">
              <w:rPr>
                <w:rFonts w:ascii="Times New Roman" w:eastAsia="Times New Roman" w:hAnsi="Times New Roman" w:cs="Times New Roman"/>
                <w:color w:val="000000"/>
                <w:sz w:val="16"/>
                <w:szCs w:val="16"/>
                <w:lang w:val="en-GB" w:eastAsia="en-GB" w:bidi="ne-NP"/>
              </w:rPr>
              <w:t>Valsts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iestāžu</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infrastruktūras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optimizācija</w:t>
            </w:r>
            <w:proofErr w:type="spellEnd"/>
          </w:p>
        </w:tc>
        <w:tc>
          <w:tcPr>
            <w:tcW w:w="661" w:type="dxa"/>
            <w:tcBorders>
              <w:top w:val="nil"/>
              <w:left w:val="nil"/>
              <w:bottom w:val="single" w:sz="4" w:space="0" w:color="auto"/>
              <w:right w:val="single" w:sz="4" w:space="0" w:color="auto"/>
            </w:tcBorders>
            <w:shd w:val="clear" w:color="auto" w:fill="auto"/>
            <w:noWrap/>
            <w:hideMark/>
          </w:tcPr>
          <w:p w14:paraId="505BD300"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ERAF</w:t>
            </w:r>
          </w:p>
        </w:tc>
        <w:tc>
          <w:tcPr>
            <w:tcW w:w="1123" w:type="dxa"/>
            <w:tcBorders>
              <w:top w:val="nil"/>
              <w:left w:val="nil"/>
              <w:bottom w:val="single" w:sz="4" w:space="0" w:color="auto"/>
              <w:right w:val="single" w:sz="4" w:space="0" w:color="auto"/>
            </w:tcBorders>
            <w:shd w:val="clear" w:color="auto" w:fill="auto"/>
            <w:noWrap/>
            <w:hideMark/>
          </w:tcPr>
          <w:p w14:paraId="6DBA8149"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11 092 500</w:t>
            </w:r>
          </w:p>
        </w:tc>
        <w:tc>
          <w:tcPr>
            <w:tcW w:w="572" w:type="dxa"/>
            <w:tcBorders>
              <w:top w:val="nil"/>
              <w:left w:val="nil"/>
              <w:bottom w:val="single" w:sz="4" w:space="0" w:color="auto"/>
              <w:right w:val="single" w:sz="4" w:space="0" w:color="auto"/>
            </w:tcBorders>
            <w:shd w:val="clear" w:color="auto" w:fill="auto"/>
            <w:noWrap/>
            <w:hideMark/>
          </w:tcPr>
          <w:p w14:paraId="26FEC901"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44</w:t>
            </w:r>
          </w:p>
        </w:tc>
        <w:tc>
          <w:tcPr>
            <w:tcW w:w="1043" w:type="dxa"/>
            <w:tcBorders>
              <w:top w:val="nil"/>
              <w:left w:val="nil"/>
              <w:bottom w:val="single" w:sz="4" w:space="0" w:color="auto"/>
              <w:right w:val="single" w:sz="4" w:space="0" w:color="auto"/>
            </w:tcBorders>
            <w:shd w:val="clear" w:color="auto" w:fill="auto"/>
            <w:noWrap/>
            <w:hideMark/>
          </w:tcPr>
          <w:p w14:paraId="1771EC07"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3 697 500</w:t>
            </w:r>
          </w:p>
        </w:tc>
        <w:tc>
          <w:tcPr>
            <w:tcW w:w="572" w:type="dxa"/>
            <w:tcBorders>
              <w:top w:val="nil"/>
              <w:left w:val="nil"/>
              <w:bottom w:val="single" w:sz="4" w:space="0" w:color="auto"/>
              <w:right w:val="single" w:sz="4" w:space="0" w:color="auto"/>
            </w:tcBorders>
            <w:shd w:val="clear" w:color="auto" w:fill="auto"/>
            <w:noWrap/>
            <w:hideMark/>
          </w:tcPr>
          <w:p w14:paraId="08789905"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52</w:t>
            </w:r>
          </w:p>
        </w:tc>
        <w:tc>
          <w:tcPr>
            <w:tcW w:w="1043" w:type="dxa"/>
            <w:tcBorders>
              <w:top w:val="nil"/>
              <w:left w:val="nil"/>
              <w:bottom w:val="single" w:sz="4" w:space="0" w:color="auto"/>
              <w:right w:val="single" w:sz="4" w:space="0" w:color="auto"/>
            </w:tcBorders>
            <w:shd w:val="clear" w:color="auto" w:fill="auto"/>
            <w:noWrap/>
            <w:hideMark/>
          </w:tcPr>
          <w:p w14:paraId="15930B71"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7 395 000</w:t>
            </w:r>
          </w:p>
        </w:tc>
        <w:tc>
          <w:tcPr>
            <w:tcW w:w="572" w:type="dxa"/>
            <w:tcBorders>
              <w:top w:val="nil"/>
              <w:left w:val="nil"/>
              <w:bottom w:val="single" w:sz="4" w:space="0" w:color="auto"/>
              <w:right w:val="single" w:sz="4" w:space="0" w:color="auto"/>
            </w:tcBorders>
            <w:shd w:val="clear" w:color="auto" w:fill="auto"/>
            <w:noWrap/>
            <w:hideMark/>
          </w:tcPr>
          <w:p w14:paraId="452AB17C" w14:textId="72E7CB7F"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p>
        </w:tc>
        <w:tc>
          <w:tcPr>
            <w:tcW w:w="1047" w:type="dxa"/>
            <w:tcBorders>
              <w:top w:val="nil"/>
              <w:left w:val="nil"/>
              <w:bottom w:val="single" w:sz="4" w:space="0" w:color="auto"/>
              <w:right w:val="single" w:sz="4" w:space="0" w:color="auto"/>
            </w:tcBorders>
            <w:shd w:val="clear" w:color="auto" w:fill="auto"/>
            <w:noWrap/>
            <w:hideMark/>
          </w:tcPr>
          <w:p w14:paraId="11E7CE2C" w14:textId="4176BE7F"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r>
      <w:tr w:rsidR="004813AF" w:rsidRPr="004813AF" w14:paraId="5BC96E71" w14:textId="77777777" w:rsidTr="004813AF">
        <w:trPr>
          <w:trHeight w:val="285"/>
        </w:trPr>
        <w:tc>
          <w:tcPr>
            <w:tcW w:w="980" w:type="dxa"/>
            <w:tcBorders>
              <w:top w:val="nil"/>
              <w:left w:val="single" w:sz="4" w:space="0" w:color="auto"/>
              <w:bottom w:val="single" w:sz="4" w:space="0" w:color="auto"/>
              <w:right w:val="single" w:sz="4" w:space="0" w:color="auto"/>
            </w:tcBorders>
            <w:shd w:val="clear" w:color="auto" w:fill="auto"/>
            <w:noWrap/>
            <w:hideMark/>
          </w:tcPr>
          <w:p w14:paraId="32F7966D"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2.1.1.8.</w:t>
            </w:r>
          </w:p>
        </w:tc>
        <w:tc>
          <w:tcPr>
            <w:tcW w:w="1460" w:type="dxa"/>
            <w:tcBorders>
              <w:top w:val="nil"/>
              <w:left w:val="nil"/>
              <w:bottom w:val="single" w:sz="4" w:space="0" w:color="auto"/>
              <w:right w:val="single" w:sz="4" w:space="0" w:color="auto"/>
            </w:tcBorders>
            <w:shd w:val="clear" w:color="auto" w:fill="auto"/>
            <w:noWrap/>
            <w:hideMark/>
          </w:tcPr>
          <w:p w14:paraId="5F52B082"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roofErr w:type="spellStart"/>
            <w:r w:rsidRPr="004813AF">
              <w:rPr>
                <w:rFonts w:ascii="Times New Roman" w:eastAsia="Times New Roman" w:hAnsi="Times New Roman" w:cs="Times New Roman"/>
                <w:color w:val="000000"/>
                <w:sz w:val="16"/>
                <w:szCs w:val="16"/>
                <w:lang w:val="en-GB" w:eastAsia="en-GB" w:bidi="ne-NP"/>
              </w:rPr>
              <w:t>Energoefektivitāti</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veicinoši</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pasākumi</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kultūras</w:t>
            </w:r>
            <w:proofErr w:type="spellEnd"/>
            <w:r w:rsidRPr="004813AF">
              <w:rPr>
                <w:rFonts w:ascii="Times New Roman" w:eastAsia="Times New Roman" w:hAnsi="Times New Roman" w:cs="Times New Roman"/>
                <w:color w:val="000000"/>
                <w:sz w:val="16"/>
                <w:szCs w:val="16"/>
                <w:lang w:val="en-GB" w:eastAsia="en-GB" w:bidi="ne-NP"/>
              </w:rPr>
              <w:t xml:space="preserve"> </w:t>
            </w:r>
            <w:proofErr w:type="spellStart"/>
            <w:r w:rsidRPr="004813AF">
              <w:rPr>
                <w:rFonts w:ascii="Times New Roman" w:eastAsia="Times New Roman" w:hAnsi="Times New Roman" w:cs="Times New Roman"/>
                <w:color w:val="000000"/>
                <w:sz w:val="16"/>
                <w:szCs w:val="16"/>
                <w:lang w:val="en-GB" w:eastAsia="en-GB" w:bidi="ne-NP"/>
              </w:rPr>
              <w:t>infrastruktūrā</w:t>
            </w:r>
            <w:proofErr w:type="spellEnd"/>
          </w:p>
        </w:tc>
        <w:tc>
          <w:tcPr>
            <w:tcW w:w="661" w:type="dxa"/>
            <w:tcBorders>
              <w:top w:val="nil"/>
              <w:left w:val="nil"/>
              <w:bottom w:val="single" w:sz="4" w:space="0" w:color="auto"/>
              <w:right w:val="single" w:sz="4" w:space="0" w:color="auto"/>
            </w:tcBorders>
            <w:shd w:val="clear" w:color="auto" w:fill="auto"/>
            <w:noWrap/>
            <w:hideMark/>
          </w:tcPr>
          <w:p w14:paraId="77A15F53"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ERAF</w:t>
            </w:r>
          </w:p>
        </w:tc>
        <w:tc>
          <w:tcPr>
            <w:tcW w:w="1123" w:type="dxa"/>
            <w:tcBorders>
              <w:top w:val="nil"/>
              <w:left w:val="nil"/>
              <w:bottom w:val="single" w:sz="4" w:space="0" w:color="auto"/>
              <w:right w:val="single" w:sz="4" w:space="0" w:color="auto"/>
            </w:tcBorders>
            <w:shd w:val="clear" w:color="auto" w:fill="auto"/>
            <w:noWrap/>
            <w:hideMark/>
          </w:tcPr>
          <w:p w14:paraId="04D2F71B"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29 580 000</w:t>
            </w:r>
          </w:p>
        </w:tc>
        <w:tc>
          <w:tcPr>
            <w:tcW w:w="572" w:type="dxa"/>
            <w:tcBorders>
              <w:top w:val="nil"/>
              <w:left w:val="nil"/>
              <w:bottom w:val="single" w:sz="4" w:space="0" w:color="auto"/>
              <w:right w:val="single" w:sz="4" w:space="0" w:color="auto"/>
            </w:tcBorders>
            <w:shd w:val="clear" w:color="auto" w:fill="auto"/>
            <w:noWrap/>
            <w:hideMark/>
          </w:tcPr>
          <w:p w14:paraId="2C5E8C45"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44</w:t>
            </w:r>
          </w:p>
        </w:tc>
        <w:tc>
          <w:tcPr>
            <w:tcW w:w="1043" w:type="dxa"/>
            <w:tcBorders>
              <w:top w:val="nil"/>
              <w:left w:val="nil"/>
              <w:bottom w:val="single" w:sz="4" w:space="0" w:color="auto"/>
              <w:right w:val="single" w:sz="4" w:space="0" w:color="auto"/>
            </w:tcBorders>
            <w:shd w:val="clear" w:color="auto" w:fill="auto"/>
            <w:noWrap/>
            <w:hideMark/>
          </w:tcPr>
          <w:p w14:paraId="4237F527"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17 748 000</w:t>
            </w:r>
          </w:p>
        </w:tc>
        <w:tc>
          <w:tcPr>
            <w:tcW w:w="572" w:type="dxa"/>
            <w:tcBorders>
              <w:top w:val="nil"/>
              <w:left w:val="nil"/>
              <w:bottom w:val="single" w:sz="4" w:space="0" w:color="auto"/>
              <w:right w:val="single" w:sz="4" w:space="0" w:color="auto"/>
            </w:tcBorders>
            <w:shd w:val="clear" w:color="auto" w:fill="auto"/>
            <w:noWrap/>
            <w:hideMark/>
          </w:tcPr>
          <w:p w14:paraId="77C4BAF2" w14:textId="77777777"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r w:rsidRPr="004813AF">
              <w:rPr>
                <w:rFonts w:ascii="Times New Roman" w:eastAsia="Times New Roman" w:hAnsi="Times New Roman" w:cs="Times New Roman"/>
                <w:b/>
                <w:bCs/>
                <w:color w:val="00B050"/>
                <w:sz w:val="16"/>
                <w:szCs w:val="16"/>
                <w:lang w:val="en-GB" w:eastAsia="en-GB" w:bidi="ne-NP"/>
              </w:rPr>
              <w:t>52</w:t>
            </w:r>
          </w:p>
        </w:tc>
        <w:tc>
          <w:tcPr>
            <w:tcW w:w="1043" w:type="dxa"/>
            <w:tcBorders>
              <w:top w:val="nil"/>
              <w:left w:val="nil"/>
              <w:bottom w:val="single" w:sz="4" w:space="0" w:color="auto"/>
              <w:right w:val="single" w:sz="4" w:space="0" w:color="auto"/>
            </w:tcBorders>
            <w:shd w:val="clear" w:color="auto" w:fill="auto"/>
            <w:noWrap/>
            <w:hideMark/>
          </w:tcPr>
          <w:p w14:paraId="5144D7B0" w14:textId="77777777"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r w:rsidRPr="004813AF">
              <w:rPr>
                <w:rFonts w:ascii="Times New Roman" w:eastAsia="Times New Roman" w:hAnsi="Times New Roman" w:cs="Times New Roman"/>
                <w:color w:val="000000"/>
                <w:sz w:val="16"/>
                <w:szCs w:val="16"/>
                <w:lang w:val="en-GB" w:eastAsia="en-GB" w:bidi="ne-NP"/>
              </w:rPr>
              <w:t>11 832 000</w:t>
            </w:r>
          </w:p>
        </w:tc>
        <w:tc>
          <w:tcPr>
            <w:tcW w:w="572" w:type="dxa"/>
            <w:tcBorders>
              <w:top w:val="nil"/>
              <w:left w:val="nil"/>
              <w:bottom w:val="single" w:sz="4" w:space="0" w:color="auto"/>
              <w:right w:val="single" w:sz="4" w:space="0" w:color="auto"/>
            </w:tcBorders>
            <w:shd w:val="clear" w:color="auto" w:fill="auto"/>
            <w:noWrap/>
            <w:hideMark/>
          </w:tcPr>
          <w:p w14:paraId="59136BDA" w14:textId="0376F59E" w:rsidR="004813AF" w:rsidRPr="004813AF" w:rsidRDefault="004813AF" w:rsidP="004813AF">
            <w:pPr>
              <w:spacing w:after="0" w:line="240" w:lineRule="auto"/>
              <w:jc w:val="center"/>
              <w:rPr>
                <w:rFonts w:ascii="Times New Roman" w:eastAsia="Times New Roman" w:hAnsi="Times New Roman" w:cs="Times New Roman"/>
                <w:b/>
                <w:bCs/>
                <w:color w:val="00B050"/>
                <w:sz w:val="16"/>
                <w:szCs w:val="16"/>
                <w:lang w:val="en-GB" w:eastAsia="en-GB" w:bidi="ne-NP"/>
              </w:rPr>
            </w:pPr>
          </w:p>
        </w:tc>
        <w:tc>
          <w:tcPr>
            <w:tcW w:w="1047" w:type="dxa"/>
            <w:tcBorders>
              <w:top w:val="nil"/>
              <w:left w:val="nil"/>
              <w:bottom w:val="single" w:sz="4" w:space="0" w:color="auto"/>
              <w:right w:val="single" w:sz="4" w:space="0" w:color="auto"/>
            </w:tcBorders>
            <w:shd w:val="clear" w:color="auto" w:fill="auto"/>
            <w:noWrap/>
            <w:hideMark/>
          </w:tcPr>
          <w:p w14:paraId="591D8022" w14:textId="05B95BF5" w:rsidR="004813AF" w:rsidRPr="004813AF" w:rsidRDefault="004813AF" w:rsidP="004813AF">
            <w:pPr>
              <w:spacing w:after="0" w:line="240" w:lineRule="auto"/>
              <w:jc w:val="center"/>
              <w:rPr>
                <w:rFonts w:ascii="Times New Roman" w:eastAsia="Times New Roman" w:hAnsi="Times New Roman" w:cs="Times New Roman"/>
                <w:color w:val="000000"/>
                <w:sz w:val="16"/>
                <w:szCs w:val="16"/>
                <w:lang w:val="en-GB" w:eastAsia="en-GB" w:bidi="ne-NP"/>
              </w:rPr>
            </w:pPr>
          </w:p>
        </w:tc>
      </w:tr>
    </w:tbl>
    <w:p w14:paraId="1F61858B" w14:textId="77777777" w:rsidR="00392548" w:rsidRPr="00392548" w:rsidRDefault="00392548" w:rsidP="00392548">
      <w:pPr>
        <w:spacing w:after="0" w:line="240" w:lineRule="auto"/>
        <w:ind w:left="-709"/>
        <w:rPr>
          <w:rFonts w:ascii="Times New Roman" w:eastAsia="Times New Roman" w:hAnsi="Times New Roman" w:cs="Times New Roman"/>
          <w:b/>
          <w:bCs/>
        </w:rPr>
      </w:pPr>
    </w:p>
    <w:sectPr w:rsidR="00392548" w:rsidRPr="00392548" w:rsidSect="00B27CED">
      <w:footerReference w:type="default" r:id="rId11"/>
      <w:pgSz w:w="11906" w:h="16838"/>
      <w:pgMar w:top="851" w:right="1134" w:bottom="709"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7D025" w14:textId="77777777" w:rsidR="009C7B86" w:rsidRDefault="009C7B86" w:rsidP="00B32C06">
      <w:pPr>
        <w:spacing w:after="0" w:line="240" w:lineRule="auto"/>
      </w:pPr>
      <w:r>
        <w:separator/>
      </w:r>
    </w:p>
  </w:endnote>
  <w:endnote w:type="continuationSeparator" w:id="0">
    <w:p w14:paraId="29BE49D6" w14:textId="77777777" w:rsidR="009C7B86" w:rsidRDefault="009C7B86" w:rsidP="00B32C06">
      <w:pPr>
        <w:spacing w:after="0" w:line="240" w:lineRule="auto"/>
      </w:pPr>
      <w:r>
        <w:continuationSeparator/>
      </w:r>
    </w:p>
  </w:endnote>
  <w:endnote w:type="continuationNotice" w:id="1">
    <w:p w14:paraId="5B053F71" w14:textId="77777777" w:rsidR="009C7B86" w:rsidRDefault="009C7B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221339"/>
      <w:docPartObj>
        <w:docPartGallery w:val="Page Numbers (Bottom of Page)"/>
        <w:docPartUnique/>
      </w:docPartObj>
    </w:sdtPr>
    <w:sdtEndPr>
      <w:rPr>
        <w:noProof/>
      </w:rPr>
    </w:sdtEndPr>
    <w:sdtContent>
      <w:p w14:paraId="1F002EFB" w14:textId="52FF7B8D" w:rsidR="00DF51FA" w:rsidRDefault="00DF51FA">
        <w:pPr>
          <w:pStyle w:val="Footer"/>
          <w:jc w:val="center"/>
        </w:pPr>
        <w:r>
          <w:fldChar w:fldCharType="begin"/>
        </w:r>
        <w:r>
          <w:instrText xml:space="preserve"> PAGE   \* MERGEFORMAT </w:instrText>
        </w:r>
        <w:r>
          <w:fldChar w:fldCharType="separate"/>
        </w:r>
        <w:r w:rsidR="004813AF">
          <w:rPr>
            <w:noProof/>
          </w:rPr>
          <w:t>11</w:t>
        </w:r>
        <w:r>
          <w:rPr>
            <w:noProof/>
          </w:rPr>
          <w:fldChar w:fldCharType="end"/>
        </w:r>
      </w:p>
    </w:sdtContent>
  </w:sdt>
  <w:p w14:paraId="65172886" w14:textId="77777777" w:rsidR="00DF51FA" w:rsidRDefault="00DF51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28176" w14:textId="77777777" w:rsidR="009C7B86" w:rsidRDefault="009C7B86" w:rsidP="00B32C06">
      <w:pPr>
        <w:spacing w:after="0" w:line="240" w:lineRule="auto"/>
      </w:pPr>
      <w:r>
        <w:separator/>
      </w:r>
    </w:p>
  </w:footnote>
  <w:footnote w:type="continuationSeparator" w:id="0">
    <w:p w14:paraId="0B834728" w14:textId="77777777" w:rsidR="009C7B86" w:rsidRDefault="009C7B86" w:rsidP="00B32C06">
      <w:pPr>
        <w:spacing w:after="0" w:line="240" w:lineRule="auto"/>
      </w:pPr>
      <w:r>
        <w:continuationSeparator/>
      </w:r>
    </w:p>
  </w:footnote>
  <w:footnote w:type="continuationNotice" w:id="1">
    <w:p w14:paraId="289BA68D" w14:textId="77777777" w:rsidR="009C7B86" w:rsidRDefault="009C7B86">
      <w:pPr>
        <w:spacing w:after="0" w:line="240" w:lineRule="auto"/>
      </w:pPr>
    </w:p>
  </w:footnote>
  <w:footnote w:id="2">
    <w:p w14:paraId="509B2B1B" w14:textId="77777777" w:rsidR="00DF51FA" w:rsidRPr="000948CF" w:rsidRDefault="00DF51FA" w:rsidP="000161F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3BA1F03B" w14:textId="77777777" w:rsidR="00DF51FA" w:rsidRPr="00E64D20" w:rsidRDefault="00DF51FA" w:rsidP="00FF72F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0E81DDEF" w14:textId="77777777" w:rsidR="00DF51FA" w:rsidRPr="0001046F" w:rsidRDefault="00DF51FA" w:rsidP="00FF72FC">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3EB5939" w14:textId="77777777" w:rsidR="00DF51FA" w:rsidRPr="000948CF" w:rsidRDefault="00DF51FA" w:rsidP="000D3E5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76CA91FB" w14:textId="77777777" w:rsidR="00DF51FA" w:rsidRPr="00E64D20" w:rsidRDefault="00DF51FA" w:rsidP="000D3E5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544F45D0" w14:textId="77777777" w:rsidR="00DF51FA" w:rsidRPr="0001046F" w:rsidRDefault="00DF51FA" w:rsidP="000D3E5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75D65AB3" w14:textId="77777777" w:rsidR="00DF51FA" w:rsidRPr="000948CF" w:rsidRDefault="00DF51FA" w:rsidP="00750FD2">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9">
    <w:p w14:paraId="56778024" w14:textId="77777777" w:rsidR="00DF51FA" w:rsidRPr="00E64D20" w:rsidRDefault="00DF51FA" w:rsidP="00FF72F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0">
    <w:p w14:paraId="190E8DB4" w14:textId="77777777" w:rsidR="00DF51FA" w:rsidRPr="0001046F" w:rsidRDefault="00DF51FA" w:rsidP="00675196">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1">
    <w:p w14:paraId="0B907521" w14:textId="77777777" w:rsidR="00DF51FA" w:rsidRPr="00E719E8" w:rsidRDefault="00DF51FA" w:rsidP="00E719E8">
      <w:pPr>
        <w:pStyle w:val="FootnoteText"/>
        <w:jc w:val="both"/>
        <w:rPr>
          <w:rFonts w:ascii="Times New Roman" w:hAnsi="Times New Roman" w:cs="Times New Roman"/>
          <w:sz w:val="18"/>
          <w:szCs w:val="18"/>
        </w:rPr>
      </w:pPr>
      <w:r w:rsidRPr="00E719E8">
        <w:rPr>
          <w:rStyle w:val="FootnoteReference"/>
          <w:rFonts w:ascii="Times New Roman" w:hAnsi="Times New Roman" w:cs="Times New Roman"/>
          <w:sz w:val="18"/>
          <w:szCs w:val="18"/>
        </w:rPr>
        <w:footnoteRef/>
      </w:r>
      <w:r w:rsidRPr="00E719E8">
        <w:rPr>
          <w:rFonts w:ascii="Times New Roman" w:hAnsi="Times New Roman" w:cs="Times New Roman"/>
          <w:sz w:val="18"/>
          <w:szCs w:val="18"/>
        </w:rPr>
        <w:t xml:space="preserve"> </w:t>
      </w:r>
      <w:r w:rsidRPr="00E719E8">
        <w:rPr>
          <w:rFonts w:ascii="Times New Roman" w:eastAsia="Times New Roman" w:hAnsi="Times New Roman" w:cs="Times New Roman"/>
          <w:sz w:val="18"/>
          <w:szCs w:val="18"/>
        </w:rPr>
        <w:t>Darbības programmas "Izaugsme un nodarbinātība" 4.2.2. specifiskais atbalsta mērķis "Atbilstoši pašvaldības integrētajām attīstības programmām sekmēt energoefektivitātes paaugstināšanu un atjaunojamo energoresursu izmantošanu pašvaldību ēkās".</w:t>
      </w:r>
    </w:p>
  </w:footnote>
  <w:footnote w:id="12">
    <w:p w14:paraId="14771160" w14:textId="77777777" w:rsidR="00DF51FA" w:rsidRPr="00E719E8" w:rsidRDefault="00DF51FA" w:rsidP="00E719E8">
      <w:pPr>
        <w:pStyle w:val="FootnoteText"/>
        <w:jc w:val="both"/>
        <w:rPr>
          <w:rFonts w:ascii="Times New Roman" w:hAnsi="Times New Roman" w:cs="Times New Roman"/>
          <w:sz w:val="18"/>
          <w:szCs w:val="18"/>
        </w:rPr>
      </w:pPr>
      <w:r w:rsidRPr="00AA44E1">
        <w:rPr>
          <w:rStyle w:val="FootnoteReference"/>
          <w:rFonts w:ascii="Times New Roman" w:hAnsi="Times New Roman" w:cs="Times New Roman"/>
          <w:sz w:val="18"/>
          <w:szCs w:val="18"/>
        </w:rPr>
        <w:footnoteRef/>
      </w:r>
      <w:r w:rsidRPr="00E719E8">
        <w:rPr>
          <w:rFonts w:ascii="Times New Roman" w:hAnsi="Times New Roman" w:cs="Times New Roman"/>
          <w:sz w:val="18"/>
          <w:szCs w:val="18"/>
        </w:rPr>
        <w:t xml:space="preserve"> </w:t>
      </w:r>
    </w:p>
  </w:footnote>
  <w:footnote w:id="13">
    <w:p w14:paraId="1B1541C9" w14:textId="77777777" w:rsidR="00DF51FA" w:rsidRPr="00E719E8" w:rsidRDefault="00DF51FA" w:rsidP="00E719E8">
      <w:pPr>
        <w:pStyle w:val="FootnoteText"/>
        <w:jc w:val="both"/>
        <w:rPr>
          <w:rFonts w:ascii="Times New Roman" w:hAnsi="Times New Roman" w:cs="Times New Roman"/>
          <w:sz w:val="18"/>
          <w:szCs w:val="18"/>
        </w:rPr>
      </w:pPr>
      <w:r w:rsidRPr="00E719E8">
        <w:rPr>
          <w:rStyle w:val="FootnoteReference"/>
          <w:rFonts w:ascii="Times New Roman" w:hAnsi="Times New Roman" w:cs="Times New Roman"/>
          <w:sz w:val="18"/>
          <w:szCs w:val="18"/>
        </w:rPr>
        <w:footnoteRef/>
      </w:r>
      <w:r w:rsidRPr="00E719E8">
        <w:rPr>
          <w:rFonts w:ascii="Times New Roman" w:hAnsi="Times New Roman" w:cs="Times New Roman"/>
          <w:sz w:val="18"/>
          <w:szCs w:val="18"/>
        </w:rPr>
        <w:t xml:space="preserve"> </w:t>
      </w:r>
      <w:r w:rsidRPr="00E719E8">
        <w:rPr>
          <w:rFonts w:ascii="Times New Roman" w:eastAsia="Times New Roman" w:hAnsi="Times New Roman" w:cs="Times New Roman"/>
          <w:sz w:val="18"/>
          <w:szCs w:val="18"/>
        </w:rPr>
        <w:t xml:space="preserve">Valsts ēkās katru gadu renovētas 3% no tiešās pārvaldes ēku </w:t>
      </w:r>
      <w:proofErr w:type="spellStart"/>
      <w:r w:rsidRPr="00E719E8">
        <w:rPr>
          <w:rFonts w:ascii="Times New Roman" w:eastAsia="Times New Roman" w:hAnsi="Times New Roman" w:cs="Times New Roman"/>
          <w:sz w:val="18"/>
          <w:szCs w:val="18"/>
        </w:rPr>
        <w:t>energo</w:t>
      </w:r>
      <w:proofErr w:type="spellEnd"/>
      <w:r w:rsidRPr="00E719E8">
        <w:rPr>
          <w:rFonts w:ascii="Times New Roman" w:eastAsia="Times New Roman" w:hAnsi="Times New Roman" w:cs="Times New Roman"/>
          <w:sz w:val="18"/>
          <w:szCs w:val="18"/>
        </w:rPr>
        <w:t xml:space="preserve">-neefektīvās platības; dzīvojamās ēkās atjaunotas vismaz 2000 daudzdzīvokļu ēkas un uzstādītas ne-emisiju tehnoloģijas; pašvaldību publiskajās ēkās primārās enerģijas gada samazinājums 67 991 529 </w:t>
      </w:r>
      <w:proofErr w:type="spellStart"/>
      <w:r w:rsidRPr="00E719E8">
        <w:rPr>
          <w:rFonts w:ascii="Times New Roman" w:eastAsia="Times New Roman" w:hAnsi="Times New Roman" w:cs="Times New Roman"/>
          <w:sz w:val="18"/>
          <w:szCs w:val="18"/>
        </w:rPr>
        <w:t>KWh</w:t>
      </w:r>
      <w:proofErr w:type="spellEnd"/>
      <w:r w:rsidRPr="00E719E8">
        <w:rPr>
          <w:rFonts w:ascii="Times New Roman" w:eastAsia="Times New Roman" w:hAnsi="Times New Roman" w:cs="Times New Roman"/>
          <w:sz w:val="18"/>
          <w:szCs w:val="18"/>
        </w:rPr>
        <w:t>/gadā).</w:t>
      </w:r>
    </w:p>
  </w:footnote>
  <w:footnote w:id="14">
    <w:p w14:paraId="277ECC60" w14:textId="77777777" w:rsidR="00DF51FA" w:rsidRPr="000948CF" w:rsidRDefault="00DF51FA" w:rsidP="00852253">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0364A2A6" w14:textId="77777777" w:rsidR="00DF51FA" w:rsidRPr="00E64D20" w:rsidRDefault="00DF51FA" w:rsidP="00160DA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0A8EDC18" w14:textId="77777777" w:rsidR="00DF51FA" w:rsidRPr="0001046F" w:rsidRDefault="00DF51FA" w:rsidP="003442BE">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7EAF2DDE" w14:textId="77777777" w:rsidR="00DF51FA" w:rsidRPr="00DC0D53" w:rsidRDefault="00DF51FA" w:rsidP="003442BE">
      <w:pPr>
        <w:pStyle w:val="FootnoteText"/>
        <w:jc w:val="both"/>
        <w:rPr>
          <w:rFonts w:ascii="Times New Roman" w:hAnsi="Times New Roman" w:cs="Times New Roman"/>
        </w:rPr>
      </w:pPr>
      <w:r w:rsidRPr="00DC0D53">
        <w:rPr>
          <w:rStyle w:val="FootnoteReference"/>
          <w:rFonts w:ascii="Times New Roman" w:hAnsi="Times New Roman" w:cs="Times New Roman"/>
        </w:rPr>
        <w:footnoteRef/>
      </w:r>
      <w:r w:rsidRPr="00DC0D53">
        <w:rPr>
          <w:rFonts w:ascii="Times New Roman" w:hAnsi="Times New Roman" w:cs="Times New Roman"/>
        </w:rPr>
        <w:t xml:space="preserve"> Informatīvais ziņojums “Ēku atjaunošanas ilgtermiņa stratēģija”</w:t>
      </w:r>
    </w:p>
  </w:footnote>
  <w:footnote w:id="18">
    <w:p w14:paraId="29046CAE" w14:textId="77777777" w:rsidR="00DF51FA" w:rsidRPr="00DC0D53" w:rsidRDefault="00DF51FA" w:rsidP="003442BE">
      <w:pPr>
        <w:pStyle w:val="FootnoteText"/>
        <w:jc w:val="both"/>
        <w:rPr>
          <w:rFonts w:ascii="Times New Roman" w:hAnsi="Times New Roman" w:cs="Times New Roman"/>
        </w:rPr>
      </w:pPr>
      <w:r w:rsidRPr="00DC0D53">
        <w:rPr>
          <w:rStyle w:val="FootnoteReference"/>
          <w:rFonts w:ascii="Times New Roman" w:hAnsi="Times New Roman" w:cs="Times New Roman"/>
        </w:rPr>
        <w:footnoteRef/>
      </w:r>
      <w:r w:rsidRPr="00DC0D53">
        <w:rPr>
          <w:rFonts w:ascii="Times New Roman" w:hAnsi="Times New Roman" w:cs="Times New Roman"/>
        </w:rPr>
        <w:t xml:space="preserve"> Avots - n</w:t>
      </w:r>
      <w:r w:rsidRPr="00DC0D53">
        <w:rPr>
          <w:rFonts w:ascii="Times New Roman" w:eastAsia="Times New Roman" w:hAnsi="Times New Roman" w:cs="Times New Roman"/>
        </w:rPr>
        <w:t>ekustamā īpašuma valsts kadastra informācijas sistēma</w:t>
      </w:r>
    </w:p>
  </w:footnote>
  <w:footnote w:id="19">
    <w:p w14:paraId="50036645" w14:textId="4564FE53" w:rsidR="00DF51FA" w:rsidRDefault="00DF51FA">
      <w:pPr>
        <w:pStyle w:val="FootnoteText"/>
      </w:pPr>
      <w:r>
        <w:rPr>
          <w:rStyle w:val="FootnoteReference"/>
        </w:rPr>
        <w:footnoteRef/>
      </w:r>
      <w:r>
        <w:t xml:space="preserve"> </w:t>
      </w:r>
      <w:r>
        <w:rPr>
          <w:rFonts w:ascii="Times New Roman" w:eastAsia="Times New Roman" w:hAnsi="Times New Roman" w:cs="Times New Roman"/>
        </w:rPr>
        <w:t>Projektos (faktiskajā aprēķinā)</w:t>
      </w:r>
      <w:r w:rsidRPr="003869EA">
        <w:rPr>
          <w:rFonts w:ascii="Times New Roman" w:eastAsia="Times New Roman" w:hAnsi="Times New Roman" w:cs="Times New Roman"/>
        </w:rPr>
        <w:t xml:space="preserve"> tiks piemēroti koeficienti</w:t>
      </w:r>
      <w:r>
        <w:rPr>
          <w:rFonts w:ascii="Times New Roman" w:eastAsia="Times New Roman" w:hAnsi="Times New Roman" w:cs="Times New Roman"/>
        </w:rPr>
        <w:t>, ievērojot Ministru kabineta 2021.gada 8.aprīļa noteikumu Nr.222 “</w:t>
      </w:r>
      <w:r w:rsidRPr="000F231B">
        <w:rPr>
          <w:rFonts w:ascii="Times New Roman" w:eastAsia="Times New Roman" w:hAnsi="Times New Roman" w:cs="Times New Roman"/>
        </w:rPr>
        <w:t xml:space="preserve">Ēku energoefektivitātes aprēķina metodes un ēku </w:t>
      </w:r>
      <w:proofErr w:type="spellStart"/>
      <w:r w:rsidRPr="000F231B">
        <w:rPr>
          <w:rFonts w:ascii="Times New Roman" w:eastAsia="Times New Roman" w:hAnsi="Times New Roman" w:cs="Times New Roman"/>
        </w:rPr>
        <w:t>energosertifikācijas</w:t>
      </w:r>
      <w:proofErr w:type="spellEnd"/>
      <w:r w:rsidRPr="000F231B">
        <w:rPr>
          <w:rFonts w:ascii="Times New Roman" w:eastAsia="Times New Roman" w:hAnsi="Times New Roman" w:cs="Times New Roman"/>
        </w:rPr>
        <w:t xml:space="preserve"> noteikumi</w:t>
      </w:r>
      <w:r>
        <w:rPr>
          <w:rFonts w:ascii="Times New Roman" w:eastAsia="Times New Roman" w:hAnsi="Times New Roman" w:cs="Times New Roman"/>
        </w:rPr>
        <w:t>” nosacījumus.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25E66"/>
    <w:multiLevelType w:val="multilevel"/>
    <w:tmpl w:val="8EACE6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A2B4DF2"/>
    <w:multiLevelType w:val="hybridMultilevel"/>
    <w:tmpl w:val="4F60AA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8A43B3"/>
    <w:multiLevelType w:val="hybridMultilevel"/>
    <w:tmpl w:val="370AD85E"/>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E44CFD"/>
    <w:multiLevelType w:val="hybridMultilevel"/>
    <w:tmpl w:val="B3C62C5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411F98"/>
    <w:multiLevelType w:val="hybridMultilevel"/>
    <w:tmpl w:val="DDDAA58C"/>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15E94123"/>
    <w:multiLevelType w:val="hybridMultilevel"/>
    <w:tmpl w:val="D3E8E4CC"/>
    <w:lvl w:ilvl="0" w:tplc="5BB8076A">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1825726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4706A5"/>
    <w:multiLevelType w:val="hybridMultilevel"/>
    <w:tmpl w:val="0950A97E"/>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FBE7F2E"/>
    <w:multiLevelType w:val="hybridMultilevel"/>
    <w:tmpl w:val="99304E00"/>
    <w:lvl w:ilvl="0" w:tplc="FFFFFFFF">
      <w:start w:val="1"/>
      <w:numFmt w:val="lowerLetter"/>
      <w:lvlText w:val="%1."/>
      <w:lvlJc w:val="left"/>
      <w:pPr>
        <w:ind w:left="720" w:hanging="360"/>
      </w:pPr>
    </w:lvl>
    <w:lvl w:ilvl="1" w:tplc="30B046C8">
      <w:start w:val="1"/>
      <w:numFmt w:val="lowerLetter"/>
      <w:lvlText w:val="%2."/>
      <w:lvlJc w:val="left"/>
      <w:pPr>
        <w:ind w:left="1440" w:hanging="360"/>
      </w:pPr>
    </w:lvl>
    <w:lvl w:ilvl="2" w:tplc="EB4A3400">
      <w:start w:val="1"/>
      <w:numFmt w:val="lowerRoman"/>
      <w:lvlText w:val="%3."/>
      <w:lvlJc w:val="right"/>
      <w:pPr>
        <w:ind w:left="2160" w:hanging="180"/>
      </w:pPr>
    </w:lvl>
    <w:lvl w:ilvl="3" w:tplc="51940D38">
      <w:start w:val="1"/>
      <w:numFmt w:val="decimal"/>
      <w:lvlText w:val="%4."/>
      <w:lvlJc w:val="left"/>
      <w:pPr>
        <w:ind w:left="2880" w:hanging="360"/>
      </w:pPr>
    </w:lvl>
    <w:lvl w:ilvl="4" w:tplc="76ECA1DA">
      <w:start w:val="1"/>
      <w:numFmt w:val="lowerLetter"/>
      <w:lvlText w:val="%5."/>
      <w:lvlJc w:val="left"/>
      <w:pPr>
        <w:ind w:left="3600" w:hanging="360"/>
      </w:pPr>
    </w:lvl>
    <w:lvl w:ilvl="5" w:tplc="ADECA4CA">
      <w:start w:val="1"/>
      <w:numFmt w:val="lowerRoman"/>
      <w:lvlText w:val="%6."/>
      <w:lvlJc w:val="right"/>
      <w:pPr>
        <w:ind w:left="4320" w:hanging="180"/>
      </w:pPr>
    </w:lvl>
    <w:lvl w:ilvl="6" w:tplc="5CF47910">
      <w:start w:val="1"/>
      <w:numFmt w:val="decimal"/>
      <w:lvlText w:val="%7."/>
      <w:lvlJc w:val="left"/>
      <w:pPr>
        <w:ind w:left="5040" w:hanging="360"/>
      </w:pPr>
    </w:lvl>
    <w:lvl w:ilvl="7" w:tplc="CF28ACF6">
      <w:start w:val="1"/>
      <w:numFmt w:val="lowerLetter"/>
      <w:lvlText w:val="%8."/>
      <w:lvlJc w:val="left"/>
      <w:pPr>
        <w:ind w:left="5760" w:hanging="360"/>
      </w:pPr>
    </w:lvl>
    <w:lvl w:ilvl="8" w:tplc="0644C186">
      <w:start w:val="1"/>
      <w:numFmt w:val="lowerRoman"/>
      <w:lvlText w:val="%9."/>
      <w:lvlJc w:val="right"/>
      <w:pPr>
        <w:ind w:left="6480" w:hanging="180"/>
      </w:pPr>
    </w:lvl>
  </w:abstractNum>
  <w:abstractNum w:abstractNumId="9" w15:restartNumberingAfterBreak="0">
    <w:nsid w:val="237A4009"/>
    <w:multiLevelType w:val="hybridMultilevel"/>
    <w:tmpl w:val="100ABDFA"/>
    <w:lvl w:ilvl="0" w:tplc="FFFFFFFF">
      <w:start w:val="1"/>
      <w:numFmt w:val="decimal"/>
      <w:lvlText w:val="%1."/>
      <w:lvlJc w:val="left"/>
      <w:pPr>
        <w:ind w:left="611"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B82C67"/>
    <w:multiLevelType w:val="hybridMultilevel"/>
    <w:tmpl w:val="5A56E87C"/>
    <w:lvl w:ilvl="0" w:tplc="6BF88646">
      <w:start w:val="5"/>
      <w:numFmt w:val="decimal"/>
      <w:lvlText w:val="%1."/>
      <w:lvlJc w:val="left"/>
      <w:pPr>
        <w:ind w:left="720" w:hanging="360"/>
      </w:pPr>
      <w:rPr>
        <w:u w:val="none"/>
      </w:rPr>
    </w:lvl>
    <w:lvl w:ilvl="1" w:tplc="8EE6B5B8">
      <w:start w:val="1"/>
      <w:numFmt w:val="lowerLetter"/>
      <w:lvlText w:val="%2."/>
      <w:lvlJc w:val="left"/>
      <w:pPr>
        <w:ind w:left="1440" w:hanging="360"/>
      </w:pPr>
      <w:rPr>
        <w:u w:val="none"/>
      </w:rPr>
    </w:lvl>
    <w:lvl w:ilvl="2" w:tplc="C8A04540">
      <w:start w:val="1"/>
      <w:numFmt w:val="lowerRoman"/>
      <w:lvlText w:val="%3."/>
      <w:lvlJc w:val="left"/>
      <w:pPr>
        <w:ind w:left="2160" w:hanging="360"/>
      </w:pPr>
      <w:rPr>
        <w:u w:val="none"/>
      </w:rPr>
    </w:lvl>
    <w:lvl w:ilvl="3" w:tplc="217848A6">
      <w:start w:val="1"/>
      <w:numFmt w:val="decimal"/>
      <w:lvlText w:val="%4."/>
      <w:lvlJc w:val="left"/>
      <w:pPr>
        <w:ind w:left="2880" w:hanging="360"/>
      </w:pPr>
      <w:rPr>
        <w:u w:val="none"/>
      </w:rPr>
    </w:lvl>
    <w:lvl w:ilvl="4" w:tplc="94F4E3B0">
      <w:start w:val="1"/>
      <w:numFmt w:val="lowerLetter"/>
      <w:lvlText w:val="%5."/>
      <w:lvlJc w:val="left"/>
      <w:pPr>
        <w:ind w:left="3600" w:hanging="360"/>
      </w:pPr>
      <w:rPr>
        <w:u w:val="none"/>
      </w:rPr>
    </w:lvl>
    <w:lvl w:ilvl="5" w:tplc="52EA3DEE">
      <w:start w:val="1"/>
      <w:numFmt w:val="lowerRoman"/>
      <w:lvlText w:val="%6."/>
      <w:lvlJc w:val="left"/>
      <w:pPr>
        <w:ind w:left="4320" w:hanging="360"/>
      </w:pPr>
      <w:rPr>
        <w:u w:val="none"/>
      </w:rPr>
    </w:lvl>
    <w:lvl w:ilvl="6" w:tplc="50C27D1A">
      <w:start w:val="1"/>
      <w:numFmt w:val="decimal"/>
      <w:lvlText w:val="%7."/>
      <w:lvlJc w:val="left"/>
      <w:pPr>
        <w:ind w:left="5040" w:hanging="360"/>
      </w:pPr>
      <w:rPr>
        <w:u w:val="none"/>
      </w:rPr>
    </w:lvl>
    <w:lvl w:ilvl="7" w:tplc="CB308618">
      <w:start w:val="1"/>
      <w:numFmt w:val="lowerLetter"/>
      <w:lvlText w:val="%8."/>
      <w:lvlJc w:val="left"/>
      <w:pPr>
        <w:ind w:left="5760" w:hanging="360"/>
      </w:pPr>
      <w:rPr>
        <w:u w:val="none"/>
      </w:rPr>
    </w:lvl>
    <w:lvl w:ilvl="8" w:tplc="C0FC2768">
      <w:start w:val="1"/>
      <w:numFmt w:val="lowerRoman"/>
      <w:lvlText w:val="%9."/>
      <w:lvlJc w:val="left"/>
      <w:pPr>
        <w:ind w:left="6480" w:hanging="360"/>
      </w:pPr>
      <w:rPr>
        <w:u w:val="none"/>
      </w:rPr>
    </w:lvl>
  </w:abstractNum>
  <w:abstractNum w:abstractNumId="11" w15:restartNumberingAfterBreak="0">
    <w:nsid w:val="263A2694"/>
    <w:multiLevelType w:val="hybridMultilevel"/>
    <w:tmpl w:val="85AEFEA8"/>
    <w:lvl w:ilvl="0" w:tplc="F578BBE0">
      <w:start w:val="4"/>
      <w:numFmt w:val="decimal"/>
      <w:lvlText w:val="%1."/>
      <w:lvlJc w:val="left"/>
      <w:pPr>
        <w:ind w:left="720" w:hanging="360"/>
      </w:pPr>
      <w:rPr>
        <w:u w:val="none"/>
      </w:rPr>
    </w:lvl>
    <w:lvl w:ilvl="1" w:tplc="0B2A902E">
      <w:start w:val="1"/>
      <w:numFmt w:val="lowerLetter"/>
      <w:lvlText w:val="%2."/>
      <w:lvlJc w:val="left"/>
      <w:pPr>
        <w:ind w:left="1440" w:hanging="360"/>
      </w:pPr>
      <w:rPr>
        <w:u w:val="none"/>
      </w:rPr>
    </w:lvl>
    <w:lvl w:ilvl="2" w:tplc="C838C864">
      <w:start w:val="1"/>
      <w:numFmt w:val="lowerRoman"/>
      <w:lvlText w:val="%3."/>
      <w:lvlJc w:val="left"/>
      <w:pPr>
        <w:ind w:left="2160" w:hanging="360"/>
      </w:pPr>
      <w:rPr>
        <w:u w:val="none"/>
      </w:rPr>
    </w:lvl>
    <w:lvl w:ilvl="3" w:tplc="2ECA6362">
      <w:start w:val="1"/>
      <w:numFmt w:val="decimal"/>
      <w:lvlText w:val="%4."/>
      <w:lvlJc w:val="left"/>
      <w:pPr>
        <w:ind w:left="2880" w:hanging="360"/>
      </w:pPr>
      <w:rPr>
        <w:u w:val="none"/>
      </w:rPr>
    </w:lvl>
    <w:lvl w:ilvl="4" w:tplc="FEACCC06">
      <w:start w:val="1"/>
      <w:numFmt w:val="lowerLetter"/>
      <w:lvlText w:val="%5."/>
      <w:lvlJc w:val="left"/>
      <w:pPr>
        <w:ind w:left="3600" w:hanging="360"/>
      </w:pPr>
      <w:rPr>
        <w:u w:val="none"/>
      </w:rPr>
    </w:lvl>
    <w:lvl w:ilvl="5" w:tplc="7CD2061C">
      <w:start w:val="1"/>
      <w:numFmt w:val="lowerRoman"/>
      <w:lvlText w:val="%6."/>
      <w:lvlJc w:val="left"/>
      <w:pPr>
        <w:ind w:left="4320" w:hanging="360"/>
      </w:pPr>
      <w:rPr>
        <w:u w:val="none"/>
      </w:rPr>
    </w:lvl>
    <w:lvl w:ilvl="6" w:tplc="A9A6C4B0">
      <w:start w:val="1"/>
      <w:numFmt w:val="decimal"/>
      <w:lvlText w:val="%7."/>
      <w:lvlJc w:val="left"/>
      <w:pPr>
        <w:ind w:left="5040" w:hanging="360"/>
      </w:pPr>
      <w:rPr>
        <w:u w:val="none"/>
      </w:rPr>
    </w:lvl>
    <w:lvl w:ilvl="7" w:tplc="4FFA97D0">
      <w:start w:val="1"/>
      <w:numFmt w:val="lowerLetter"/>
      <w:lvlText w:val="%8."/>
      <w:lvlJc w:val="left"/>
      <w:pPr>
        <w:ind w:left="5760" w:hanging="360"/>
      </w:pPr>
      <w:rPr>
        <w:u w:val="none"/>
      </w:rPr>
    </w:lvl>
    <w:lvl w:ilvl="8" w:tplc="B106B40E">
      <w:start w:val="1"/>
      <w:numFmt w:val="lowerRoman"/>
      <w:lvlText w:val="%9."/>
      <w:lvlJc w:val="left"/>
      <w:pPr>
        <w:ind w:left="6480" w:hanging="360"/>
      </w:pPr>
      <w:rPr>
        <w:u w:val="none"/>
      </w:rPr>
    </w:lvl>
  </w:abstractNum>
  <w:abstractNum w:abstractNumId="12" w15:restartNumberingAfterBreak="0">
    <w:nsid w:val="2B784542"/>
    <w:multiLevelType w:val="hybridMultilevel"/>
    <w:tmpl w:val="85825A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EBB0522"/>
    <w:multiLevelType w:val="hybridMultilevel"/>
    <w:tmpl w:val="111806C4"/>
    <w:lvl w:ilvl="0" w:tplc="03680398">
      <w:start w:val="1"/>
      <w:numFmt w:val="lowerLetter"/>
      <w:lvlText w:val="%1."/>
      <w:lvlJc w:val="left"/>
      <w:pPr>
        <w:ind w:left="720" w:hanging="360"/>
      </w:pPr>
    </w:lvl>
    <w:lvl w:ilvl="1" w:tplc="413ACFC0">
      <w:start w:val="1"/>
      <w:numFmt w:val="lowerLetter"/>
      <w:lvlText w:val="%2."/>
      <w:lvlJc w:val="left"/>
      <w:pPr>
        <w:ind w:left="1440" w:hanging="360"/>
      </w:pPr>
    </w:lvl>
    <w:lvl w:ilvl="2" w:tplc="8D50E17C">
      <w:start w:val="1"/>
      <w:numFmt w:val="lowerRoman"/>
      <w:lvlText w:val="%3."/>
      <w:lvlJc w:val="right"/>
      <w:pPr>
        <w:ind w:left="2160" w:hanging="180"/>
      </w:pPr>
    </w:lvl>
    <w:lvl w:ilvl="3" w:tplc="15407B2A">
      <w:start w:val="1"/>
      <w:numFmt w:val="decimal"/>
      <w:lvlText w:val="%4."/>
      <w:lvlJc w:val="left"/>
      <w:pPr>
        <w:ind w:left="2880" w:hanging="360"/>
      </w:pPr>
    </w:lvl>
    <w:lvl w:ilvl="4" w:tplc="69CC4860">
      <w:start w:val="1"/>
      <w:numFmt w:val="lowerLetter"/>
      <w:lvlText w:val="%5."/>
      <w:lvlJc w:val="left"/>
      <w:pPr>
        <w:ind w:left="3600" w:hanging="360"/>
      </w:pPr>
    </w:lvl>
    <w:lvl w:ilvl="5" w:tplc="1AB26482">
      <w:start w:val="1"/>
      <w:numFmt w:val="lowerRoman"/>
      <w:lvlText w:val="%6."/>
      <w:lvlJc w:val="right"/>
      <w:pPr>
        <w:ind w:left="4320" w:hanging="180"/>
      </w:pPr>
    </w:lvl>
    <w:lvl w:ilvl="6" w:tplc="42F874B6">
      <w:start w:val="1"/>
      <w:numFmt w:val="decimal"/>
      <w:lvlText w:val="%7."/>
      <w:lvlJc w:val="left"/>
      <w:pPr>
        <w:ind w:left="5040" w:hanging="360"/>
      </w:pPr>
    </w:lvl>
    <w:lvl w:ilvl="7" w:tplc="C982222E">
      <w:start w:val="1"/>
      <w:numFmt w:val="lowerLetter"/>
      <w:lvlText w:val="%8."/>
      <w:lvlJc w:val="left"/>
      <w:pPr>
        <w:ind w:left="5760" w:hanging="360"/>
      </w:pPr>
    </w:lvl>
    <w:lvl w:ilvl="8" w:tplc="A8B26400">
      <w:start w:val="1"/>
      <w:numFmt w:val="lowerRoman"/>
      <w:lvlText w:val="%9."/>
      <w:lvlJc w:val="right"/>
      <w:pPr>
        <w:ind w:left="6480" w:hanging="180"/>
      </w:pPr>
    </w:lvl>
  </w:abstractNum>
  <w:abstractNum w:abstractNumId="14" w15:restartNumberingAfterBreak="0">
    <w:nsid w:val="30266CF2"/>
    <w:multiLevelType w:val="hybridMultilevel"/>
    <w:tmpl w:val="C3483D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3591023"/>
    <w:multiLevelType w:val="hybridMultilevel"/>
    <w:tmpl w:val="100ABDFA"/>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58F5A29"/>
    <w:multiLevelType w:val="hybridMultilevel"/>
    <w:tmpl w:val="5B10F6CE"/>
    <w:lvl w:ilvl="0" w:tplc="A20E93F4">
      <w:start w:val="3"/>
      <w:numFmt w:val="decimal"/>
      <w:lvlText w:val="%1."/>
      <w:lvlJc w:val="left"/>
      <w:pPr>
        <w:ind w:left="720" w:hanging="360"/>
      </w:pPr>
      <w:rPr>
        <w:u w:val="none"/>
      </w:rPr>
    </w:lvl>
    <w:lvl w:ilvl="1" w:tplc="70F4D876">
      <w:start w:val="1"/>
      <w:numFmt w:val="lowerLetter"/>
      <w:lvlText w:val="%2."/>
      <w:lvlJc w:val="left"/>
      <w:pPr>
        <w:ind w:left="1440" w:hanging="360"/>
      </w:pPr>
      <w:rPr>
        <w:u w:val="none"/>
      </w:rPr>
    </w:lvl>
    <w:lvl w:ilvl="2" w:tplc="CA6C4F98">
      <w:start w:val="1"/>
      <w:numFmt w:val="lowerRoman"/>
      <w:lvlText w:val="%3."/>
      <w:lvlJc w:val="left"/>
      <w:pPr>
        <w:ind w:left="2160" w:hanging="360"/>
      </w:pPr>
      <w:rPr>
        <w:u w:val="none"/>
      </w:rPr>
    </w:lvl>
    <w:lvl w:ilvl="3" w:tplc="F1CCA630">
      <w:start w:val="1"/>
      <w:numFmt w:val="decimal"/>
      <w:lvlText w:val="%4."/>
      <w:lvlJc w:val="left"/>
      <w:pPr>
        <w:ind w:left="2880" w:hanging="360"/>
      </w:pPr>
      <w:rPr>
        <w:u w:val="none"/>
      </w:rPr>
    </w:lvl>
    <w:lvl w:ilvl="4" w:tplc="F6B2D6CE">
      <w:start w:val="1"/>
      <w:numFmt w:val="lowerLetter"/>
      <w:lvlText w:val="%5."/>
      <w:lvlJc w:val="left"/>
      <w:pPr>
        <w:ind w:left="3600" w:hanging="360"/>
      </w:pPr>
      <w:rPr>
        <w:u w:val="none"/>
      </w:rPr>
    </w:lvl>
    <w:lvl w:ilvl="5" w:tplc="545490D4">
      <w:start w:val="1"/>
      <w:numFmt w:val="lowerRoman"/>
      <w:lvlText w:val="%6."/>
      <w:lvlJc w:val="left"/>
      <w:pPr>
        <w:ind w:left="4320" w:hanging="360"/>
      </w:pPr>
      <w:rPr>
        <w:u w:val="none"/>
      </w:rPr>
    </w:lvl>
    <w:lvl w:ilvl="6" w:tplc="A9CC7C08">
      <w:start w:val="1"/>
      <w:numFmt w:val="decimal"/>
      <w:lvlText w:val="%7."/>
      <w:lvlJc w:val="left"/>
      <w:pPr>
        <w:ind w:left="5040" w:hanging="360"/>
      </w:pPr>
      <w:rPr>
        <w:u w:val="none"/>
      </w:rPr>
    </w:lvl>
    <w:lvl w:ilvl="7" w:tplc="A524E940">
      <w:start w:val="1"/>
      <w:numFmt w:val="lowerLetter"/>
      <w:lvlText w:val="%8."/>
      <w:lvlJc w:val="left"/>
      <w:pPr>
        <w:ind w:left="5760" w:hanging="360"/>
      </w:pPr>
      <w:rPr>
        <w:u w:val="none"/>
      </w:rPr>
    </w:lvl>
    <w:lvl w:ilvl="8" w:tplc="E842BC76">
      <w:start w:val="1"/>
      <w:numFmt w:val="lowerRoman"/>
      <w:lvlText w:val="%9."/>
      <w:lvlJc w:val="left"/>
      <w:pPr>
        <w:ind w:left="6480" w:hanging="360"/>
      </w:pPr>
      <w:rPr>
        <w:u w:val="none"/>
      </w:rPr>
    </w:lvl>
  </w:abstractNum>
  <w:abstractNum w:abstractNumId="17" w15:restartNumberingAfterBreak="0">
    <w:nsid w:val="3BBF56F1"/>
    <w:multiLevelType w:val="hybridMultilevel"/>
    <w:tmpl w:val="EAF41DE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DA22E3E"/>
    <w:multiLevelType w:val="hybridMultilevel"/>
    <w:tmpl w:val="AC20E2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632241F"/>
    <w:multiLevelType w:val="hybridMultilevel"/>
    <w:tmpl w:val="EAF41DEE"/>
    <w:lvl w:ilvl="0" w:tplc="BAA84E36">
      <w:start w:val="1"/>
      <w:numFmt w:val="lowerLetter"/>
      <w:lvlText w:val="%1."/>
      <w:lvlJc w:val="left"/>
      <w:pPr>
        <w:ind w:left="720" w:hanging="360"/>
      </w:pPr>
      <w:rPr>
        <w:rFonts w:hint="default"/>
        <w:i/>
        <w:iCs/>
        <w:color w:val="2F5496" w:themeColor="accent5" w:themeShade="BF"/>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0923684"/>
    <w:multiLevelType w:val="hybridMultilevel"/>
    <w:tmpl w:val="5D1A04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32C0B07"/>
    <w:multiLevelType w:val="hybridMultilevel"/>
    <w:tmpl w:val="8F681A2C"/>
    <w:lvl w:ilvl="0" w:tplc="526ED89E">
      <w:start w:val="1"/>
      <w:numFmt w:val="decimal"/>
      <w:lvlText w:val="%1."/>
      <w:lvlJc w:val="left"/>
      <w:pPr>
        <w:ind w:left="720" w:hanging="360"/>
      </w:pPr>
      <w:rPr>
        <w:u w:val="none"/>
      </w:rPr>
    </w:lvl>
    <w:lvl w:ilvl="1" w:tplc="D7C08FC4">
      <w:start w:val="1"/>
      <w:numFmt w:val="lowerLetter"/>
      <w:lvlText w:val="%2."/>
      <w:lvlJc w:val="left"/>
      <w:pPr>
        <w:ind w:left="1440" w:hanging="360"/>
      </w:pPr>
      <w:rPr>
        <w:u w:val="none"/>
      </w:rPr>
    </w:lvl>
    <w:lvl w:ilvl="2" w:tplc="F4BEAEBC">
      <w:start w:val="1"/>
      <w:numFmt w:val="lowerRoman"/>
      <w:lvlText w:val="%3."/>
      <w:lvlJc w:val="left"/>
      <w:pPr>
        <w:ind w:left="2160" w:hanging="360"/>
      </w:pPr>
      <w:rPr>
        <w:u w:val="none"/>
      </w:rPr>
    </w:lvl>
    <w:lvl w:ilvl="3" w:tplc="0A7A3F26">
      <w:start w:val="1"/>
      <w:numFmt w:val="decimal"/>
      <w:lvlText w:val="%4."/>
      <w:lvlJc w:val="left"/>
      <w:pPr>
        <w:ind w:left="2880" w:hanging="360"/>
      </w:pPr>
      <w:rPr>
        <w:u w:val="none"/>
      </w:rPr>
    </w:lvl>
    <w:lvl w:ilvl="4" w:tplc="EC809E9A">
      <w:start w:val="1"/>
      <w:numFmt w:val="lowerLetter"/>
      <w:lvlText w:val="%5."/>
      <w:lvlJc w:val="left"/>
      <w:pPr>
        <w:ind w:left="3600" w:hanging="360"/>
      </w:pPr>
      <w:rPr>
        <w:u w:val="none"/>
      </w:rPr>
    </w:lvl>
    <w:lvl w:ilvl="5" w:tplc="0FD492FE">
      <w:start w:val="1"/>
      <w:numFmt w:val="lowerRoman"/>
      <w:lvlText w:val="%6."/>
      <w:lvlJc w:val="left"/>
      <w:pPr>
        <w:ind w:left="4320" w:hanging="360"/>
      </w:pPr>
      <w:rPr>
        <w:u w:val="none"/>
      </w:rPr>
    </w:lvl>
    <w:lvl w:ilvl="6" w:tplc="A3486B08">
      <w:start w:val="1"/>
      <w:numFmt w:val="decimal"/>
      <w:lvlText w:val="%7."/>
      <w:lvlJc w:val="left"/>
      <w:pPr>
        <w:ind w:left="5040" w:hanging="360"/>
      </w:pPr>
      <w:rPr>
        <w:u w:val="none"/>
      </w:rPr>
    </w:lvl>
    <w:lvl w:ilvl="7" w:tplc="8FCC176A">
      <w:start w:val="1"/>
      <w:numFmt w:val="lowerLetter"/>
      <w:lvlText w:val="%8."/>
      <w:lvlJc w:val="left"/>
      <w:pPr>
        <w:ind w:left="5760" w:hanging="360"/>
      </w:pPr>
      <w:rPr>
        <w:u w:val="none"/>
      </w:rPr>
    </w:lvl>
    <w:lvl w:ilvl="8" w:tplc="B62C3C28">
      <w:start w:val="1"/>
      <w:numFmt w:val="lowerRoman"/>
      <w:lvlText w:val="%9."/>
      <w:lvlJc w:val="left"/>
      <w:pPr>
        <w:ind w:left="6480" w:hanging="360"/>
      </w:pPr>
      <w:rPr>
        <w:u w:val="none"/>
      </w:rPr>
    </w:lvl>
  </w:abstractNum>
  <w:abstractNum w:abstractNumId="22" w15:restartNumberingAfterBreak="0">
    <w:nsid w:val="53DB471C"/>
    <w:multiLevelType w:val="hybridMultilevel"/>
    <w:tmpl w:val="F1E235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884656B"/>
    <w:multiLevelType w:val="hybridMultilevel"/>
    <w:tmpl w:val="1A48AF96"/>
    <w:lvl w:ilvl="0" w:tplc="BD141D06">
      <w:start w:val="1"/>
      <w:numFmt w:val="lowerLetter"/>
      <w:lvlText w:val="%1."/>
      <w:lvlJc w:val="left"/>
      <w:pPr>
        <w:ind w:left="720" w:hanging="360"/>
      </w:pPr>
    </w:lvl>
    <w:lvl w:ilvl="1" w:tplc="D36666D2">
      <w:start w:val="1"/>
      <w:numFmt w:val="lowerLetter"/>
      <w:lvlText w:val="%2."/>
      <w:lvlJc w:val="left"/>
      <w:pPr>
        <w:ind w:left="1440" w:hanging="360"/>
      </w:pPr>
    </w:lvl>
    <w:lvl w:ilvl="2" w:tplc="07CA219A">
      <w:start w:val="1"/>
      <w:numFmt w:val="lowerRoman"/>
      <w:lvlText w:val="%3."/>
      <w:lvlJc w:val="right"/>
      <w:pPr>
        <w:ind w:left="2160" w:hanging="180"/>
      </w:pPr>
    </w:lvl>
    <w:lvl w:ilvl="3" w:tplc="7102DBB4">
      <w:start w:val="1"/>
      <w:numFmt w:val="decimal"/>
      <w:lvlText w:val="%4."/>
      <w:lvlJc w:val="left"/>
      <w:pPr>
        <w:ind w:left="2880" w:hanging="360"/>
      </w:pPr>
    </w:lvl>
    <w:lvl w:ilvl="4" w:tplc="2E8278B4">
      <w:start w:val="1"/>
      <w:numFmt w:val="lowerLetter"/>
      <w:lvlText w:val="%5."/>
      <w:lvlJc w:val="left"/>
      <w:pPr>
        <w:ind w:left="3600" w:hanging="360"/>
      </w:pPr>
    </w:lvl>
    <w:lvl w:ilvl="5" w:tplc="EFE4ADF0">
      <w:start w:val="1"/>
      <w:numFmt w:val="lowerRoman"/>
      <w:lvlText w:val="%6."/>
      <w:lvlJc w:val="right"/>
      <w:pPr>
        <w:ind w:left="4320" w:hanging="180"/>
      </w:pPr>
    </w:lvl>
    <w:lvl w:ilvl="6" w:tplc="492445CC">
      <w:start w:val="1"/>
      <w:numFmt w:val="decimal"/>
      <w:lvlText w:val="%7."/>
      <w:lvlJc w:val="left"/>
      <w:pPr>
        <w:ind w:left="5040" w:hanging="360"/>
      </w:pPr>
    </w:lvl>
    <w:lvl w:ilvl="7" w:tplc="33546A1A">
      <w:start w:val="1"/>
      <w:numFmt w:val="lowerLetter"/>
      <w:lvlText w:val="%8."/>
      <w:lvlJc w:val="left"/>
      <w:pPr>
        <w:ind w:left="5760" w:hanging="360"/>
      </w:pPr>
    </w:lvl>
    <w:lvl w:ilvl="8" w:tplc="FD844062">
      <w:start w:val="1"/>
      <w:numFmt w:val="lowerRoman"/>
      <w:lvlText w:val="%9."/>
      <w:lvlJc w:val="right"/>
      <w:pPr>
        <w:ind w:left="6480" w:hanging="180"/>
      </w:pPr>
    </w:lvl>
  </w:abstractNum>
  <w:abstractNum w:abstractNumId="24" w15:restartNumberingAfterBreak="0">
    <w:nsid w:val="7A4D20A9"/>
    <w:multiLevelType w:val="hybridMultilevel"/>
    <w:tmpl w:val="45B460A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17"/>
  </w:num>
  <w:num w:numId="2">
    <w:abstractNumId w:val="6"/>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2"/>
  </w:num>
  <w:num w:numId="6">
    <w:abstractNumId w:val="24"/>
  </w:num>
  <w:num w:numId="7">
    <w:abstractNumId w:val="2"/>
  </w:num>
  <w:num w:numId="8">
    <w:abstractNumId w:val="8"/>
  </w:num>
  <w:num w:numId="9">
    <w:abstractNumId w:val="23"/>
  </w:num>
  <w:num w:numId="10">
    <w:abstractNumId w:val="13"/>
  </w:num>
  <w:num w:numId="11">
    <w:abstractNumId w:val="7"/>
  </w:num>
  <w:num w:numId="12">
    <w:abstractNumId w:val="3"/>
  </w:num>
  <w:num w:numId="13">
    <w:abstractNumId w:val="5"/>
  </w:num>
  <w:num w:numId="14">
    <w:abstractNumId w:val="11"/>
  </w:num>
  <w:num w:numId="15">
    <w:abstractNumId w:val="0"/>
  </w:num>
  <w:num w:numId="16">
    <w:abstractNumId w:val="21"/>
  </w:num>
  <w:num w:numId="17">
    <w:abstractNumId w:val="10"/>
  </w:num>
  <w:num w:numId="18">
    <w:abstractNumId w:val="16"/>
  </w:num>
  <w:num w:numId="19">
    <w:abstractNumId w:val="12"/>
  </w:num>
  <w:num w:numId="20">
    <w:abstractNumId w:val="14"/>
  </w:num>
  <w:num w:numId="21">
    <w:abstractNumId w:val="4"/>
  </w:num>
  <w:num w:numId="22">
    <w:abstractNumId w:val="9"/>
  </w:num>
  <w:num w:numId="23">
    <w:abstractNumId w:val="20"/>
  </w:num>
  <w:num w:numId="24">
    <w:abstractNumId w:val="18"/>
  </w:num>
  <w:num w:numId="25">
    <w:abstractNumId w:val="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76A"/>
    <w:rsid w:val="000009F4"/>
    <w:rsid w:val="00001CB5"/>
    <w:rsid w:val="0000461A"/>
    <w:rsid w:val="0001438C"/>
    <w:rsid w:val="00015C94"/>
    <w:rsid w:val="000161FD"/>
    <w:rsid w:val="000256CA"/>
    <w:rsid w:val="00025C16"/>
    <w:rsid w:val="00033B8D"/>
    <w:rsid w:val="00034015"/>
    <w:rsid w:val="000443E8"/>
    <w:rsid w:val="00053AC5"/>
    <w:rsid w:val="00063A1D"/>
    <w:rsid w:val="000666FA"/>
    <w:rsid w:val="000671C6"/>
    <w:rsid w:val="00067EDE"/>
    <w:rsid w:val="00074F28"/>
    <w:rsid w:val="00076ED1"/>
    <w:rsid w:val="0008202D"/>
    <w:rsid w:val="000832CC"/>
    <w:rsid w:val="00090A87"/>
    <w:rsid w:val="000A47DF"/>
    <w:rsid w:val="000A4C5F"/>
    <w:rsid w:val="000A5C30"/>
    <w:rsid w:val="000B1140"/>
    <w:rsid w:val="000B12B6"/>
    <w:rsid w:val="000B71A4"/>
    <w:rsid w:val="000B7457"/>
    <w:rsid w:val="000C4399"/>
    <w:rsid w:val="000C5FAC"/>
    <w:rsid w:val="000D3E57"/>
    <w:rsid w:val="000E0D7B"/>
    <w:rsid w:val="000E3AE4"/>
    <w:rsid w:val="000F380F"/>
    <w:rsid w:val="000F5866"/>
    <w:rsid w:val="0013077A"/>
    <w:rsid w:val="001307A1"/>
    <w:rsid w:val="0013307E"/>
    <w:rsid w:val="00134D37"/>
    <w:rsid w:val="001408C7"/>
    <w:rsid w:val="00143279"/>
    <w:rsid w:val="00144C24"/>
    <w:rsid w:val="00150248"/>
    <w:rsid w:val="00150EA7"/>
    <w:rsid w:val="00150F53"/>
    <w:rsid w:val="00160DAD"/>
    <w:rsid w:val="001630A8"/>
    <w:rsid w:val="001721AA"/>
    <w:rsid w:val="001748F6"/>
    <w:rsid w:val="00181695"/>
    <w:rsid w:val="00184EF5"/>
    <w:rsid w:val="00196297"/>
    <w:rsid w:val="0019799F"/>
    <w:rsid w:val="001A507D"/>
    <w:rsid w:val="001B00F3"/>
    <w:rsid w:val="001B2057"/>
    <w:rsid w:val="001B2E7D"/>
    <w:rsid w:val="001B7838"/>
    <w:rsid w:val="001C105B"/>
    <w:rsid w:val="001C1351"/>
    <w:rsid w:val="001C53E6"/>
    <w:rsid w:val="001C5F0F"/>
    <w:rsid w:val="001D595B"/>
    <w:rsid w:val="001D59EC"/>
    <w:rsid w:val="001E0EFA"/>
    <w:rsid w:val="001E701E"/>
    <w:rsid w:val="001E7FE0"/>
    <w:rsid w:val="001F0EF7"/>
    <w:rsid w:val="001F5393"/>
    <w:rsid w:val="001F5E31"/>
    <w:rsid w:val="001F694E"/>
    <w:rsid w:val="0020173C"/>
    <w:rsid w:val="00202816"/>
    <w:rsid w:val="002138C0"/>
    <w:rsid w:val="00216C97"/>
    <w:rsid w:val="00217C28"/>
    <w:rsid w:val="00222A1D"/>
    <w:rsid w:val="00233A55"/>
    <w:rsid w:val="00234A73"/>
    <w:rsid w:val="00236F16"/>
    <w:rsid w:val="00253DD8"/>
    <w:rsid w:val="002566F7"/>
    <w:rsid w:val="00257B43"/>
    <w:rsid w:val="002600EC"/>
    <w:rsid w:val="00260CA9"/>
    <w:rsid w:val="00261AAE"/>
    <w:rsid w:val="002714B3"/>
    <w:rsid w:val="0027694F"/>
    <w:rsid w:val="00280FB8"/>
    <w:rsid w:val="00284495"/>
    <w:rsid w:val="00291EBF"/>
    <w:rsid w:val="002A63B2"/>
    <w:rsid w:val="002B19F1"/>
    <w:rsid w:val="002B6046"/>
    <w:rsid w:val="002C54F8"/>
    <w:rsid w:val="002C593F"/>
    <w:rsid w:val="002C5E4A"/>
    <w:rsid w:val="002C7BE8"/>
    <w:rsid w:val="002D3A91"/>
    <w:rsid w:val="002D3D27"/>
    <w:rsid w:val="002E3E3F"/>
    <w:rsid w:val="002E5F8D"/>
    <w:rsid w:val="003014DA"/>
    <w:rsid w:val="003107E4"/>
    <w:rsid w:val="003135EC"/>
    <w:rsid w:val="00315F7F"/>
    <w:rsid w:val="00325D84"/>
    <w:rsid w:val="0033113F"/>
    <w:rsid w:val="003367A9"/>
    <w:rsid w:val="00341763"/>
    <w:rsid w:val="003442BE"/>
    <w:rsid w:val="00344CBD"/>
    <w:rsid w:val="003452D6"/>
    <w:rsid w:val="0034712D"/>
    <w:rsid w:val="0035075A"/>
    <w:rsid w:val="00352A8D"/>
    <w:rsid w:val="00354DD3"/>
    <w:rsid w:val="0035501C"/>
    <w:rsid w:val="0035692C"/>
    <w:rsid w:val="00362CE6"/>
    <w:rsid w:val="00365858"/>
    <w:rsid w:val="00370F6C"/>
    <w:rsid w:val="00374A55"/>
    <w:rsid w:val="00384EB0"/>
    <w:rsid w:val="00385AB6"/>
    <w:rsid w:val="00386109"/>
    <w:rsid w:val="00386626"/>
    <w:rsid w:val="0038764F"/>
    <w:rsid w:val="00392548"/>
    <w:rsid w:val="003A12EE"/>
    <w:rsid w:val="003A6715"/>
    <w:rsid w:val="003A69C1"/>
    <w:rsid w:val="003C0C69"/>
    <w:rsid w:val="003C6F19"/>
    <w:rsid w:val="003D096F"/>
    <w:rsid w:val="003D4C88"/>
    <w:rsid w:val="003E04C2"/>
    <w:rsid w:val="003F3716"/>
    <w:rsid w:val="00402361"/>
    <w:rsid w:val="0040280E"/>
    <w:rsid w:val="00412117"/>
    <w:rsid w:val="004128A7"/>
    <w:rsid w:val="004232DB"/>
    <w:rsid w:val="0042340A"/>
    <w:rsid w:val="00434C88"/>
    <w:rsid w:val="00441F9A"/>
    <w:rsid w:val="00444143"/>
    <w:rsid w:val="00444CD0"/>
    <w:rsid w:val="004477E6"/>
    <w:rsid w:val="004546CD"/>
    <w:rsid w:val="00454B62"/>
    <w:rsid w:val="0047408E"/>
    <w:rsid w:val="004753EA"/>
    <w:rsid w:val="004802A9"/>
    <w:rsid w:val="004813AF"/>
    <w:rsid w:val="0048476C"/>
    <w:rsid w:val="00493193"/>
    <w:rsid w:val="00494ED9"/>
    <w:rsid w:val="00495872"/>
    <w:rsid w:val="00496E4B"/>
    <w:rsid w:val="004A3C1A"/>
    <w:rsid w:val="004A72C3"/>
    <w:rsid w:val="004B5306"/>
    <w:rsid w:val="004B7A33"/>
    <w:rsid w:val="004C2232"/>
    <w:rsid w:val="004C459F"/>
    <w:rsid w:val="004D13AA"/>
    <w:rsid w:val="004D324E"/>
    <w:rsid w:val="004D44EA"/>
    <w:rsid w:val="004D46E5"/>
    <w:rsid w:val="004E0AB3"/>
    <w:rsid w:val="004E6644"/>
    <w:rsid w:val="004F51AC"/>
    <w:rsid w:val="004F593C"/>
    <w:rsid w:val="004F6260"/>
    <w:rsid w:val="00503426"/>
    <w:rsid w:val="00504D68"/>
    <w:rsid w:val="00505F18"/>
    <w:rsid w:val="00513BAC"/>
    <w:rsid w:val="00520CE1"/>
    <w:rsid w:val="0052406F"/>
    <w:rsid w:val="005253C3"/>
    <w:rsid w:val="0053115E"/>
    <w:rsid w:val="00531D76"/>
    <w:rsid w:val="00541875"/>
    <w:rsid w:val="005429A7"/>
    <w:rsid w:val="00546916"/>
    <w:rsid w:val="0055055C"/>
    <w:rsid w:val="005528D1"/>
    <w:rsid w:val="005535D7"/>
    <w:rsid w:val="00554D9C"/>
    <w:rsid w:val="00556D8E"/>
    <w:rsid w:val="00561AC0"/>
    <w:rsid w:val="00572FAD"/>
    <w:rsid w:val="005756AA"/>
    <w:rsid w:val="0058245D"/>
    <w:rsid w:val="00595601"/>
    <w:rsid w:val="005A0E2A"/>
    <w:rsid w:val="005A112A"/>
    <w:rsid w:val="005A55BD"/>
    <w:rsid w:val="005B042D"/>
    <w:rsid w:val="005B0F03"/>
    <w:rsid w:val="005B5BB6"/>
    <w:rsid w:val="005C1080"/>
    <w:rsid w:val="005C2CA8"/>
    <w:rsid w:val="005C37E6"/>
    <w:rsid w:val="005C617E"/>
    <w:rsid w:val="005D5B7F"/>
    <w:rsid w:val="005E0F8B"/>
    <w:rsid w:val="005E1B0C"/>
    <w:rsid w:val="005E5A4A"/>
    <w:rsid w:val="005E61C7"/>
    <w:rsid w:val="005F3196"/>
    <w:rsid w:val="005F32AD"/>
    <w:rsid w:val="006055E8"/>
    <w:rsid w:val="00606748"/>
    <w:rsid w:val="006116BA"/>
    <w:rsid w:val="00612E21"/>
    <w:rsid w:val="006157A9"/>
    <w:rsid w:val="00615E3F"/>
    <w:rsid w:val="00622FC7"/>
    <w:rsid w:val="00623012"/>
    <w:rsid w:val="00626290"/>
    <w:rsid w:val="00640185"/>
    <w:rsid w:val="00641C76"/>
    <w:rsid w:val="006422BB"/>
    <w:rsid w:val="0064433C"/>
    <w:rsid w:val="0064578F"/>
    <w:rsid w:val="00650F14"/>
    <w:rsid w:val="0066466A"/>
    <w:rsid w:val="00672F78"/>
    <w:rsid w:val="006732C8"/>
    <w:rsid w:val="00675196"/>
    <w:rsid w:val="00675356"/>
    <w:rsid w:val="0067535D"/>
    <w:rsid w:val="00676D69"/>
    <w:rsid w:val="00681B74"/>
    <w:rsid w:val="0068457B"/>
    <w:rsid w:val="00684F6A"/>
    <w:rsid w:val="00685445"/>
    <w:rsid w:val="00693D5A"/>
    <w:rsid w:val="00695D98"/>
    <w:rsid w:val="006976CF"/>
    <w:rsid w:val="006A1F0A"/>
    <w:rsid w:val="006A3DCB"/>
    <w:rsid w:val="006A65BC"/>
    <w:rsid w:val="006A7A5E"/>
    <w:rsid w:val="006B2B24"/>
    <w:rsid w:val="006B382E"/>
    <w:rsid w:val="006C6F84"/>
    <w:rsid w:val="006F087D"/>
    <w:rsid w:val="006F4F63"/>
    <w:rsid w:val="0070075B"/>
    <w:rsid w:val="0070301B"/>
    <w:rsid w:val="00712328"/>
    <w:rsid w:val="0071336F"/>
    <w:rsid w:val="00717121"/>
    <w:rsid w:val="007178B5"/>
    <w:rsid w:val="00720AE1"/>
    <w:rsid w:val="00723704"/>
    <w:rsid w:val="00727D8E"/>
    <w:rsid w:val="0073397C"/>
    <w:rsid w:val="007343EF"/>
    <w:rsid w:val="00736687"/>
    <w:rsid w:val="00744B22"/>
    <w:rsid w:val="007457DA"/>
    <w:rsid w:val="00750FD2"/>
    <w:rsid w:val="007510AA"/>
    <w:rsid w:val="007517AB"/>
    <w:rsid w:val="00757DC7"/>
    <w:rsid w:val="00775840"/>
    <w:rsid w:val="00775AE4"/>
    <w:rsid w:val="0078327E"/>
    <w:rsid w:val="00784CDA"/>
    <w:rsid w:val="00786179"/>
    <w:rsid w:val="0078762B"/>
    <w:rsid w:val="007957F1"/>
    <w:rsid w:val="007A21A7"/>
    <w:rsid w:val="007A652B"/>
    <w:rsid w:val="007A69B3"/>
    <w:rsid w:val="007A6B99"/>
    <w:rsid w:val="007B3B76"/>
    <w:rsid w:val="007B6F50"/>
    <w:rsid w:val="007C647E"/>
    <w:rsid w:val="007C79F7"/>
    <w:rsid w:val="007C7CD5"/>
    <w:rsid w:val="007D011D"/>
    <w:rsid w:val="007D3B72"/>
    <w:rsid w:val="007E291C"/>
    <w:rsid w:val="007E3899"/>
    <w:rsid w:val="007E6CB0"/>
    <w:rsid w:val="007E7BC8"/>
    <w:rsid w:val="007F146C"/>
    <w:rsid w:val="007F1D4F"/>
    <w:rsid w:val="00803AFD"/>
    <w:rsid w:val="0080577E"/>
    <w:rsid w:val="008105E0"/>
    <w:rsid w:val="00815AC2"/>
    <w:rsid w:val="008207F5"/>
    <w:rsid w:val="0083026C"/>
    <w:rsid w:val="00830615"/>
    <w:rsid w:val="00832230"/>
    <w:rsid w:val="0084229B"/>
    <w:rsid w:val="00852253"/>
    <w:rsid w:val="00856677"/>
    <w:rsid w:val="00857FF1"/>
    <w:rsid w:val="008710E9"/>
    <w:rsid w:val="00871F7A"/>
    <w:rsid w:val="008923B2"/>
    <w:rsid w:val="008A33D1"/>
    <w:rsid w:val="008A4835"/>
    <w:rsid w:val="008A4F5B"/>
    <w:rsid w:val="008A6E8C"/>
    <w:rsid w:val="008B512A"/>
    <w:rsid w:val="008C482D"/>
    <w:rsid w:val="008C7A74"/>
    <w:rsid w:val="008E33AF"/>
    <w:rsid w:val="00917A39"/>
    <w:rsid w:val="00921773"/>
    <w:rsid w:val="00924DC6"/>
    <w:rsid w:val="00926BF2"/>
    <w:rsid w:val="00934A61"/>
    <w:rsid w:val="00936AA7"/>
    <w:rsid w:val="00945CEA"/>
    <w:rsid w:val="0094729B"/>
    <w:rsid w:val="00956C0E"/>
    <w:rsid w:val="00962014"/>
    <w:rsid w:val="009758F8"/>
    <w:rsid w:val="00976496"/>
    <w:rsid w:val="00981B10"/>
    <w:rsid w:val="009A27E7"/>
    <w:rsid w:val="009B46CB"/>
    <w:rsid w:val="009B5EC8"/>
    <w:rsid w:val="009B62D0"/>
    <w:rsid w:val="009C2CB3"/>
    <w:rsid w:val="009C6A03"/>
    <w:rsid w:val="009C7B86"/>
    <w:rsid w:val="009D1FBF"/>
    <w:rsid w:val="009E16A5"/>
    <w:rsid w:val="009E1825"/>
    <w:rsid w:val="009E753B"/>
    <w:rsid w:val="009F66EF"/>
    <w:rsid w:val="00A041CF"/>
    <w:rsid w:val="00A16586"/>
    <w:rsid w:val="00A33BB4"/>
    <w:rsid w:val="00A343B3"/>
    <w:rsid w:val="00A3762F"/>
    <w:rsid w:val="00A40144"/>
    <w:rsid w:val="00A43930"/>
    <w:rsid w:val="00A46890"/>
    <w:rsid w:val="00A5422F"/>
    <w:rsid w:val="00A65081"/>
    <w:rsid w:val="00A7067F"/>
    <w:rsid w:val="00A80D41"/>
    <w:rsid w:val="00A82148"/>
    <w:rsid w:val="00A83693"/>
    <w:rsid w:val="00A958FB"/>
    <w:rsid w:val="00AA0846"/>
    <w:rsid w:val="00AA44E1"/>
    <w:rsid w:val="00AB2239"/>
    <w:rsid w:val="00AB3D96"/>
    <w:rsid w:val="00AB5577"/>
    <w:rsid w:val="00AC690B"/>
    <w:rsid w:val="00AC753E"/>
    <w:rsid w:val="00AD042D"/>
    <w:rsid w:val="00AD08B4"/>
    <w:rsid w:val="00AD0FE6"/>
    <w:rsid w:val="00AD7EF9"/>
    <w:rsid w:val="00AE2E5D"/>
    <w:rsid w:val="00AF1E37"/>
    <w:rsid w:val="00AF24A6"/>
    <w:rsid w:val="00AF4F4B"/>
    <w:rsid w:val="00AF79ED"/>
    <w:rsid w:val="00B01E94"/>
    <w:rsid w:val="00B067C9"/>
    <w:rsid w:val="00B124EA"/>
    <w:rsid w:val="00B12E93"/>
    <w:rsid w:val="00B13726"/>
    <w:rsid w:val="00B16113"/>
    <w:rsid w:val="00B221B7"/>
    <w:rsid w:val="00B22DC1"/>
    <w:rsid w:val="00B2651A"/>
    <w:rsid w:val="00B27CED"/>
    <w:rsid w:val="00B32C06"/>
    <w:rsid w:val="00B32D6C"/>
    <w:rsid w:val="00B37CB2"/>
    <w:rsid w:val="00B405FE"/>
    <w:rsid w:val="00B40C82"/>
    <w:rsid w:val="00B41E61"/>
    <w:rsid w:val="00B5352B"/>
    <w:rsid w:val="00B53DC7"/>
    <w:rsid w:val="00B56566"/>
    <w:rsid w:val="00B6076A"/>
    <w:rsid w:val="00B67B20"/>
    <w:rsid w:val="00B67E0A"/>
    <w:rsid w:val="00B75724"/>
    <w:rsid w:val="00B76569"/>
    <w:rsid w:val="00B777DB"/>
    <w:rsid w:val="00B91113"/>
    <w:rsid w:val="00B951EA"/>
    <w:rsid w:val="00BA0874"/>
    <w:rsid w:val="00BA5733"/>
    <w:rsid w:val="00BC5A1B"/>
    <w:rsid w:val="00BE075D"/>
    <w:rsid w:val="00BE532A"/>
    <w:rsid w:val="00BF1EEE"/>
    <w:rsid w:val="00BF3CE0"/>
    <w:rsid w:val="00C03ADB"/>
    <w:rsid w:val="00C06410"/>
    <w:rsid w:val="00C11DE4"/>
    <w:rsid w:val="00C207F0"/>
    <w:rsid w:val="00C22480"/>
    <w:rsid w:val="00C251F4"/>
    <w:rsid w:val="00C324A8"/>
    <w:rsid w:val="00C33916"/>
    <w:rsid w:val="00C37A51"/>
    <w:rsid w:val="00C40C58"/>
    <w:rsid w:val="00C432C7"/>
    <w:rsid w:val="00C441BB"/>
    <w:rsid w:val="00C500A8"/>
    <w:rsid w:val="00C54557"/>
    <w:rsid w:val="00C5669F"/>
    <w:rsid w:val="00C60D81"/>
    <w:rsid w:val="00C72C3B"/>
    <w:rsid w:val="00C741C3"/>
    <w:rsid w:val="00C754A8"/>
    <w:rsid w:val="00C7572E"/>
    <w:rsid w:val="00C806F2"/>
    <w:rsid w:val="00C824DB"/>
    <w:rsid w:val="00C94D79"/>
    <w:rsid w:val="00CA55B7"/>
    <w:rsid w:val="00CA7742"/>
    <w:rsid w:val="00CB079E"/>
    <w:rsid w:val="00CB3B79"/>
    <w:rsid w:val="00CB3C77"/>
    <w:rsid w:val="00CB4A32"/>
    <w:rsid w:val="00CD4AFE"/>
    <w:rsid w:val="00CE1B7A"/>
    <w:rsid w:val="00CE4268"/>
    <w:rsid w:val="00CF3420"/>
    <w:rsid w:val="00CF3E6C"/>
    <w:rsid w:val="00CF5B70"/>
    <w:rsid w:val="00D043EA"/>
    <w:rsid w:val="00D07C4C"/>
    <w:rsid w:val="00D12616"/>
    <w:rsid w:val="00D2074F"/>
    <w:rsid w:val="00D218EE"/>
    <w:rsid w:val="00D23161"/>
    <w:rsid w:val="00D254B6"/>
    <w:rsid w:val="00D25A7F"/>
    <w:rsid w:val="00D35A4A"/>
    <w:rsid w:val="00D3792B"/>
    <w:rsid w:val="00D44F18"/>
    <w:rsid w:val="00D45724"/>
    <w:rsid w:val="00D70A2A"/>
    <w:rsid w:val="00D72B80"/>
    <w:rsid w:val="00D85D1D"/>
    <w:rsid w:val="00D90659"/>
    <w:rsid w:val="00D973BA"/>
    <w:rsid w:val="00DA3465"/>
    <w:rsid w:val="00DA5872"/>
    <w:rsid w:val="00DB09FF"/>
    <w:rsid w:val="00DB0AF0"/>
    <w:rsid w:val="00DB514E"/>
    <w:rsid w:val="00DB78DE"/>
    <w:rsid w:val="00DC0D53"/>
    <w:rsid w:val="00DD1195"/>
    <w:rsid w:val="00DE6798"/>
    <w:rsid w:val="00DF51FA"/>
    <w:rsid w:val="00DF6E94"/>
    <w:rsid w:val="00E0188D"/>
    <w:rsid w:val="00E128C3"/>
    <w:rsid w:val="00E20F13"/>
    <w:rsid w:val="00E21DF2"/>
    <w:rsid w:val="00E242ED"/>
    <w:rsid w:val="00E30912"/>
    <w:rsid w:val="00E31FB7"/>
    <w:rsid w:val="00E34BB8"/>
    <w:rsid w:val="00E50DE1"/>
    <w:rsid w:val="00E5445A"/>
    <w:rsid w:val="00E66419"/>
    <w:rsid w:val="00E719E8"/>
    <w:rsid w:val="00E75AC2"/>
    <w:rsid w:val="00E75CF3"/>
    <w:rsid w:val="00E75F55"/>
    <w:rsid w:val="00E76854"/>
    <w:rsid w:val="00E76A26"/>
    <w:rsid w:val="00E805F6"/>
    <w:rsid w:val="00E944C9"/>
    <w:rsid w:val="00E9799B"/>
    <w:rsid w:val="00EB15C3"/>
    <w:rsid w:val="00EC6392"/>
    <w:rsid w:val="00EC6C31"/>
    <w:rsid w:val="00ED2EB7"/>
    <w:rsid w:val="00ED4338"/>
    <w:rsid w:val="00EE3EC5"/>
    <w:rsid w:val="00EF459C"/>
    <w:rsid w:val="00EF75A1"/>
    <w:rsid w:val="00F006B6"/>
    <w:rsid w:val="00F02C7C"/>
    <w:rsid w:val="00F0592A"/>
    <w:rsid w:val="00F071E9"/>
    <w:rsid w:val="00F07E9B"/>
    <w:rsid w:val="00F1450F"/>
    <w:rsid w:val="00F31083"/>
    <w:rsid w:val="00F34483"/>
    <w:rsid w:val="00F42505"/>
    <w:rsid w:val="00F5121E"/>
    <w:rsid w:val="00F5171E"/>
    <w:rsid w:val="00F53F1D"/>
    <w:rsid w:val="00F55CB1"/>
    <w:rsid w:val="00F614C2"/>
    <w:rsid w:val="00F62A6D"/>
    <w:rsid w:val="00F62DB5"/>
    <w:rsid w:val="00F63785"/>
    <w:rsid w:val="00F7042C"/>
    <w:rsid w:val="00F75BB3"/>
    <w:rsid w:val="00F766FF"/>
    <w:rsid w:val="00F821AD"/>
    <w:rsid w:val="00F90C33"/>
    <w:rsid w:val="00F916F3"/>
    <w:rsid w:val="00F96F2E"/>
    <w:rsid w:val="00FA1CB2"/>
    <w:rsid w:val="00FA636C"/>
    <w:rsid w:val="00FB358F"/>
    <w:rsid w:val="00FB5E56"/>
    <w:rsid w:val="00FC1B22"/>
    <w:rsid w:val="00FC4DF5"/>
    <w:rsid w:val="00FD0319"/>
    <w:rsid w:val="00FF11A3"/>
    <w:rsid w:val="00FF1DB8"/>
    <w:rsid w:val="00FF72FC"/>
    <w:rsid w:val="01252AD2"/>
    <w:rsid w:val="020D3568"/>
    <w:rsid w:val="029CDA87"/>
    <w:rsid w:val="02F90AD5"/>
    <w:rsid w:val="04E5ECE8"/>
    <w:rsid w:val="0745EDAE"/>
    <w:rsid w:val="0887C568"/>
    <w:rsid w:val="088FCAC4"/>
    <w:rsid w:val="0A5325A7"/>
    <w:rsid w:val="0A86A4D3"/>
    <w:rsid w:val="0B0E48EF"/>
    <w:rsid w:val="0C54EFA1"/>
    <w:rsid w:val="0CF16EB4"/>
    <w:rsid w:val="0DF6AEB8"/>
    <w:rsid w:val="0E2B4171"/>
    <w:rsid w:val="0E41032E"/>
    <w:rsid w:val="0EC28042"/>
    <w:rsid w:val="11D2388D"/>
    <w:rsid w:val="12139BFC"/>
    <w:rsid w:val="126F9C8A"/>
    <w:rsid w:val="1488696F"/>
    <w:rsid w:val="177D9E3B"/>
    <w:rsid w:val="17888DC4"/>
    <w:rsid w:val="1AB1F0BB"/>
    <w:rsid w:val="1BE26301"/>
    <w:rsid w:val="1C09F21C"/>
    <w:rsid w:val="1CA1CA01"/>
    <w:rsid w:val="1CF4904D"/>
    <w:rsid w:val="1E10C60B"/>
    <w:rsid w:val="1F09ACCD"/>
    <w:rsid w:val="1F9F6913"/>
    <w:rsid w:val="2117FB16"/>
    <w:rsid w:val="218E2E4D"/>
    <w:rsid w:val="21E93A6F"/>
    <w:rsid w:val="24A40061"/>
    <w:rsid w:val="2508C6F4"/>
    <w:rsid w:val="251588CE"/>
    <w:rsid w:val="253E8F14"/>
    <w:rsid w:val="25ABD05E"/>
    <w:rsid w:val="25FD4C7B"/>
    <w:rsid w:val="27501FB2"/>
    <w:rsid w:val="27644A9C"/>
    <w:rsid w:val="284DB73A"/>
    <w:rsid w:val="29520993"/>
    <w:rsid w:val="29973892"/>
    <w:rsid w:val="2B0D2618"/>
    <w:rsid w:val="2CB6E87D"/>
    <w:rsid w:val="2CE4BE88"/>
    <w:rsid w:val="2CFAB07C"/>
    <w:rsid w:val="2D43EEA5"/>
    <w:rsid w:val="2E4EF44A"/>
    <w:rsid w:val="3260C74E"/>
    <w:rsid w:val="32CB5CBD"/>
    <w:rsid w:val="334A8A5C"/>
    <w:rsid w:val="36A104D5"/>
    <w:rsid w:val="36BA9441"/>
    <w:rsid w:val="39162FA5"/>
    <w:rsid w:val="3919AD05"/>
    <w:rsid w:val="39571678"/>
    <w:rsid w:val="397AC5D8"/>
    <w:rsid w:val="3AA0DEF9"/>
    <w:rsid w:val="3AC3A94B"/>
    <w:rsid w:val="3CCF297A"/>
    <w:rsid w:val="3D7ED45C"/>
    <w:rsid w:val="3EFA4495"/>
    <w:rsid w:val="407880E3"/>
    <w:rsid w:val="4186CF8D"/>
    <w:rsid w:val="41BBDFFB"/>
    <w:rsid w:val="4220DFE0"/>
    <w:rsid w:val="42E111E5"/>
    <w:rsid w:val="43572040"/>
    <w:rsid w:val="438296FB"/>
    <w:rsid w:val="45809B14"/>
    <w:rsid w:val="4628D1A8"/>
    <w:rsid w:val="47701077"/>
    <w:rsid w:val="47B919FE"/>
    <w:rsid w:val="47FA7616"/>
    <w:rsid w:val="4888172C"/>
    <w:rsid w:val="48E8F2B1"/>
    <w:rsid w:val="49863992"/>
    <w:rsid w:val="4A3B0CD3"/>
    <w:rsid w:val="4A3EFFC4"/>
    <w:rsid w:val="4BCA4182"/>
    <w:rsid w:val="4DC1AA2C"/>
    <w:rsid w:val="5084D7C7"/>
    <w:rsid w:val="521167D8"/>
    <w:rsid w:val="52992950"/>
    <w:rsid w:val="53394403"/>
    <w:rsid w:val="54939E02"/>
    <w:rsid w:val="5546B2E6"/>
    <w:rsid w:val="56CFCA7F"/>
    <w:rsid w:val="56D05EB4"/>
    <w:rsid w:val="587FE1F5"/>
    <w:rsid w:val="59257A76"/>
    <w:rsid w:val="59AB613B"/>
    <w:rsid w:val="5A394585"/>
    <w:rsid w:val="5C0F3F74"/>
    <w:rsid w:val="5D00B329"/>
    <w:rsid w:val="5F635F9F"/>
    <w:rsid w:val="644B0C91"/>
    <w:rsid w:val="64C87060"/>
    <w:rsid w:val="6562455E"/>
    <w:rsid w:val="66C95113"/>
    <w:rsid w:val="66CBE5D4"/>
    <w:rsid w:val="676F161C"/>
    <w:rsid w:val="688C7DD0"/>
    <w:rsid w:val="69BA1202"/>
    <w:rsid w:val="6B74D04E"/>
    <w:rsid w:val="6CB88939"/>
    <w:rsid w:val="6CEAD6CE"/>
    <w:rsid w:val="6E9942A3"/>
    <w:rsid w:val="6EBAED86"/>
    <w:rsid w:val="6F502833"/>
    <w:rsid w:val="6F5138B8"/>
    <w:rsid w:val="70253E8D"/>
    <w:rsid w:val="70D8A8CA"/>
    <w:rsid w:val="7222E44C"/>
    <w:rsid w:val="74793777"/>
    <w:rsid w:val="74ACE8ED"/>
    <w:rsid w:val="752F49D7"/>
    <w:rsid w:val="762FFC65"/>
    <w:rsid w:val="76F74B4B"/>
    <w:rsid w:val="778443BA"/>
    <w:rsid w:val="77F1651F"/>
    <w:rsid w:val="7C2701BF"/>
    <w:rsid w:val="7D0B8C61"/>
    <w:rsid w:val="7D31A905"/>
    <w:rsid w:val="7DDFA6A3"/>
    <w:rsid w:val="7EED7D9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C4491"/>
  <w15:chartTrackingRefBased/>
  <w15:docId w15:val="{D2B2F6CF-C0B5-4859-B11A-94CA9CA69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D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Strip,Numbered Para 1,Dot pt,No Spacing1,List Paragraph Char Char Char,Indicator Text,List Paragraph1,Bullet Points,MAIN CONTENT,IFCL - List Paragraph,List Paragraph12,OBC Bullet,F5 List Paragraph,Colorful List - Accent 11"/>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semiHidden/>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Footnote,Fußnote,Fußnotentext Char,Fußnotentext Char1 Char1,Fußnotentext Char Char Char Char,Fußnotentext Char1 Char Char Char,Fußnotentext Char Char,Fußnotentext Char1 Char Char Char Char,Fußnotentext Char Char Char Char Char Char,Fußn,o"/>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Footnote Char,Fußnote Char,Fußnotentext Char Char1,Fußnotentext Char1 Char1 Char,Fußnotentext Char Char Char Char Char,Fußnotentext Char1 Char Char Char Char1,Fußnotentext Char Char Char,Fußnotentext Char1 Char Char Char Char Char"/>
    <w:basedOn w:val="DefaultParagraphFont"/>
    <w:link w:val="FootnoteText"/>
    <w:uiPriority w:val="99"/>
    <w:qFormat/>
    <w:rsid w:val="0067535D"/>
    <w:rPr>
      <w:sz w:val="20"/>
      <w:szCs w:val="20"/>
    </w:rPr>
  </w:style>
  <w:style w:type="character" w:styleId="FootnoteReference">
    <w:name w:val="footnote reference"/>
    <w:aliases w:val="Footnote Reference Number,SUPERS,Footnote Reference Superscript,Footnote symbol,fr,Stinking Styles22,BVI fnr,(Footnote Reference),Footnote reference number,note TESI,EN Footnote Reference,Voetnootverwijzing,Times 10 Point,No,number,FR"/>
    <w:basedOn w:val="DefaultParagraphFont"/>
    <w:link w:val="FootnoteRefernece"/>
    <w:uiPriority w:val="99"/>
    <w:unhideWhenUsed/>
    <w:qFormat/>
    <w:rsid w:val="0067535D"/>
    <w:rPr>
      <w:vertAlign w:val="superscript"/>
    </w:rPr>
  </w:style>
  <w:style w:type="character" w:styleId="FollowedHyperlink">
    <w:name w:val="FollowedHyperlink"/>
    <w:basedOn w:val="DefaultParagraphFont"/>
    <w:uiPriority w:val="99"/>
    <w:semiHidden/>
    <w:unhideWhenUsed/>
    <w:rsid w:val="00BE075D"/>
    <w:rPr>
      <w:color w:val="954F72" w:themeColor="followedHyperlink"/>
      <w:u w:val="single"/>
    </w:rPr>
  </w:style>
  <w:style w:type="table" w:customStyle="1" w:styleId="TableGrid1">
    <w:name w:val="Table Grid1"/>
    <w:basedOn w:val="TableNormal"/>
    <w:next w:val="TableGrid"/>
    <w:uiPriority w:val="59"/>
    <w:rsid w:val="00553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F34483"/>
    <w:pPr>
      <w:spacing w:line="240" w:lineRule="exact"/>
      <w:jc w:val="both"/>
    </w:pPr>
    <w:rPr>
      <w:vertAlign w:val="superscript"/>
    </w:rPr>
  </w:style>
  <w:style w:type="character" w:customStyle="1" w:styleId="ListParagraphChar">
    <w:name w:val="List Paragraph Char"/>
    <w:aliases w:val="2 Char,Strip Char,Numbered Para 1 Char,Dot pt Char,No Spacing1 Char,List Paragraph Char Char Char Char,Indicator Text Char,List Paragraph1 Char,Bullet Points Char,MAIN CONTENT Char,IFCL - List Paragraph Char,List Paragraph12 Char"/>
    <w:link w:val="ListParagraph"/>
    <w:uiPriority w:val="34"/>
    <w:qFormat/>
    <w:locked/>
    <w:rsid w:val="00F34483"/>
  </w:style>
  <w:style w:type="table" w:customStyle="1" w:styleId="TableGrid2">
    <w:name w:val="Table Grid2"/>
    <w:basedOn w:val="TableNormal"/>
    <w:next w:val="TableGrid"/>
    <w:uiPriority w:val="39"/>
    <w:rsid w:val="00236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76CF"/>
    <w:pPr>
      <w:spacing w:after="0" w:line="240" w:lineRule="auto"/>
    </w:pPr>
  </w:style>
  <w:style w:type="paragraph" w:customStyle="1" w:styleId="Default">
    <w:name w:val="Default"/>
    <w:rsid w:val="002566F7"/>
    <w:pPr>
      <w:autoSpaceDE w:val="0"/>
      <w:autoSpaceDN w:val="0"/>
      <w:adjustRightInd w:val="0"/>
      <w:spacing w:after="0" w:line="240" w:lineRule="auto"/>
    </w:pPr>
    <w:rPr>
      <w:rFonts w:ascii="Times New Roman" w:hAnsi="Times New Roman" w:cs="Times New Roman"/>
      <w:color w:val="000000"/>
      <w:sz w:val="24"/>
      <w:szCs w:val="24"/>
      <w:lang w:val="en-GB" w:bidi="ne-NP"/>
    </w:rPr>
  </w:style>
  <w:style w:type="character" w:customStyle="1" w:styleId="UnresolvedMention1">
    <w:name w:val="Unresolved Mention1"/>
    <w:basedOn w:val="DefaultParagraphFont"/>
    <w:uiPriority w:val="99"/>
    <w:unhideWhenUsed/>
    <w:rsid w:val="00F5171E"/>
    <w:rPr>
      <w:color w:val="605E5C"/>
      <w:shd w:val="clear" w:color="auto" w:fill="E1DFDD"/>
    </w:rPr>
  </w:style>
  <w:style w:type="character" w:customStyle="1" w:styleId="Mention1">
    <w:name w:val="Mention1"/>
    <w:basedOn w:val="DefaultParagraphFont"/>
    <w:uiPriority w:val="99"/>
    <w:unhideWhenUsed/>
    <w:rsid w:val="00F5171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56197">
      <w:bodyDiv w:val="1"/>
      <w:marLeft w:val="0"/>
      <w:marRight w:val="0"/>
      <w:marTop w:val="0"/>
      <w:marBottom w:val="0"/>
      <w:divBdr>
        <w:top w:val="none" w:sz="0" w:space="0" w:color="auto"/>
        <w:left w:val="none" w:sz="0" w:space="0" w:color="auto"/>
        <w:bottom w:val="none" w:sz="0" w:space="0" w:color="auto"/>
        <w:right w:val="none" w:sz="0" w:space="0" w:color="auto"/>
      </w:divBdr>
    </w:div>
    <w:div w:id="113639525">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479155958">
      <w:bodyDiv w:val="1"/>
      <w:marLeft w:val="0"/>
      <w:marRight w:val="0"/>
      <w:marTop w:val="0"/>
      <w:marBottom w:val="0"/>
      <w:divBdr>
        <w:top w:val="none" w:sz="0" w:space="0" w:color="auto"/>
        <w:left w:val="none" w:sz="0" w:space="0" w:color="auto"/>
        <w:bottom w:val="none" w:sz="0" w:space="0" w:color="auto"/>
        <w:right w:val="none" w:sz="0" w:space="0" w:color="auto"/>
      </w:divBdr>
    </w:div>
    <w:div w:id="554001344">
      <w:bodyDiv w:val="1"/>
      <w:marLeft w:val="0"/>
      <w:marRight w:val="0"/>
      <w:marTop w:val="0"/>
      <w:marBottom w:val="0"/>
      <w:divBdr>
        <w:top w:val="none" w:sz="0" w:space="0" w:color="auto"/>
        <w:left w:val="none" w:sz="0" w:space="0" w:color="auto"/>
        <w:bottom w:val="none" w:sz="0" w:space="0" w:color="auto"/>
        <w:right w:val="none" w:sz="0" w:space="0" w:color="auto"/>
      </w:divBdr>
    </w:div>
    <w:div w:id="866797818">
      <w:bodyDiv w:val="1"/>
      <w:marLeft w:val="0"/>
      <w:marRight w:val="0"/>
      <w:marTop w:val="0"/>
      <w:marBottom w:val="0"/>
      <w:divBdr>
        <w:top w:val="none" w:sz="0" w:space="0" w:color="auto"/>
        <w:left w:val="none" w:sz="0" w:space="0" w:color="auto"/>
        <w:bottom w:val="none" w:sz="0" w:space="0" w:color="auto"/>
        <w:right w:val="none" w:sz="0" w:space="0" w:color="auto"/>
      </w:divBdr>
      <w:divsChild>
        <w:div w:id="1066537569">
          <w:marLeft w:val="0"/>
          <w:marRight w:val="0"/>
          <w:marTop w:val="0"/>
          <w:marBottom w:val="0"/>
          <w:divBdr>
            <w:top w:val="none" w:sz="0" w:space="0" w:color="auto"/>
            <w:left w:val="none" w:sz="0" w:space="0" w:color="auto"/>
            <w:bottom w:val="none" w:sz="0" w:space="0" w:color="auto"/>
            <w:right w:val="none" w:sz="0" w:space="0" w:color="auto"/>
          </w:divBdr>
        </w:div>
      </w:divsChild>
    </w:div>
    <w:div w:id="1032730117">
      <w:bodyDiv w:val="1"/>
      <w:marLeft w:val="0"/>
      <w:marRight w:val="0"/>
      <w:marTop w:val="0"/>
      <w:marBottom w:val="0"/>
      <w:divBdr>
        <w:top w:val="none" w:sz="0" w:space="0" w:color="auto"/>
        <w:left w:val="none" w:sz="0" w:space="0" w:color="auto"/>
        <w:bottom w:val="none" w:sz="0" w:space="0" w:color="auto"/>
        <w:right w:val="none" w:sz="0" w:space="0" w:color="auto"/>
      </w:divBdr>
    </w:div>
    <w:div w:id="1065447604">
      <w:bodyDiv w:val="1"/>
      <w:marLeft w:val="0"/>
      <w:marRight w:val="0"/>
      <w:marTop w:val="0"/>
      <w:marBottom w:val="0"/>
      <w:divBdr>
        <w:top w:val="none" w:sz="0" w:space="0" w:color="auto"/>
        <w:left w:val="none" w:sz="0" w:space="0" w:color="auto"/>
        <w:bottom w:val="none" w:sz="0" w:space="0" w:color="auto"/>
        <w:right w:val="none" w:sz="0" w:space="0" w:color="auto"/>
      </w:divBdr>
    </w:div>
    <w:div w:id="1229533945">
      <w:bodyDiv w:val="1"/>
      <w:marLeft w:val="0"/>
      <w:marRight w:val="0"/>
      <w:marTop w:val="0"/>
      <w:marBottom w:val="0"/>
      <w:divBdr>
        <w:top w:val="none" w:sz="0" w:space="0" w:color="auto"/>
        <w:left w:val="none" w:sz="0" w:space="0" w:color="auto"/>
        <w:bottom w:val="none" w:sz="0" w:space="0" w:color="auto"/>
        <w:right w:val="none" w:sz="0" w:space="0" w:color="auto"/>
      </w:divBdr>
    </w:div>
    <w:div w:id="1339696434">
      <w:bodyDiv w:val="1"/>
      <w:marLeft w:val="0"/>
      <w:marRight w:val="0"/>
      <w:marTop w:val="0"/>
      <w:marBottom w:val="0"/>
      <w:divBdr>
        <w:top w:val="none" w:sz="0" w:space="0" w:color="auto"/>
        <w:left w:val="none" w:sz="0" w:space="0" w:color="auto"/>
        <w:bottom w:val="none" w:sz="0" w:space="0" w:color="auto"/>
        <w:right w:val="none" w:sz="0" w:space="0" w:color="auto"/>
      </w:divBdr>
    </w:div>
    <w:div w:id="1425347452">
      <w:bodyDiv w:val="1"/>
      <w:marLeft w:val="0"/>
      <w:marRight w:val="0"/>
      <w:marTop w:val="0"/>
      <w:marBottom w:val="0"/>
      <w:divBdr>
        <w:top w:val="none" w:sz="0" w:space="0" w:color="auto"/>
        <w:left w:val="none" w:sz="0" w:space="0" w:color="auto"/>
        <w:bottom w:val="none" w:sz="0" w:space="0" w:color="auto"/>
        <w:right w:val="none" w:sz="0" w:space="0" w:color="auto"/>
      </w:divBdr>
    </w:div>
    <w:div w:id="1938059750">
      <w:bodyDiv w:val="1"/>
      <w:marLeft w:val="0"/>
      <w:marRight w:val="0"/>
      <w:marTop w:val="0"/>
      <w:marBottom w:val="0"/>
      <w:divBdr>
        <w:top w:val="none" w:sz="0" w:space="0" w:color="auto"/>
        <w:left w:val="none" w:sz="0" w:space="0" w:color="auto"/>
        <w:bottom w:val="none" w:sz="0" w:space="0" w:color="auto"/>
        <w:right w:val="none" w:sz="0" w:space="0" w:color="auto"/>
      </w:divBdr>
      <w:divsChild>
        <w:div w:id="697631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B22C3B4BACCC354FADCDE68687A6FD56" ma:contentTypeVersion="6" ma:contentTypeDescription="Izveidot jaunu dokumentu." ma:contentTypeScope="" ma:versionID="9279279cb85f117f0c7cc6a1fde63eae">
  <xsd:schema xmlns:xsd="http://www.w3.org/2001/XMLSchema" xmlns:xs="http://www.w3.org/2001/XMLSchema" xmlns:p="http://schemas.microsoft.com/office/2006/metadata/properties" xmlns:ns2="6c5ca3dd-05f6-4bda-9306-c3fae13fa4c6" xmlns:ns3="c827edb8-645e-4eb0-9cd8-bca919933c43" targetNamespace="http://schemas.microsoft.com/office/2006/metadata/properties" ma:root="true" ma:fieldsID="47ab400aa437dc88475fa7a7ede7a66b" ns2:_="" ns3:_="">
    <xsd:import namespace="6c5ca3dd-05f6-4bda-9306-c3fae13fa4c6"/>
    <xsd:import namespace="c827edb8-645e-4eb0-9cd8-bca919933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ca3dd-05f6-4bda-9306-c3fae13fa4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27edb8-645e-4eb0-9cd8-bca919933c43"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827edb8-645e-4eb0-9cd8-bca919933c43">
      <UserInfo>
        <DisplayName>Ilze Sīle</DisplayName>
        <AccountId>14</AccountId>
        <AccountType/>
      </UserInfo>
      <UserInfo>
        <DisplayName>Gunta Arāja</DisplayName>
        <AccountId>12</AccountId>
        <AccountType/>
      </UserInfo>
      <UserInfo>
        <DisplayName>Līga Vilde-Jurisone</DisplayName>
        <AccountId>31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53254-EEE9-44AB-BBAD-04CAE207C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ca3dd-05f6-4bda-9306-c3fae13fa4c6"/>
    <ds:schemaRef ds:uri="c827edb8-645e-4eb0-9cd8-bca919933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0A72DD-E9D5-44A4-93D8-F0855E5E9E20}">
  <ds:schemaRefs>
    <ds:schemaRef ds:uri="http://schemas.microsoft.com/office/2006/metadata/properties"/>
    <ds:schemaRef ds:uri="http://schemas.microsoft.com/office/infopath/2007/PartnerControls"/>
    <ds:schemaRef ds:uri="c827edb8-645e-4eb0-9cd8-bca919933c43"/>
  </ds:schemaRefs>
</ds:datastoreItem>
</file>

<file path=customXml/itemProps3.xml><?xml version="1.0" encoding="utf-8"?>
<ds:datastoreItem xmlns:ds="http://schemas.openxmlformats.org/officeDocument/2006/customXml" ds:itemID="{F1180DE3-C9BB-48AC-B31A-F6A54AF551B2}">
  <ds:schemaRefs>
    <ds:schemaRef ds:uri="http://schemas.microsoft.com/sharepoint/v3/contenttype/forms"/>
  </ds:schemaRefs>
</ds:datastoreItem>
</file>

<file path=customXml/itemProps4.xml><?xml version="1.0" encoding="utf-8"?>
<ds:datastoreItem xmlns:ds="http://schemas.openxmlformats.org/officeDocument/2006/customXml" ds:itemID="{F8F4CAB6-CA83-4AAB-B9D5-015C5E522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12</Pages>
  <Words>5046</Words>
  <Characters>28763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10</cp:revision>
  <dcterms:created xsi:type="dcterms:W3CDTF">2022-09-01T07:34:00Z</dcterms:created>
  <dcterms:modified xsi:type="dcterms:W3CDTF">2022-09-23T12:11:00Z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0x010100B22C3B4BACCC354FADCDE68687A6FD56</vt:lpwstr>
  </property>
</Properties>
</file>