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LV-C[C4]-R[4-2-1-r-] Provision of human resources and upskilling</w:t>
      </w:r>
    </w:p>
    <w:p w:rsidR="00DC6807" w:rsidRPr="00905B9C" w:rsidP="01BD11D8" w14:paraId="4C22E5B9" w14:textId="470FD0EC">
      <w:pPr>
        <w:jc w:val="right"/>
        <w:rPr>
          <w:b/>
          <w:bCs/>
          <w:highlight w:val="cyan"/>
          <w:lang w:val="fr-BE"/>
        </w:rPr>
      </w:pPr>
      <w:r w:rsidRPr="00905B9C" w:rsidR="005B3C6E">
        <w:rPr>
          <w:b/>
          <w:bCs/>
          <w:lang w:val="fr-BE"/>
        </w:rPr>
        <w:t>LV-C[C4]-R[4-2-1-r-]-M[145] New remuneration model for healthcare staff implemented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improve the human resources management and upskilling in the health sector. The reform consists of the development of a human resources strategy that includes a comprehensive approach to the health workforce planning and lifelong learning model, coordination mechanism for training and a simulation approach in training. The human resources strategy for the health sector shall be based on a mapping of human resources. The strategy shall cover such actions as the development of a new salary model, the provision of basic medical training and the number of residence places in line with demand, retention measures as well as the development of a human resources database. The reform shall also establish a framework to strengthen the medical education system, providing for the introduction of a sustainable model for continuing education and a coordination mechanism to ensure and monitor the quality of educational content, as well as a simulation approach at all levels of education. An IT tool for forecasting the future needs of health workforce shall be developed. The reform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C4.4-2-1-r- Provision of human resources and upskilling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New remuneration model for healthcare staff implemented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a law/regulation ensuring the implementation of a new remuneration model for healthcare</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new remuneration model for healthcare staff  shall include a transparent wage calculation mechanism and streamlines the wages across the health sector;  solutions to ensure transparency, fairness, as well as gradual wage increases, with a view to improving the availability and quality of services.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and the link of the publication in the Official Journal, including reference to the provision indicating the entry into force of the law/regulation implementing the new remuneration model for healthcare, accompanied by a document referencing the relevant provisions and duly justifying how the milestone (including all the constitutive elements) was satisfactorily fulfilled, with appropriate links to the underlying evidence. This document shall include as an annex the following documentary evidence: a) details on the transparent wage calculation mechanism; b) details of the solutions to ensure transparency, fairness and gradual wage increases.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