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LV-C[C2]-I[2-2-1-3-i-] Support for the introduction of new products and services into business</w:t>
      </w:r>
    </w:p>
    <w:p w:rsidR="00DC6807" w:rsidRPr="00905B9C" w:rsidP="01BD11D8" w14:paraId="4C22E5B9" w14:textId="470FD0EC">
      <w:pPr>
        <w:jc w:val="right"/>
        <w:rPr>
          <w:b/>
          <w:bCs/>
          <w:highlight w:val="cyan"/>
          <w:lang w:val="fr-BE"/>
        </w:rPr>
      </w:pPr>
      <w:r w:rsidRPr="00905B9C" w:rsidR="005B3C6E">
        <w:rPr>
          <w:b/>
          <w:bCs/>
          <w:lang w:val="fr-BE"/>
        </w:rPr>
        <w:t>LV-C[C2]-I[2-2-1-3-i-]-T[47] Number of projects supported</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Q2 2024</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 of the investment is to promote the creation of new high-tech digital products and services. The investment consists of a grant scheme for the introduction of modern automation, robotisation and labour control tools in the manufacturing and service development processes, as well as to support the introduction of personalized e-commerce solutions. Supported activities for new digital products and services include feasibility studies; industrial research; experimental development, including prototyping; and support to projects under Digital Europe programme. The investment shall be implemented by 30 June 2026. In order to ensure that the measure complies with the ‘Do no significant harm’ Technical Guidance (2021/C58/01), the eligibility criteria contained in terms of reference for upcoming calls for projects shall exclude the following list of activities: (i) activities related to fossil fuels, including downstream use9 ; (ii) activities under the EU Emission Trading System (ETS) achieving projected greenhouse gas emissions that are not lower than the relevant benchmarks10; (iii) activities related to waste landfills, incinerators11 and mechanical biological treatment plants12; and (iv) activities where the long-term disposal of waste may cause harm to the environment. The terms of reference shall additionally require that only activities that comply with relevant EU and national environmental legislation can be selected.</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47</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C2.2-2-1-3-i- Support for the introduction of new products and services into business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Number of projects supported</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Supported projects</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14</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Q2</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2024</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Economics in cooperation with other institutions</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Grant agreements to support 14 projects shall be signed.</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 xml:space="preserve">A summary document duly justifying how the target (including all the constitutive elements) was satisfactorily fulfilled, with appropriate links to the underlying evidence. This document shall include as an annex the following documentary evidence: a) a list of projects, including the name and registration number of the final recipient, title and brief description of the project and the contract amount; b) copy of the decisions approving projects and allocation of funding and ensuring compliance with the ‘Do no significant harm’ Technical Guidance (2021/C58/01), as specified in the CID and with the requirement of awarding grants of up to EUR 1 000 000. In the cases of ETS installations, this document shall contain the following information: 1) Installation ID/Aircraft Operator ID in the European Union Transaction Log (EUTL) as established by Art. 5 of the Commission Regulation (EU) 389/2013; 2) The projected level of GHG emissions per unit of product for awarded projects with activities under the EU ETS; 3) Brief description of the project and </w:t>
        <w:cr/>
        <w:br/>
        <w:t>technologies used.</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B21C74" w:rsidRPr="00B21C74" w:rsidP="00B21C74" w14:paraId="01DA0E5F" w14:textId="12B97DED">
      <w:pPr>
        <w:rPr>
          <w:lang w:val="en-IE"/>
        </w:rPr>
      </w:pPr>
      <w:r w:rsidRPr="00B21C74">
        <w:rPr>
          <w:lang w:val="en-IE"/>
        </w:rPr>
        <w:t>For payments taking place only upon the project completion, this target shall be understood as referring to completed projects.</w:t>
        <w:tab/>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