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LV-C[C2]-I[2-3-2-2-i-] Development of state and local government digital transformation skills and capabilities</w:t>
      </w:r>
    </w:p>
    <w:p w:rsidR="00DC6807" w:rsidRPr="00905B9C" w:rsidP="01BD11D8" w14:paraId="4C22E5B9" w14:textId="470FD0EC">
      <w:pPr>
        <w:jc w:val="right"/>
        <w:rPr>
          <w:b/>
          <w:bCs/>
          <w:highlight w:val="cyan"/>
          <w:lang w:val="fr-BE"/>
        </w:rPr>
      </w:pPr>
      <w:r w:rsidRPr="00905B9C" w:rsidR="005B3C6E">
        <w:rPr>
          <w:b/>
          <w:bCs/>
          <w:lang w:val="fr-BE"/>
        </w:rPr>
        <w:t>LV-C[C2]-I[2-3-2-2-i-]-T[75] Number of trainings in digital skills areas completed by public administration employees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increase the skills of employees of public administration in digital transformation and their use of technologies, in order to develop policies fit for the digital age. The investment consists of increasing the digital competence and capacity of national government and local government employees, including digital transformation planning and change management, use of data analytics, artificial intelligence and other modern technologies to modernise operations and services, flexible ICT project management, use of modern digital infrastructures and management. The investment shall be implemented by 30 June 2023 for digital skills and competence framework and by 31 August 2026 for improving the digital skills for public administration employees</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C2.2-3-2-2-i- Development of state and local government digital transformation skills and capabilities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trainings in digital skills areas completed by public administration employees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25160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School of Public Administration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on-site and online trainings in digital skills framework areas of 1) digitalisation management and development; 2) digital content creation; 3) cybersecurity; 4) communication and collaboration; 5) information and data literacy; 6) transversal skills completed by public administration employees.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description of competence frameworks; b) learning path maps; c) list of training programmes organised; d) list of certificates for completion of the training; e) online visit data, training statistics.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 of measuring the target fullfilment it shall be presumed the baseline is 0, keeping in mind that the target measures only new additional employees with advanced digital skills, including e</w:t>
        <w:footnoteRef/>
        <w:t>learning.</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