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LV-C[C6]-I[6-2-1-3-i-]-M[195] Establishment of a training centre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Establishment of a training centre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Adaptation of premises (renovation) and provision of equipment for the training centre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necessary adaptation of the premises (renovation) to the needs of the training centre has been completed.  Purchase and development of the necessary equipment in the premises of the training centre. The premises of the training centre are refurbished and equipped.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adaptation (renovation) of the premises has been completed; b) if procured separately, a list of equipment purchases made including the items bought and the purchase dates.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