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LV-C[C1]-I[1-2-1-5-i-] Modernisation of electricity transmission and distribution networks</w:t>
      </w:r>
    </w:p>
    <w:p w:rsidR="00DC6807" w:rsidRPr="00905B9C" w:rsidP="01BD11D8" w14:paraId="4C22E5B9" w14:textId="470FD0EC">
      <w:pPr>
        <w:jc w:val="right"/>
        <w:rPr>
          <w:b/>
          <w:bCs/>
          <w:highlight w:val="cyan"/>
          <w:lang w:val="fr-BE"/>
        </w:rPr>
      </w:pPr>
      <w:r w:rsidRPr="00905B9C" w:rsidR="005B3C6E">
        <w:rPr>
          <w:b/>
          <w:bCs/>
          <w:lang w:val="fr-BE"/>
        </w:rPr>
        <w:t>LV-C[C1]-I[1-2-1-5-i-]-M[21] Entry into force of regulatory framework to ensure the transmission of electricity produced from RES to networks (including the use of forests and other public land for wind energy production) and to promote the development of wind energy infrastructure.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contribute to reaching climate neutrality objectives by creating a sustainable grid infrastructure in which green technologies notably wind may be more easily deployed. Investments in the green transformation of electricity grids and digital infrastructure are necessary to provide adequate electricity supply infrastructure for electro-mobility, and sustainable and efficient system operation. The measure is also expected to contribute to the synchronisation of the Baltic electricity systems with continental European networks and the objectives and activities of the Baltic Electricity Market Integration Plan. The measure consists of direct investment in upgrading the electricity grid, developing IT solutions to increase the flexibility and security of the transmission system and distribution system and creating among others a national electricity market data exchange and storage platform and an automated smart metering system. The measure shall also improve the regulatory framework and the enabling conditions to facilitate the deployment of onshore wind energy on state forest land and to reduce legal uncertainty for investments in wind power. The measure shall be implemented from 1 January 2022 until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C1.1-2-1-5-i- Modernisation of electricity transmission and distribution networks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Entry into force of regulatory framework to ensure the transmission of electricity produced from RES to networks (including the use of forests and other public land for wind energy production) and to promote the development of wind energy infrastructure.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force of: a) Legislation/regulation making state forests available for wind energy deployment, designating appropriate areas for development and making them available for bidding by private investors.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Entry into force of: </w:t>
              <w:br/>
              <w:t xml:space="preserve">a) Legislation/regulation making state forests available for wind energy deployment, designating appropriate areas for development and making them available for bidding by private investors; </w:t>
              <w:br/>
              <w:t>b) Legislation/regulation reducing legal uncertainty for investments in wind energy by specifying cases in which investments may be rejected post impact-assessment and by introducing fast-track resolution mechanism for such cases.</w:t>
              <w:br/>
              <w:t>The measure shall ensure compliance with the DNSH principle, in line with the DNSH Guidelines (2021/C58/01), notably as regards the impacts of the measure on forests due to land use change, and with the EU environmental law.</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copy of the relevant piece of legislation and a link to the publications in the Official Journal, including a reference to the provision indicating the entry into force, accompanied by a summary document duly justifying how the milestone was satisfactorily fulfilled with appropriate links to the underlying evidence. It shall notably explain how: a) the legislation will effectively make state forests available for wind energy deployment and reduces legal uncertainty for investments in wind energy; b) the legislation complies with the DNSH principle, notably as regards the impacts of the measure on forests due to land use change, and with EU environmental law.</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