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LV-C[C6]-I[6-2-1-1-i-] Establishment of AML Innovation Centre to improve the identification of money laundering</w:t>
      </w:r>
    </w:p>
    <w:p w:rsidR="00DC6807" w:rsidRPr="00905B9C" w:rsidP="01BD11D8" w14:paraId="4C22E5B9" w14:textId="470FD0EC">
      <w:pPr>
        <w:jc w:val="right"/>
        <w:rPr>
          <w:b/>
          <w:bCs/>
          <w:highlight w:val="cyan"/>
          <w:lang w:val="fr-BE"/>
        </w:rPr>
      </w:pPr>
      <w:r w:rsidRPr="00905B9C" w:rsidR="005B3C6E">
        <w:rPr>
          <w:b/>
          <w:bCs/>
          <w:lang w:val="fr-BE"/>
        </w:rPr>
        <w:t>LV-C[C6]-I[6-2-1-1-i-]-M[187] Cooperation platform for financial intelligence and knowledge-sharing to improve the identification of money laundering</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Q1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facilitate research and information sharing between the institutions involved in fight against money laundering. The investment consists of a) implementation of a secure platform for data exchange, including secure connections with external stakeholders, b) creation of an equipped research hall and a strategic communication space and c) development of algorithms for data analysis. The investment shall be implemented by 31 March 2025</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187</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C6.6-2-1-1-i- Establishment of AML Innovation Centre to improve the identification of money laundering</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Cooperation platform for financial intelligence and knowledge-sharing to improve the identification of money laundering</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Completion of the IT platform for knowledge exchange and communication with stakeholders</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Q1</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The Financial Intelligence Service is responsible for reporting and implementation.</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(a) 5 information systems are introduced to strengthen the capacity to identify money laundering, terrorism or proliferation financing;</w:t>
              <w:br/>
              <w:t>(b) 3 dedicated rooms for knowledge- sharing and cooperation are established;</w:t>
              <w:br/>
              <w:t>(c) 5 inter-system connections are created for automated data exchange;</w:t>
              <w:br/>
              <w:t>(d) data processing infrastructure is established based on 6 technical solutions;</w:t>
              <w:br/>
              <w:t>(e) 2 researchers are mobilised to develop analytical solutions for information-checking against predefined characteristics in financial transaction reports.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milestone (including all the constitutive elements) was satisfactorily fulfilled, with appropriate links to the underlying evidence. This document shall include as an annex the following documentary evidence: a) copies of the certificates of completion issued in line with national legislation confirming the set up of secure platforms for knowledge exchange, transfer and communication including a research hall, communication spaces and intra-system connections with involved parties ensuring information protection are established and operational; b) an extract of technical specifications linking the requirements of with fulfilment of the milestone.</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