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LV-C[C1]-I[1-2-1-3-i-] Improving municipal buildings and infrastructure by promoting the transition to renewable energy technologies and improving energy efficiency</w:t>
      </w:r>
    </w:p>
    <w:p w:rsidR="00DC6807" w:rsidRPr="00905B9C" w:rsidP="01BD11D8" w14:paraId="4C22E5B9" w14:textId="470FD0EC">
      <w:pPr>
        <w:jc w:val="right"/>
        <w:rPr>
          <w:b/>
          <w:bCs/>
          <w:highlight w:val="cyan"/>
          <w:lang w:val="fr-BE"/>
        </w:rPr>
      </w:pPr>
      <w:r w:rsidRPr="00905B9C" w:rsidR="005B3C6E">
        <w:rPr>
          <w:b/>
          <w:bCs/>
          <w:lang w:val="fr-BE"/>
        </w:rPr>
        <w:t>LV-C[C1]-I[1-2-1-3-i-]-T[15] Reduction in primary energy consumption in municipal buildings and infrastructure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Latvian municipal buildings. A large part of existing municipal buildings had been built before thermal requirements for building were increased and therefore have a low energy performance. More specifically, the objective of the measure is to improve the energy efficiency of local government buildings and infrastructure in order to reduce annual primary energy consumption and reduce GHG emissions. As a complementary objective, this measure is also expected to reduce the cost of maintenance of municipal buildings. The measure consists of investments in energy efficiency renovation in buildings owned by local government (and mixed properties where the municipalities are majority shareholders), including buildings dedicated to social housing, health care, education and social services. The measure shall be implemented from 1 January 2022 until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C1.1-2-1-3-i- Improving municipal buildings and infrastructure by promoting the transition to renewable energy technologies and improving energy efficiency</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Reduction in primary energy consumption in municipal buildings and infrastructure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KWh/Year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4544563</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Reduction in primary energy consumption in municipal buildings and infrastructure resulting from energy efficiency improvement measures in municipal buildings and infrastructure supported under the measure. Energy certificates may be used to demonstrate the reduction in primary energy consumption. The measures shall aim to reduce primary energy consumption by at least 30 %.</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aggregated energy performance certificates before and after the renovation action; b) the list of structures renovated and, for each structure, the renovation actions completed, the registration numbers of the energy performance certificates before and after the renovation action, and expected energy saving achieved.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