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LV-C[C3]-I[3-1-2-1-i-] Measures to promote access to public services and employment for people with disabilities and people with functional impairments</w:t>
      </w:r>
    </w:p>
    <w:p w:rsidR="00DC6807" w:rsidRPr="00905B9C" w:rsidP="01BD11D8" w14:paraId="4C22E5B9" w14:textId="470FD0EC">
      <w:pPr>
        <w:jc w:val="right"/>
        <w:rPr>
          <w:b/>
          <w:bCs/>
          <w:highlight w:val="cyan"/>
          <w:lang w:val="fr-BE"/>
        </w:rPr>
      </w:pPr>
      <w:r w:rsidRPr="00905B9C" w:rsidR="005B3C6E">
        <w:rPr>
          <w:b/>
          <w:bCs/>
          <w:lang w:val="fr-BE"/>
        </w:rPr>
        <w:t>LV-C[C3]-I[3-1-2-1-i-]-M[116] Signature of contracts to adapt the housing of persons with disabilities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measure is to improve access to facilities, jobs and services for people with disabilities thereby contributing to their social inclusion. The measure consists of selecting 63 public and municipal buildings and retrofitting them to ensure access to the facilities for persons with functional impairments and persons with disabilities. This may include for example vision, hearing, mobility and mental impairment, including improvement of visual information, adaptation and provision of evacuation systems for persons with disabilities, and the installation of aids, such as ramps, pans, lifts, easy-opening or automatic doors. Furthermore, the measure shall include the selection, retrofitting and improving of the physical accessibility of housing for 259 persons with disabilities (persons with severe or very severe disabilities and children with disabilities) improving their access to employment and services, thereby promoting their human dignity and quality of life. The implementation of the investment shall be completed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116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C3.3-1-2-1-i- Measures to promote access to public services and employment for people with disabilities and people with functional impairments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Signature of contracts to adapt the housing of persons with disabilities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Signature of contracts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Welfare/ Central Finance and Contracting Agency/ local autohorities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signature of contracts to adapt the housing of 259 persons with severe or very severe disabilities and children with disabilities.  Contracts have been concluded for the provision of environmental accessibility elements (for example: establishment of ramps and lifts, provision of equipment, elements of accommodation, adaptation of common spaces) in housing for 259 persons.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was satisfactorily fulfilled, with appropriate links to the underlying evidence. This document shall include as an annex; a) a list and copies of signed work contracts to adapt the housing of 259 persons with severe or very severe disabilitiesand children with disabilities b) details of the environmental adaptation measures taken as specified in the description of the milestone and of the investment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