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LV-C[C3]-I[3-1-1-3-i-] Investments in business public infrastructure for the development of industrial parks and areas in regions</w:t>
      </w:r>
    </w:p>
    <w:p w:rsidR="00DC6807" w:rsidRPr="00905B9C" w:rsidP="01BD11D8" w14:paraId="4C22E5B9" w14:textId="470FD0EC">
      <w:pPr>
        <w:jc w:val="right"/>
        <w:rPr>
          <w:b/>
          <w:bCs/>
          <w:highlight w:val="cyan"/>
          <w:lang w:val="fr-BE"/>
        </w:rPr>
      </w:pPr>
      <w:r w:rsidRPr="00905B9C" w:rsidR="005B3C6E">
        <w:rPr>
          <w:b/>
          <w:bCs/>
          <w:lang w:val="fr-BE"/>
        </w:rPr>
        <w:t>LV-C[C3]-I[3-1-1-3-i-]-T[96] Construction completed of industrial parks/territories where public infrastructure is developed in the regions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support the infrastructure of industrial zones and attract investors and firms to Latvia’s regions outside Riga helping to create high added-value and export</w:t>
        <w:footnoteRef/>
        <w:t>oriented jobs and to reduce the development divide between Riga region and the rest of the country. The measure consists of the adoption of a support programme for the development of industrial parks and territories in the regions; tendering and awarding contracts for the development of industrial parks to specific beneficiaries who have developed an industrial territory or park development strategy or business plan; signing at least four letters of intent or contracts with internationally recognised industrial park operators and/or potential tenants providing for the attraction/execution of additional private sector investments of at least EUR 85 700 000. Finally, the measure includes the completion of the construction of at least four industrial parks of national importance in the regions, including the establishment of necessary utility connections (including heating, water and sewerage, electricity), renewal or installation of access roads near industrial areas, as well as the development of buildings intended for commercial purposes and their related infrastructure. As a result of the measure, at least 328 new jobs with average salaries exceeding the average salaries in the respective economic sector shall be created.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use21; (ii) activities under the EU Emission Trading System (ETS) achieving projected greenhouse gas emissions that are not lower than the relevant benchmarks22; (iii) activities related to waste landfills, incinerators23 and mechanical biological treatment plants24; and (iv) activities where the long-term disposal of waste may cause harm to the environment. The terms of reference shall additionally require that only activities that comply with relevant EU and national environmental legislation may be selected.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C3.3-1-1-3-i- Investments in business public infrastructure for the development of industrial parks and areas in regions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Construction completed of industrial parks/territories where public infrastructure is developed in the regions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Ministry of Economics, Central Finance and Contracting Agency, municipalities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Construction completed of at least four national industrial parks/territories, including establishment of necessary industrial connections and increase of their related capacity (including heating, water and sewerage, electricity), renewal or installation of access roads near industrial areas, as well as development of buildings for commercial purposes and their related infrastructure.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 copy of the official certificate of completion of works, and of the taking-over certificate signed by the contracting authority indicating performed works of at least four national industrial parks/territories,. b) the name, the location, a brief description of the intervention in accordance with the CID Annex; c) certification of entry into operation of the industrial parks/territories (e.g. the certificate consists of official statistics listing the number of companies/entities that have already using the infrastructure); d) extract of the relevant parts of the completed project specifications proving alignment with the description of the target and investment in the CID (e.g. establishment of necessary industrial connections and increase of their related capacity (including heating, water and sewerage, electricity), renewal or installation of access roads near industrial areas, development of buildings for commercial purposes and their related infrastructure).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