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LV-C[C1]-I[1-1-1-1-i-] Improving Riga Metropolitan transport infrastructure</w:t>
      </w:r>
    </w:p>
    <w:p w:rsidR="00DC6807" w:rsidRPr="00905B9C" w:rsidP="01BD11D8" w14:paraId="4C22E5B9" w14:textId="470FD0EC">
      <w:pPr>
        <w:jc w:val="right"/>
        <w:rPr>
          <w:b/>
          <w:bCs/>
          <w:highlight w:val="cyan"/>
          <w:lang w:val="fr-BE"/>
        </w:rPr>
      </w:pPr>
      <w:r w:rsidRPr="00905B9C" w:rsidR="005B3C6E">
        <w:rPr>
          <w:b/>
          <w:bCs/>
          <w:lang w:val="fr-BE"/>
        </w:rPr>
        <w:t>LV-C[C1]-I[1-1-1-1-i-]-M[4] Signature of contracts for upgrading Riga Central Railway Station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C1.1-1-1-1-i- Improving Riga Metropolitan transport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Signature of contracts for upgrading Riga Central Railway Station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Signed contracts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Signature of contracts for construction works and for supervision of construction works in the southern part of Riga Central Railway Station. The construction works in the southern part of the Riga Central Railway Station include roof laying, the construction of the façade, platform canopy roof, finishing works, passenger access infrastructure, mechanical, electrical and plumbing works.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