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LV-C[C5]-I[5-2-1-1-i-] Research, development and consolidation grants</w:t>
      </w:r>
    </w:p>
    <w:p w:rsidR="00DC6807" w:rsidRPr="00905B9C" w:rsidP="01BD11D8" w14:paraId="4C22E5B9" w14:textId="470FD0EC">
      <w:pPr>
        <w:jc w:val="right"/>
        <w:rPr>
          <w:b/>
          <w:bCs/>
          <w:highlight w:val="cyan"/>
          <w:lang w:val="fr-BE"/>
        </w:rPr>
      </w:pPr>
      <w:r w:rsidRPr="00905B9C" w:rsidR="005B3C6E">
        <w:rPr>
          <w:b/>
          <w:bCs/>
          <w:lang w:val="fr-BE"/>
        </w:rPr>
        <w:t>LV-C[C5]-I[5-2-1-1-i-]-T[165] In-house R &amp; D grant agreements signed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reduce the number of higher education institutions and scientific institutes through consolidation. The plan shall finance grants that shall incentivise higher education mergers, which shall help concentrate the scarce resources both in higher education and academic research. The approved consolidation plans of the higher education institutions shall include an investment plan. This may cover grants for structural change; exit grants for termination of employment with academic staff over 65 years of age; digitalisation, technological development, improvement of research and education infrastructure (excluding construction) and creation of new programmes of excellence. The investment may cover grant agreements concluded by the universities or research institutes for doctoral grants, post-doctoral grants or scientific (professor) grants as well as in-house research grants.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165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C5.5-2-1-1-i- Research, development and consolidation grants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In-house R &amp; D grant agreements signed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 of in-house R&amp;D grant agreements signed</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90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higher education institution or research institute have concluded 90 grant agreements for carrying out in-house research.</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The document shall include as an annex a list of the 90 in-house R&amp;D grant agreements, which are made available in the Management Information System (KPVIS).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