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LV-C[C2]-I[2-3-1-3-i-] Development of a self-managed learning approach for ICT specialists</w:t>
      </w:r>
    </w:p>
    <w:p w:rsidR="00DC6807" w:rsidRPr="00905B9C" w:rsidP="01BD11D8" w14:paraId="4C22E5B9" w14:textId="470FD0EC">
      <w:pPr>
        <w:jc w:val="right"/>
        <w:rPr>
          <w:b/>
          <w:bCs/>
          <w:highlight w:val="cyan"/>
          <w:lang w:val="fr-BE"/>
        </w:rPr>
      </w:pPr>
      <w:r w:rsidRPr="00905B9C" w:rsidR="005B3C6E">
        <w:rPr>
          <w:b/>
          <w:bCs/>
          <w:lang w:val="fr-BE"/>
        </w:rPr>
        <w:t>LV-C[C2]-I[2-3-1-3-i-]-T[65] Number of ICT specialists trained in a non-formal learning approach</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develop a new approach for the preparation of ICT specialists, creating a learning environment for self-managed ICT learning to increase the share of ICT specialists, including women, in the structure of employees. The investment consists of the development of a learning environment for self-managed ICT training and provision of training for at least 1000 professionals in self-managed ICT learning.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C2.2-3-1-3-i- Development of a self-managed learning approach for ICT specialists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ICT specialists trained in a non-formal learning approach</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 and institutions involved in the project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Professionals involved in self-managed ICT training that have completed at least one learning stage.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list of certificates issued for completing of the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