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LV-C[C3]-I[3-1-2-3-i-] Resilience and continuity of the long-term social care service</w:t>
      </w:r>
    </w:p>
    <w:p w:rsidR="00DC6807" w:rsidRPr="00905B9C" w:rsidP="01BD11D8" w14:paraId="4C22E5B9" w14:textId="470FD0EC">
      <w:pPr>
        <w:jc w:val="right"/>
        <w:rPr>
          <w:b/>
          <w:bCs/>
          <w:highlight w:val="cyan"/>
          <w:lang w:val="fr-BE"/>
        </w:rPr>
      </w:pPr>
      <w:r w:rsidRPr="00905B9C" w:rsidR="005B3C6E">
        <w:rPr>
          <w:b/>
          <w:bCs/>
          <w:lang w:val="fr-BE"/>
        </w:rPr>
        <w:t>LV-C[C3]-I[3-1-2-3-i-]-T[123] Provision of new places for long-term care services close to family settings for 408 persons of retirement age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enable the transition from institutional long</w:t>
        <w:footnoteRef/>
        <w:t>term care provision to more community-based care model. The measure consists of developing a standard construction design for new long-term care facilities, conclusion of agreements between the Ministry of Welfare and 17 municipalities for the establishment of new places for the provision of long-term care services close to the family environment, and construction of new long-term care facilities for 852 persons of retirement age in 54 buildings. The construction of these buildings shall ensure a maximum of 16 persons per building and fitting each building with appliances, equipment and furniture. The new long-term care model shall ensure the transition from institutional to family-type care for people of retirement age.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C3.3-1-2-3-i- Resilience and continuity of the long-term social care service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Provision of new places for long-term care services close to family settings for 408 persons of retirement age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places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408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Creation of new places for the provision of long-term care services close to the family environment for 408 persons of retirement age (26 buildings built with a maximum of 16 persons per building).  </w:t>
              <w:br/>
              <w:t>The construction of these buildings shall ensure that each building is provided with at least a predefined minimum equipment, such as appliances and furniture.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name, the location of buildings, their surface in m2, how many people they would accommodate each and in total (including number of single and two-person rooms) and a brief description of the intervention in accordance with the CID Annex; b) certification of entry into operation of the buildings, c) extract of the relevant parts of the completed projects proving alignment with the description of the target and investment in the CID Annex, including number of places for persons of retirement age and confirmation that they will be the final beneficiaries of the investment, available minimum equipment, investments ensuring transition from institutional to community based care for people of retirement age and in line with building accesibility standards.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