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LV-C[C7]-I[7-3-i-] Upgrading, digitalising and securing the electricity transmission and distribution networks</w:t>
      </w:r>
    </w:p>
    <w:p w:rsidR="00DC6807" w:rsidRPr="00905B9C" w:rsidP="01BD11D8" w14:paraId="4C22E5B9" w14:textId="470FD0EC">
      <w:pPr>
        <w:jc w:val="right"/>
        <w:rPr>
          <w:b/>
          <w:bCs/>
          <w:highlight w:val="cyan"/>
          <w:lang w:val="fr-BE"/>
        </w:rPr>
      </w:pPr>
      <w:r w:rsidRPr="00905B9C" w:rsidR="005B3C6E">
        <w:rPr>
          <w:b/>
          <w:bCs/>
          <w:lang w:val="fr-BE"/>
        </w:rPr>
        <w:t>LV-C[C7]-I[7-3-i-]-M[225] Completion of substations’ works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investment is to contribute to the clean energy transition and to increase electricity security by increasing the electricity grid capacity and flexibility to accommodate a greater integration of variable renewable energy, by refurbishing transmission networks, and by digitalising distribution networks. The investment shall cover the following elements. 1. To increase the national electricity grid capacity and flexibility to accommodate a greater integration of variable renewable energy, the investment shall deliver 70 MW of new electricity grid capacity, the construction of a digital substation in Kuldīga and the refurbishment of a substation in Carnikava. 2. To modernise energy transmission lines and increase the security and stability of electricity supply, the investment shall result in the replacement of at least 150 km of existing medium-voltage overhead power lines with cable lines. 3. To digitalise the electricity distribution network for a more efficient and flexible management of energy flows, the investment shall result in: - the implementation of an advanced smart distribution management solution; - the purchase and installation of remotely controlled medium voltage circuit breakers on cable lines in transformers substations and on lines at different switching points. 4. Two studies shall be completed that are expected to contribute to Latvia’s development towards becoming a green energy exporting country. The objective of the first study is to determine the maximum amount of renewable energy that could be connected to the electricity transmission network and assess the impact of higher renewable energy sources volumes on the network. The second study has the objective of estimating electricity consumption growth and electrification potential over a 10-year timeframe. Furthermore, an Environmental Impact Assessment for an electricity transmission line project between Ventspils, Brocēni and Telšiai shall be carried out. The implementation of the measure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225</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C7.7-3-i- Upgrading, digitalising and securing the electricity transmission and distribution networks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Completion of substations’ works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The construction of a new substation and the refurbishment of an existing substation have been completed</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Climate and Energy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1) Completion of the construction of a digital substation in Kuldīga. </w:t>
              <w:br/>
              <w:t xml:space="preserve"> </w:t>
              <w:br/>
              <w:br/>
              <w:t>2) Completion of the refurbishment of a substation in Carnikava.</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as listed in the description of the milestone and of the corresponding measure in the CID annex) was satisfactorily fulfilled, with appropriate links to the underlying evidence. This document shall include as an annex: - the certificate(s) of completion signed by the contractor(s) and the contracting authority(ies) demonstrating that a new digital substation has been constructed in Kuldīga; - the certificate(s) of completion signed by the contractor(s) and the contracting authority(ies) demonstrating that a digital substation in Carnikava has been refurbished.</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