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LV-C[C5]-I[5-2-1-1-i-] Research, development and consolidation grants</w:t>
      </w:r>
    </w:p>
    <w:p w:rsidR="00DC6807" w:rsidRPr="00905B9C" w:rsidP="01BD11D8" w14:paraId="4C22E5B9" w14:textId="470FD0EC">
      <w:pPr>
        <w:jc w:val="right"/>
        <w:rPr>
          <w:b/>
          <w:bCs/>
          <w:highlight w:val="cyan"/>
          <w:lang w:val="fr-BE"/>
        </w:rPr>
      </w:pPr>
      <w:r w:rsidRPr="00905B9C" w:rsidR="005B3C6E">
        <w:rPr>
          <w:b/>
          <w:bCs/>
          <w:lang w:val="fr-BE"/>
        </w:rPr>
        <w:t>LV-C[C5]-I[5-2-1-1-i-]-T[164] Academic Career Grant agreements signed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reduce the number of higher education institutions and scientific institutes through consolidation. The plan shall finance grants that shall incentivise higher education mergers, which shall help concentrate the scarce resources both in higher education and academic research. The approved consolidation plans of the higher education institutions shall include an investment plan. This may cover grants for structural change; exit grants for termination of employment with academic staff over 65 years of age; digitalisation, technological development, improvement of research and education infrastructure (excluding construction) and creation of new programmes of excellence. The investment may cover grant agreements concluded by the universities or research institutes for doctoral grants, post-doctoral grants or scientific (professor) grants as well as in-house research grants.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164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C5.5-2-1-1-i- Research, development and consolidation grants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Academic Career Grant agreements signed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 of academic Career Grant agreements signed</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315</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The higher education institution or research institute have signed 315 grant agreements with doctorate, post-doctorate and researchers (professor) for one of the following activities: </w:t>
              <w:br/>
              <w:t>1) Doctoral grants;</w:t>
              <w:br/>
              <w:t>2) Post-doctoral grants;</w:t>
              <w:br/>
              <w:t>3) Scientific (professor) grants.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The document shall include as an annex the following documentary evidence: a) a list of the 315 grant agreements with doctorates, post-doctorates and researchers; b) documentation proving that funding for doctoral studies worth 19 million EUR per year is ensured starting from 2027.</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