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LV-C[C3]-I[3-1-2-2-i-] Development of a forecast tool</w:t>
      </w:r>
    </w:p>
    <w:p w:rsidR="00DC6807" w:rsidRPr="00905B9C" w:rsidP="01BD11D8" w14:paraId="4C22E5B9" w14:textId="470FD0EC">
      <w:pPr>
        <w:jc w:val="right"/>
        <w:rPr>
          <w:b/>
          <w:bCs/>
          <w:highlight w:val="cyan"/>
          <w:lang w:val="fr-BE"/>
        </w:rPr>
      </w:pPr>
      <w:r w:rsidRPr="00905B9C" w:rsidR="005B3C6E">
        <w:rPr>
          <w:b/>
          <w:bCs/>
          <w:lang w:val="fr-BE"/>
        </w:rPr>
        <w:t>LV-C[C3]-I[3-1-2-2-i-]-M[120] Development of a forecasting tool</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upgrade the macroeconomic modelling capacity to assess the long-term sustainability of the social security system. The measure consists of tendering and developing econometric models and a methodology for the long-term forecasting of social support, including pensions, developing technical specification for the information system and monitoring the development of the system. The final deliverables shall include an evaluation report on the current situation; a mathematical model for pension forecasting; the evaluation of the current forecasting tool and its potential; technical specifications for the development of an information system; monitoring of the system development throughout the measure. The implementation of the investment shall be completed by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C3.3-1-2-2-i- Development of a forecast tool</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Development of a forecasting tool</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Forecasting tool developed for the long-term projections of the social security system</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handover act between the Ministry of Welfare and software developer is signed for the  development of a forecasting tool for the long-term forecasts of the social security system that: </w:t>
              <w:br/>
              <w:t xml:space="preserve"> — provides for the possibility to use and reflect the demographic aspect more effectively in the forecasts, leading to a faster and more accurate forecasting result; </w:t>
              <w:br/>
              <w:t xml:space="preserve"> — strengthens administrative capacity in the field of social security;  </w:t>
              <w:br/>
              <w:t xml:space="preserve"> —provides the possibility to enter a more detailed array of assumptions compared to the model used in the past; </w:t>
              <w:br/>
              <w:t xml:space="preserve"> — enables modelling to be used elsewhere (e.g.: Eurostat) existing results, demographics and labour market indicators; </w:t>
              <w:br/>
              <w:t xml:space="preserve"> — two handbooks have been developed for the administrator of the tool and for users.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and elements: a) a copy of the Transfer Acceptance Act approving the IT forecasting tool for the long</w:t>
        <w:footnoteRef/>
        <w:t>term projections of the social security system, b) extract of the official documents, including a copy of the minutes of the national level working group containing evidence on the alignment with the description of the milestone and investment in the CID Annex, including evidence demonstrating that the objectives detailed in the description of the milestone are indeed met.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