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LV-C[C2]-I[2-1-2-2-i-] National Federated Cloud of Latvia</w:t>
      </w:r>
    </w:p>
    <w:p w:rsidR="00DC6807" w:rsidRPr="00905B9C" w:rsidP="01BD11D8" w14:paraId="4C22E5B9" w14:textId="470FD0EC">
      <w:pPr>
        <w:jc w:val="right"/>
        <w:rPr>
          <w:b/>
          <w:bCs/>
          <w:highlight w:val="cyan"/>
          <w:lang w:val="fr-BE"/>
        </w:rPr>
      </w:pPr>
      <w:r w:rsidRPr="00905B9C" w:rsidR="005B3C6E">
        <w:rPr>
          <w:b/>
          <w:bCs/>
          <w:lang w:val="fr-BE"/>
        </w:rPr>
        <w:t>LV-C[C2]-I[2-1-2-2-i-]-T[36] Number of platforms or systems operated by shared service providers through shared cloud services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provide shared computing and data management infrastructure and services for the public administration and developing the ICT infrastructure competence centres for storage and computing of public administration data. The investment consists of the development of public sector data storage and computational capabilities within the framework of four projects carried out by the Latvian State Radio and Television Centre, the National Library of Latvia, the Information Centre of the Ministry of the Interior and the Ministry of Agriculture. As a result of the investment, at least ten public administration platforms and information systems shall be operated through shared cloud computing services.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36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C2.2-1-2-2-i- National Federated Cloud of Latvia</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platforms or systems operated by shared service providers through shared cloud services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Competence Centres/ 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shall be considered to be fulfilled when four shared service providers taken together (Latvia Radio and Television Centre, National Library of Latvia, Ministry of Interior Affairs Information Centre, Ministry of Agriculture) operate at least ten public administration platforms or information systems through shared cloud services, including capacity balancing and backup recovery in a physically remote data center.</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document duly justifying how the target (including all the constitutive elements) was satisfactorily fulfilled, with appropriate links to the underlying evidence. This document shall include as an annex the following documentary evidence: a) copies of the certificates of entry into operation of 10 public administration platforms and information systems through shared cloud services, including capacity balancing and backup recovery in a physically remote data center; b) descriptions of the integration of the public administration information systems and platforms in the national federated cloud.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For the purposes of the Operational Arrangements, activities related to load balancing contribute to capacity balancing.</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