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LV-C[C3]-I[3-1-1-5-i-] Development and equipping of educational institutions’ infrastructure</w:t>
      </w:r>
    </w:p>
    <w:p w:rsidR="00DC6807" w:rsidRPr="00905B9C" w:rsidP="01BD11D8" w14:paraId="4C22E5B9" w14:textId="470FD0EC">
      <w:pPr>
        <w:jc w:val="right"/>
        <w:rPr>
          <w:b/>
          <w:bCs/>
          <w:highlight w:val="cyan"/>
          <w:lang w:val="fr-BE"/>
        </w:rPr>
      </w:pPr>
      <w:r w:rsidRPr="00905B9C" w:rsidR="005B3C6E">
        <w:rPr>
          <w:b/>
          <w:bCs/>
          <w:lang w:val="fr-BE"/>
        </w:rPr>
        <w:t>LV-C[C3]-I[3-1-1-5-i-]-T[106] Developing and equipping educational institutions’ infrastructure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the quality of regional schools by coupling investment with the optimization of school network. The measure consists of the entry into force of a legal framework establishing the quantitative and qualitative criteria for general secondary education institutions, the adoption of at least 21 decisions by local governments on the reorganisation of schools, and the improvement of school infrastructures. The investments shall improve the school facilities, such as hygienic requirements in classrooms, engineering networks (including ventilation systems), sufficient and energy efficient lighting, and other ergonomic and modern education environment solutions. Investments may also be planned for the purchase of information technology and science, technology, engineering and mathematics equipment, for the implementation of new improved curricula and for the implementation of remote and online learning.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106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C3.3-1-1-5-i- Development and equipping of educational institutions’ infrastructure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Developing and equipping educational institutions’ infrastructure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21</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Improvement of infrastructure of 21 general education institutions established by local governments according to specifications: investments may be envisaged for the improvement of the education institution physical environment - classrooms that met hygienic requirements, reconstruction of engineering networks (including ventilation systems), ensure sufficient and energy efficient lighting, and other ergonomic and modern education environment solutions. These school infrastructure investments under the RRF may also be used for the purchase of information technology and science, technology, engineering and mathematics equipment, for implementation of new improved curricula and for implementation of remote and online learning.</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a list of improved educational institutions, b) a brief description of each infrastructure in accordance with the CID Annex; c) extract of the relevant parts of the project including on infrastructural development and purchase of equipment proving alignment with the description of the target and investment in the CID; d) a copy of the certificate of completion and entry into service for improved infrastructure.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