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LV-C[C7]-I[7-3-i-]-T[226] Overhead electricity network converted into cable network</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Overhead electricity network converted into cable network</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Km</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150 km of the existing medium-voltage overhead power lines have been replaced with cable lines.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as listed in the description of the target and of the corresponding measure in the CID annex) was satisfactorily fulfilled, with appropriate links to the underlying evidence. The document shall include as an annex the certificate(s) of completion signed by the contractor(s) and the contracting authority(ies) demonstrating the replacement of 150km of the existing medium-voltage overhead power lines with cable lines.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